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16B071" w14:textId="3157375D" w:rsidR="00B214AA" w:rsidRDefault="00B214AA" w:rsidP="0015136C">
      <w:pPr>
        <w:spacing w:line="480" w:lineRule="auto"/>
        <w:jc w:val="center"/>
        <w:rPr>
          <w:rFonts w:cs="Times New Roman"/>
          <w:b/>
          <w:color w:val="000000" w:themeColor="text1"/>
          <w:lang w:eastAsia="zh-CN" w:bidi="hi-IN"/>
        </w:rPr>
      </w:pPr>
      <w:bookmarkStart w:id="0" w:name="_GoBack"/>
      <w:bookmarkEnd w:id="0"/>
      <w:r w:rsidRPr="00B214AA">
        <w:rPr>
          <w:rFonts w:cs="Times New Roman"/>
          <w:b/>
          <w:color w:val="000000" w:themeColor="text1"/>
          <w:lang w:eastAsia="zh-CN" w:bidi="hi-IN"/>
        </w:rPr>
        <w:t>EVALUA</w:t>
      </w:r>
      <w:r w:rsidR="00491C61">
        <w:rPr>
          <w:rFonts w:cs="Times New Roman"/>
          <w:b/>
          <w:color w:val="000000" w:themeColor="text1"/>
          <w:lang w:eastAsia="zh-CN" w:bidi="hi-IN"/>
        </w:rPr>
        <w:t>CIÓN</w:t>
      </w:r>
      <w:r w:rsidRPr="00B214AA">
        <w:rPr>
          <w:rFonts w:cs="Times New Roman"/>
          <w:b/>
          <w:color w:val="000000" w:themeColor="text1"/>
          <w:lang w:eastAsia="zh-CN" w:bidi="hi-IN"/>
        </w:rPr>
        <w:t xml:space="preserve"> </w:t>
      </w:r>
      <w:r w:rsidR="00491C61">
        <w:rPr>
          <w:rFonts w:cs="Times New Roman"/>
          <w:b/>
          <w:color w:val="000000" w:themeColor="text1"/>
          <w:lang w:eastAsia="zh-CN" w:bidi="hi-IN"/>
        </w:rPr>
        <w:t xml:space="preserve">DE </w:t>
      </w:r>
      <w:r w:rsidRPr="00B214AA">
        <w:rPr>
          <w:rFonts w:cs="Times New Roman"/>
          <w:b/>
          <w:color w:val="000000" w:themeColor="text1"/>
          <w:lang w:eastAsia="zh-CN" w:bidi="hi-IN"/>
        </w:rPr>
        <w:t>LAS CONDICIONES FUNDAMENTALES PARA LA CREACIÓN DE UNA ZONA FRANCA EN AGUACHICA – CESAR</w:t>
      </w:r>
    </w:p>
    <w:p w14:paraId="7B2332E9" w14:textId="2839A5CF" w:rsidR="004F2A93" w:rsidRPr="00B214AA" w:rsidRDefault="004F2A93" w:rsidP="0015136C">
      <w:pPr>
        <w:spacing w:line="480" w:lineRule="auto"/>
        <w:jc w:val="center"/>
        <w:rPr>
          <w:rFonts w:cs="Times New Roman"/>
          <w:b/>
        </w:rPr>
      </w:pPr>
      <w:r>
        <w:rPr>
          <w:rFonts w:cs="Times New Roman"/>
          <w:b/>
          <w:color w:val="000000" w:themeColor="text1"/>
          <w:lang w:eastAsia="zh-CN" w:bidi="hi-IN"/>
        </w:rPr>
        <w:t>CÓDIGO: PGM-021</w:t>
      </w:r>
    </w:p>
    <w:p w14:paraId="4BFB9174" w14:textId="77777777" w:rsidR="00B214AA" w:rsidRPr="00B214AA" w:rsidRDefault="00B214AA" w:rsidP="00F22CC6">
      <w:pPr>
        <w:spacing w:line="480" w:lineRule="auto"/>
        <w:ind w:firstLine="0"/>
        <w:rPr>
          <w:rFonts w:cs="Times New Roman"/>
        </w:rPr>
      </w:pPr>
    </w:p>
    <w:p w14:paraId="0D07F113" w14:textId="77777777" w:rsidR="00B214AA" w:rsidRPr="00C87A8C" w:rsidRDefault="00B214AA" w:rsidP="0015136C">
      <w:pPr>
        <w:spacing w:line="480" w:lineRule="auto"/>
        <w:jc w:val="center"/>
        <w:rPr>
          <w:rFonts w:cs="Times New Roman"/>
          <w:b/>
          <w:bCs/>
        </w:rPr>
      </w:pPr>
    </w:p>
    <w:p w14:paraId="12EEF534" w14:textId="77777777" w:rsidR="002660AA" w:rsidRDefault="002660AA" w:rsidP="0015136C">
      <w:pPr>
        <w:spacing w:line="480" w:lineRule="auto"/>
        <w:jc w:val="center"/>
        <w:rPr>
          <w:rFonts w:cs="Times New Roman"/>
          <w:b/>
          <w:bCs/>
        </w:rPr>
      </w:pPr>
      <w:r>
        <w:rPr>
          <w:rFonts w:cs="Times New Roman"/>
          <w:b/>
          <w:bCs/>
        </w:rPr>
        <w:t>AUTORES</w:t>
      </w:r>
    </w:p>
    <w:p w14:paraId="04B828E4" w14:textId="74417E2A" w:rsidR="00B214AA" w:rsidRPr="00C87A8C" w:rsidRDefault="0038031F" w:rsidP="0015136C">
      <w:pPr>
        <w:spacing w:line="480" w:lineRule="auto"/>
        <w:jc w:val="center"/>
        <w:rPr>
          <w:rFonts w:cs="Times New Roman"/>
          <w:b/>
          <w:bCs/>
        </w:rPr>
      </w:pPr>
      <w:r w:rsidRPr="00C87A8C">
        <w:rPr>
          <w:rFonts w:cs="Times New Roman"/>
          <w:b/>
          <w:bCs/>
        </w:rPr>
        <w:t>JORGE ISAAC CARO SÁNCHEZ</w:t>
      </w:r>
    </w:p>
    <w:p w14:paraId="402EDDD9" w14:textId="150CC91C" w:rsidR="00B214AA" w:rsidRPr="00C87A8C" w:rsidRDefault="0038031F" w:rsidP="0015136C">
      <w:pPr>
        <w:spacing w:line="480" w:lineRule="auto"/>
        <w:jc w:val="center"/>
        <w:rPr>
          <w:rFonts w:cs="Times New Roman"/>
          <w:b/>
          <w:bCs/>
        </w:rPr>
      </w:pPr>
      <w:r w:rsidRPr="00C87A8C">
        <w:rPr>
          <w:rFonts w:cs="Times New Roman"/>
          <w:b/>
          <w:bCs/>
        </w:rPr>
        <w:t>CRISTIAN ANDRÉS OLIVAR ISAZA</w:t>
      </w:r>
    </w:p>
    <w:p w14:paraId="05DE7E69" w14:textId="77777777" w:rsidR="00B214AA" w:rsidRPr="00C87A8C" w:rsidRDefault="00B214AA" w:rsidP="00F22CC6">
      <w:pPr>
        <w:spacing w:line="480" w:lineRule="auto"/>
        <w:ind w:firstLine="0"/>
        <w:rPr>
          <w:rFonts w:cs="Times New Roman"/>
          <w:b/>
          <w:bCs/>
        </w:rPr>
      </w:pPr>
    </w:p>
    <w:p w14:paraId="0D1D0CC6" w14:textId="77777777" w:rsidR="00B214AA" w:rsidRPr="00C87A8C" w:rsidRDefault="00B214AA" w:rsidP="0015136C">
      <w:pPr>
        <w:spacing w:line="480" w:lineRule="auto"/>
        <w:jc w:val="center"/>
        <w:rPr>
          <w:rFonts w:cs="Times New Roman"/>
          <w:b/>
          <w:bCs/>
        </w:rPr>
      </w:pPr>
    </w:p>
    <w:p w14:paraId="6A4D922A" w14:textId="6084D62C" w:rsidR="00B214AA" w:rsidRPr="00C87A8C" w:rsidRDefault="0038031F" w:rsidP="0015136C">
      <w:pPr>
        <w:widowControl w:val="0"/>
        <w:spacing w:line="480" w:lineRule="auto"/>
        <w:jc w:val="center"/>
        <w:rPr>
          <w:rFonts w:cs="Times New Roman"/>
          <w:b/>
          <w:bCs/>
        </w:rPr>
      </w:pPr>
      <w:r w:rsidRPr="00C87A8C">
        <w:rPr>
          <w:rFonts w:cs="Times New Roman"/>
          <w:b/>
          <w:bCs/>
        </w:rPr>
        <w:t>ASESOR: LADY NAYIBE GARCÍA RODRÍGUEZ</w:t>
      </w:r>
    </w:p>
    <w:p w14:paraId="76B825C4" w14:textId="77777777" w:rsidR="00B214AA" w:rsidRDefault="00B214AA" w:rsidP="0015136C">
      <w:pPr>
        <w:widowControl w:val="0"/>
        <w:spacing w:line="480" w:lineRule="auto"/>
        <w:jc w:val="center"/>
        <w:rPr>
          <w:rFonts w:cs="Times New Roman"/>
        </w:rPr>
      </w:pPr>
    </w:p>
    <w:p w14:paraId="516776C1" w14:textId="77777777" w:rsidR="00B214AA" w:rsidRDefault="00B214AA" w:rsidP="00F22CC6">
      <w:pPr>
        <w:widowControl w:val="0"/>
        <w:spacing w:line="480" w:lineRule="auto"/>
        <w:ind w:firstLine="0"/>
        <w:rPr>
          <w:rFonts w:cs="Times New Roman"/>
        </w:rPr>
      </w:pPr>
    </w:p>
    <w:p w14:paraId="05262019" w14:textId="77777777" w:rsidR="00B214AA" w:rsidRPr="00B214AA" w:rsidRDefault="00B214AA" w:rsidP="0015136C">
      <w:pPr>
        <w:widowControl w:val="0"/>
        <w:spacing w:line="480" w:lineRule="auto"/>
        <w:jc w:val="center"/>
        <w:rPr>
          <w:rFonts w:cs="Times New Roman"/>
          <w:b/>
          <w:bCs/>
        </w:rPr>
      </w:pPr>
    </w:p>
    <w:p w14:paraId="746BB666" w14:textId="5ABCB28F" w:rsidR="00B214AA" w:rsidRPr="00B214AA" w:rsidRDefault="00B214AA" w:rsidP="0015136C">
      <w:pPr>
        <w:tabs>
          <w:tab w:val="left" w:pos="3795"/>
        </w:tabs>
        <w:spacing w:line="480" w:lineRule="auto"/>
        <w:jc w:val="center"/>
        <w:rPr>
          <w:rFonts w:cs="Times New Roman"/>
          <w:b/>
          <w:bCs/>
        </w:rPr>
      </w:pPr>
      <w:r w:rsidRPr="00B214AA">
        <w:rPr>
          <w:rFonts w:cs="Times New Roman"/>
          <w:b/>
          <w:bCs/>
        </w:rPr>
        <w:t>UNIVERSIDAD POPULAR DEL CESAR</w:t>
      </w:r>
    </w:p>
    <w:p w14:paraId="1892A7DA" w14:textId="141B0439" w:rsidR="00B214AA" w:rsidRPr="00B214AA" w:rsidRDefault="00B214AA" w:rsidP="0015136C">
      <w:pPr>
        <w:tabs>
          <w:tab w:val="left" w:pos="3795"/>
        </w:tabs>
        <w:spacing w:line="480" w:lineRule="auto"/>
        <w:jc w:val="center"/>
        <w:rPr>
          <w:rFonts w:cs="Times New Roman"/>
          <w:b/>
          <w:bCs/>
        </w:rPr>
      </w:pPr>
      <w:r w:rsidRPr="00B214AA">
        <w:rPr>
          <w:rFonts w:cs="Times New Roman"/>
          <w:b/>
          <w:bCs/>
        </w:rPr>
        <w:t>SECCIONAL AGUACHICA</w:t>
      </w:r>
    </w:p>
    <w:p w14:paraId="7F88A8A6" w14:textId="26425B7E" w:rsidR="00B214AA" w:rsidRDefault="00B214AA" w:rsidP="0015136C">
      <w:pPr>
        <w:tabs>
          <w:tab w:val="left" w:pos="3795"/>
        </w:tabs>
        <w:spacing w:line="480" w:lineRule="auto"/>
        <w:jc w:val="center"/>
        <w:rPr>
          <w:rFonts w:cs="Times New Roman"/>
          <w:b/>
          <w:bCs/>
        </w:rPr>
      </w:pPr>
      <w:r w:rsidRPr="00B214AA">
        <w:rPr>
          <w:rFonts w:cs="Times New Roman"/>
          <w:b/>
          <w:bCs/>
        </w:rPr>
        <w:t>2024</w:t>
      </w:r>
    </w:p>
    <w:p w14:paraId="71D326E7" w14:textId="1AF0B716" w:rsidR="00B214AA" w:rsidRDefault="00B214AA" w:rsidP="0015136C">
      <w:pPr>
        <w:tabs>
          <w:tab w:val="left" w:pos="3795"/>
        </w:tabs>
        <w:spacing w:line="480" w:lineRule="auto"/>
        <w:jc w:val="center"/>
        <w:rPr>
          <w:rFonts w:cs="Times New Roman"/>
          <w:b/>
          <w:bCs/>
        </w:rPr>
      </w:pPr>
    </w:p>
    <w:p w14:paraId="1FAC7EF7" w14:textId="378F9782" w:rsidR="00901E21" w:rsidRDefault="00901E21" w:rsidP="0015136C">
      <w:pPr>
        <w:tabs>
          <w:tab w:val="left" w:pos="3795"/>
        </w:tabs>
        <w:spacing w:line="480" w:lineRule="auto"/>
        <w:jc w:val="center"/>
        <w:rPr>
          <w:rFonts w:cs="Times New Roman"/>
          <w:b/>
          <w:bCs/>
        </w:rPr>
      </w:pPr>
    </w:p>
    <w:p w14:paraId="1AB41E89" w14:textId="0B042C1D" w:rsidR="00901E21" w:rsidRDefault="00901E21" w:rsidP="0015136C">
      <w:pPr>
        <w:tabs>
          <w:tab w:val="left" w:pos="3795"/>
        </w:tabs>
        <w:spacing w:line="480" w:lineRule="auto"/>
        <w:jc w:val="center"/>
        <w:rPr>
          <w:rFonts w:cs="Times New Roman"/>
          <w:b/>
          <w:bCs/>
        </w:rPr>
      </w:pPr>
    </w:p>
    <w:p w14:paraId="76BCB04B"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Nota de Aceptación</w:t>
      </w:r>
    </w:p>
    <w:p w14:paraId="3FC4153F" w14:textId="77777777" w:rsidR="00C3126F" w:rsidRDefault="00C3126F" w:rsidP="00C3126F">
      <w:pPr>
        <w:spacing w:line="240" w:lineRule="auto"/>
        <w:ind w:firstLine="0"/>
        <w:jc w:val="right"/>
        <w:rPr>
          <w:rFonts w:cs="Times New Roman"/>
          <w:b/>
          <w:bCs/>
          <w:szCs w:val="24"/>
          <w:lang w:val="es-ES"/>
        </w:rPr>
      </w:pPr>
    </w:p>
    <w:p w14:paraId="606FF038"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___________________________________</w:t>
      </w:r>
    </w:p>
    <w:p w14:paraId="415F887C"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___________________________________</w:t>
      </w:r>
    </w:p>
    <w:p w14:paraId="0903C55B"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___________________________________</w:t>
      </w:r>
    </w:p>
    <w:p w14:paraId="70B6F265"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___________________________________</w:t>
      </w:r>
    </w:p>
    <w:p w14:paraId="357E11B1" w14:textId="77777777" w:rsidR="00C3126F" w:rsidRDefault="00C3126F" w:rsidP="00C3126F">
      <w:pPr>
        <w:spacing w:line="240" w:lineRule="auto"/>
        <w:ind w:firstLine="0"/>
        <w:jc w:val="right"/>
        <w:rPr>
          <w:rFonts w:cs="Times New Roman"/>
          <w:b/>
          <w:bCs/>
          <w:szCs w:val="24"/>
          <w:lang w:val="es-ES"/>
        </w:rPr>
      </w:pPr>
    </w:p>
    <w:p w14:paraId="407976A9" w14:textId="77777777" w:rsidR="00C3126F" w:rsidRDefault="00C3126F" w:rsidP="00C3126F">
      <w:pPr>
        <w:spacing w:line="240" w:lineRule="auto"/>
        <w:ind w:firstLine="0"/>
        <w:jc w:val="right"/>
        <w:rPr>
          <w:rFonts w:cs="Times New Roman"/>
          <w:b/>
          <w:bCs/>
          <w:szCs w:val="24"/>
          <w:lang w:val="es-ES"/>
        </w:rPr>
      </w:pPr>
    </w:p>
    <w:p w14:paraId="0ECA168D" w14:textId="77777777" w:rsidR="00C3126F" w:rsidRDefault="00C3126F" w:rsidP="00C3126F">
      <w:pPr>
        <w:spacing w:line="240" w:lineRule="auto"/>
        <w:ind w:firstLine="0"/>
        <w:jc w:val="right"/>
        <w:rPr>
          <w:rFonts w:cs="Times New Roman"/>
          <w:b/>
          <w:bCs/>
          <w:szCs w:val="24"/>
          <w:lang w:val="es-ES"/>
        </w:rPr>
      </w:pPr>
    </w:p>
    <w:p w14:paraId="79CFDAF0"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__________________________________</w:t>
      </w:r>
    </w:p>
    <w:p w14:paraId="360F2079"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Firma del Evaluador Temático</w:t>
      </w:r>
    </w:p>
    <w:p w14:paraId="7D5DA263" w14:textId="77777777" w:rsidR="00C3126F" w:rsidRDefault="00C3126F" w:rsidP="00C3126F">
      <w:pPr>
        <w:spacing w:line="240" w:lineRule="auto"/>
        <w:ind w:firstLine="0"/>
        <w:jc w:val="right"/>
        <w:rPr>
          <w:rFonts w:cs="Times New Roman"/>
          <w:b/>
          <w:bCs/>
          <w:szCs w:val="24"/>
          <w:lang w:val="es-ES"/>
        </w:rPr>
      </w:pPr>
    </w:p>
    <w:p w14:paraId="0C2BA767" w14:textId="77777777" w:rsidR="00C3126F" w:rsidRDefault="00C3126F" w:rsidP="00C3126F">
      <w:pPr>
        <w:spacing w:line="240" w:lineRule="auto"/>
        <w:ind w:firstLine="0"/>
        <w:jc w:val="right"/>
        <w:rPr>
          <w:rFonts w:cs="Times New Roman"/>
          <w:b/>
          <w:bCs/>
          <w:szCs w:val="24"/>
          <w:lang w:val="es-ES"/>
        </w:rPr>
      </w:pPr>
    </w:p>
    <w:p w14:paraId="01C1E294"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__________________________________</w:t>
      </w:r>
    </w:p>
    <w:p w14:paraId="061DF82C"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Firma del Evaluador Metodológico</w:t>
      </w:r>
    </w:p>
    <w:p w14:paraId="46C67080" w14:textId="77777777" w:rsidR="00C3126F" w:rsidRDefault="00C3126F" w:rsidP="00C3126F">
      <w:pPr>
        <w:spacing w:line="240" w:lineRule="auto"/>
        <w:ind w:firstLine="0"/>
        <w:jc w:val="right"/>
        <w:rPr>
          <w:rFonts w:cs="Times New Roman"/>
          <w:b/>
          <w:bCs/>
          <w:szCs w:val="24"/>
          <w:lang w:val="es-ES"/>
        </w:rPr>
      </w:pPr>
    </w:p>
    <w:p w14:paraId="45D6B808" w14:textId="77777777" w:rsidR="00C3126F" w:rsidRDefault="00C3126F" w:rsidP="00C3126F">
      <w:pPr>
        <w:spacing w:line="240" w:lineRule="auto"/>
        <w:ind w:firstLine="0"/>
        <w:jc w:val="right"/>
        <w:rPr>
          <w:rFonts w:cs="Times New Roman"/>
          <w:b/>
          <w:bCs/>
          <w:szCs w:val="24"/>
          <w:lang w:val="es-ES"/>
        </w:rPr>
      </w:pPr>
    </w:p>
    <w:p w14:paraId="595ED7C8"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__________________________________</w:t>
      </w:r>
    </w:p>
    <w:p w14:paraId="2688FB6F"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 xml:space="preserve">Firma del Director </w:t>
      </w:r>
    </w:p>
    <w:p w14:paraId="70229AC0" w14:textId="77777777" w:rsidR="00C3126F" w:rsidRDefault="00C3126F" w:rsidP="00C3126F">
      <w:pPr>
        <w:ind w:firstLine="0"/>
        <w:jc w:val="center"/>
        <w:rPr>
          <w:rFonts w:cs="Arial"/>
          <w:b/>
          <w:bCs/>
          <w:szCs w:val="24"/>
        </w:rPr>
      </w:pPr>
    </w:p>
    <w:p w14:paraId="7A97B840"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__________________________________</w:t>
      </w:r>
    </w:p>
    <w:p w14:paraId="29845CDF" w14:textId="77777777" w:rsidR="00C3126F" w:rsidRDefault="00C3126F" w:rsidP="00C3126F">
      <w:pPr>
        <w:spacing w:line="240" w:lineRule="auto"/>
        <w:ind w:firstLine="0"/>
        <w:jc w:val="right"/>
        <w:rPr>
          <w:rFonts w:cs="Times New Roman"/>
          <w:b/>
          <w:bCs/>
          <w:szCs w:val="24"/>
          <w:lang w:val="es-ES"/>
        </w:rPr>
      </w:pPr>
      <w:r>
        <w:rPr>
          <w:rFonts w:cs="Times New Roman"/>
          <w:b/>
          <w:bCs/>
          <w:szCs w:val="24"/>
          <w:lang w:val="es-ES"/>
        </w:rPr>
        <w:t xml:space="preserve">Firma del Codirector </w:t>
      </w:r>
    </w:p>
    <w:p w14:paraId="1230D734" w14:textId="77777777" w:rsidR="00C3126F" w:rsidRDefault="00C3126F" w:rsidP="0015136C">
      <w:pPr>
        <w:tabs>
          <w:tab w:val="left" w:pos="3795"/>
        </w:tabs>
        <w:spacing w:line="480" w:lineRule="auto"/>
        <w:jc w:val="center"/>
        <w:rPr>
          <w:rFonts w:cs="Times New Roman"/>
          <w:b/>
          <w:bCs/>
        </w:rPr>
      </w:pPr>
    </w:p>
    <w:p w14:paraId="55EBA6F6" w14:textId="77777777" w:rsidR="00C3126F" w:rsidRDefault="00C3126F" w:rsidP="0015136C">
      <w:pPr>
        <w:tabs>
          <w:tab w:val="left" w:pos="3795"/>
        </w:tabs>
        <w:spacing w:line="480" w:lineRule="auto"/>
        <w:jc w:val="center"/>
        <w:rPr>
          <w:rFonts w:cs="Times New Roman"/>
          <w:b/>
          <w:bCs/>
        </w:rPr>
      </w:pPr>
    </w:p>
    <w:p w14:paraId="4C70FDF0" w14:textId="77777777" w:rsidR="00C3126F" w:rsidRDefault="00C3126F" w:rsidP="0015136C">
      <w:pPr>
        <w:tabs>
          <w:tab w:val="left" w:pos="3795"/>
        </w:tabs>
        <w:spacing w:line="480" w:lineRule="auto"/>
        <w:jc w:val="center"/>
        <w:rPr>
          <w:rFonts w:cs="Times New Roman"/>
          <w:b/>
          <w:bCs/>
        </w:rPr>
      </w:pPr>
    </w:p>
    <w:p w14:paraId="25CAC079" w14:textId="77777777" w:rsidR="00C3126F" w:rsidRDefault="00C3126F" w:rsidP="0015136C">
      <w:pPr>
        <w:tabs>
          <w:tab w:val="left" w:pos="3795"/>
        </w:tabs>
        <w:spacing w:line="480" w:lineRule="auto"/>
        <w:jc w:val="center"/>
        <w:rPr>
          <w:rFonts w:cs="Times New Roman"/>
          <w:b/>
          <w:bCs/>
        </w:rPr>
      </w:pPr>
    </w:p>
    <w:p w14:paraId="37E04740" w14:textId="77777777" w:rsidR="00C3126F" w:rsidRDefault="00C3126F" w:rsidP="0015136C">
      <w:pPr>
        <w:tabs>
          <w:tab w:val="left" w:pos="3795"/>
        </w:tabs>
        <w:spacing w:line="480" w:lineRule="auto"/>
        <w:jc w:val="center"/>
        <w:rPr>
          <w:rFonts w:cs="Times New Roman"/>
          <w:b/>
          <w:bCs/>
        </w:rPr>
      </w:pPr>
    </w:p>
    <w:p w14:paraId="271EE4CE" w14:textId="4E271EFA" w:rsidR="00B214AA" w:rsidRDefault="00B214AA" w:rsidP="0015136C">
      <w:pPr>
        <w:tabs>
          <w:tab w:val="left" w:pos="3795"/>
        </w:tabs>
        <w:spacing w:line="480" w:lineRule="auto"/>
        <w:jc w:val="center"/>
        <w:rPr>
          <w:rFonts w:cs="Times New Roman"/>
          <w:b/>
          <w:bCs/>
        </w:rPr>
      </w:pPr>
      <w:r>
        <w:rPr>
          <w:rFonts w:cs="Times New Roman"/>
          <w:b/>
          <w:bCs/>
        </w:rPr>
        <w:t>DEDICATORIA</w:t>
      </w:r>
    </w:p>
    <w:p w14:paraId="16490AA0" w14:textId="77777777" w:rsidR="00B214AA" w:rsidRDefault="00B214AA" w:rsidP="0015136C">
      <w:pPr>
        <w:tabs>
          <w:tab w:val="left" w:pos="3795"/>
        </w:tabs>
        <w:spacing w:line="480" w:lineRule="auto"/>
        <w:jc w:val="center"/>
        <w:rPr>
          <w:rFonts w:cs="Times New Roman"/>
          <w:b/>
          <w:bCs/>
        </w:rPr>
      </w:pPr>
    </w:p>
    <w:p w14:paraId="4ED08B39" w14:textId="77777777" w:rsidR="00B214AA" w:rsidRDefault="00B214AA" w:rsidP="0015136C">
      <w:pPr>
        <w:tabs>
          <w:tab w:val="left" w:pos="3795"/>
        </w:tabs>
        <w:spacing w:line="480" w:lineRule="auto"/>
        <w:jc w:val="center"/>
        <w:rPr>
          <w:rFonts w:cs="Times New Roman"/>
          <w:b/>
          <w:bCs/>
        </w:rPr>
      </w:pPr>
    </w:p>
    <w:p w14:paraId="2DBC10C8" w14:textId="77777777" w:rsidR="00B214AA" w:rsidRDefault="00B214AA" w:rsidP="0015136C">
      <w:pPr>
        <w:tabs>
          <w:tab w:val="left" w:pos="3795"/>
        </w:tabs>
        <w:spacing w:line="480" w:lineRule="auto"/>
        <w:jc w:val="center"/>
        <w:rPr>
          <w:rFonts w:cs="Times New Roman"/>
          <w:b/>
          <w:bCs/>
        </w:rPr>
      </w:pPr>
    </w:p>
    <w:p w14:paraId="01F17ABD" w14:textId="77777777" w:rsidR="00B214AA" w:rsidRDefault="00B214AA" w:rsidP="0015136C">
      <w:pPr>
        <w:tabs>
          <w:tab w:val="left" w:pos="3795"/>
        </w:tabs>
        <w:spacing w:line="480" w:lineRule="auto"/>
        <w:jc w:val="center"/>
        <w:rPr>
          <w:rFonts w:cs="Times New Roman"/>
          <w:b/>
          <w:bCs/>
        </w:rPr>
      </w:pPr>
    </w:p>
    <w:p w14:paraId="6562530C" w14:textId="77777777" w:rsidR="00B214AA" w:rsidRDefault="00B214AA" w:rsidP="0015136C">
      <w:pPr>
        <w:tabs>
          <w:tab w:val="left" w:pos="3795"/>
        </w:tabs>
        <w:spacing w:line="480" w:lineRule="auto"/>
        <w:jc w:val="center"/>
        <w:rPr>
          <w:rFonts w:cs="Times New Roman"/>
          <w:b/>
          <w:bCs/>
        </w:rPr>
      </w:pPr>
    </w:p>
    <w:p w14:paraId="3F7B760A" w14:textId="77777777" w:rsidR="00B214AA" w:rsidRDefault="00B214AA" w:rsidP="0015136C">
      <w:pPr>
        <w:tabs>
          <w:tab w:val="left" w:pos="3795"/>
        </w:tabs>
        <w:spacing w:line="480" w:lineRule="auto"/>
        <w:jc w:val="center"/>
        <w:rPr>
          <w:rFonts w:cs="Times New Roman"/>
          <w:b/>
          <w:bCs/>
        </w:rPr>
      </w:pPr>
    </w:p>
    <w:p w14:paraId="15C48F39" w14:textId="77777777" w:rsidR="00B214AA" w:rsidRDefault="00B214AA" w:rsidP="0015136C">
      <w:pPr>
        <w:tabs>
          <w:tab w:val="left" w:pos="3795"/>
        </w:tabs>
        <w:spacing w:line="480" w:lineRule="auto"/>
        <w:jc w:val="center"/>
        <w:rPr>
          <w:rFonts w:cs="Times New Roman"/>
          <w:b/>
          <w:bCs/>
        </w:rPr>
      </w:pPr>
    </w:p>
    <w:p w14:paraId="7F42A59B" w14:textId="77777777" w:rsidR="00B214AA" w:rsidRDefault="00B214AA" w:rsidP="0015136C">
      <w:pPr>
        <w:tabs>
          <w:tab w:val="left" w:pos="3795"/>
        </w:tabs>
        <w:spacing w:line="480" w:lineRule="auto"/>
        <w:jc w:val="center"/>
        <w:rPr>
          <w:rFonts w:cs="Times New Roman"/>
          <w:b/>
          <w:bCs/>
        </w:rPr>
      </w:pPr>
    </w:p>
    <w:p w14:paraId="0F74F016" w14:textId="77777777" w:rsidR="00B214AA" w:rsidRDefault="00B214AA" w:rsidP="0015136C">
      <w:pPr>
        <w:tabs>
          <w:tab w:val="left" w:pos="3795"/>
        </w:tabs>
        <w:spacing w:line="480" w:lineRule="auto"/>
        <w:jc w:val="center"/>
        <w:rPr>
          <w:rFonts w:cs="Times New Roman"/>
          <w:b/>
          <w:bCs/>
        </w:rPr>
      </w:pPr>
    </w:p>
    <w:p w14:paraId="5713C869" w14:textId="77777777" w:rsidR="00B214AA" w:rsidRDefault="00B214AA" w:rsidP="0015136C">
      <w:pPr>
        <w:tabs>
          <w:tab w:val="left" w:pos="3795"/>
        </w:tabs>
        <w:spacing w:line="480" w:lineRule="auto"/>
        <w:jc w:val="center"/>
        <w:rPr>
          <w:rFonts w:cs="Times New Roman"/>
          <w:b/>
          <w:bCs/>
        </w:rPr>
      </w:pPr>
    </w:p>
    <w:p w14:paraId="683B2C2B" w14:textId="77777777" w:rsidR="00B214AA" w:rsidRDefault="00B214AA" w:rsidP="0015136C">
      <w:pPr>
        <w:tabs>
          <w:tab w:val="left" w:pos="3795"/>
        </w:tabs>
        <w:spacing w:line="480" w:lineRule="auto"/>
        <w:jc w:val="center"/>
        <w:rPr>
          <w:rFonts w:cs="Times New Roman"/>
          <w:b/>
          <w:bCs/>
        </w:rPr>
      </w:pPr>
    </w:p>
    <w:p w14:paraId="2A988FFF" w14:textId="77777777" w:rsidR="00B214AA" w:rsidRDefault="00B214AA" w:rsidP="0015136C">
      <w:pPr>
        <w:tabs>
          <w:tab w:val="left" w:pos="3795"/>
        </w:tabs>
        <w:spacing w:line="480" w:lineRule="auto"/>
        <w:jc w:val="center"/>
        <w:rPr>
          <w:rFonts w:cs="Times New Roman"/>
          <w:b/>
          <w:bCs/>
        </w:rPr>
      </w:pPr>
    </w:p>
    <w:p w14:paraId="50458C18" w14:textId="77777777" w:rsidR="00B214AA" w:rsidRDefault="00B214AA" w:rsidP="0015136C">
      <w:pPr>
        <w:tabs>
          <w:tab w:val="left" w:pos="3795"/>
        </w:tabs>
        <w:spacing w:line="480" w:lineRule="auto"/>
        <w:jc w:val="center"/>
        <w:rPr>
          <w:rFonts w:cs="Times New Roman"/>
          <w:b/>
          <w:bCs/>
        </w:rPr>
      </w:pPr>
    </w:p>
    <w:p w14:paraId="34747052" w14:textId="77777777" w:rsidR="00B214AA" w:rsidRDefault="00B214AA" w:rsidP="0015136C">
      <w:pPr>
        <w:tabs>
          <w:tab w:val="left" w:pos="3795"/>
        </w:tabs>
        <w:spacing w:line="480" w:lineRule="auto"/>
        <w:jc w:val="center"/>
        <w:rPr>
          <w:rFonts w:cs="Times New Roman"/>
          <w:b/>
          <w:bCs/>
        </w:rPr>
      </w:pPr>
    </w:p>
    <w:p w14:paraId="0669F689" w14:textId="08603058" w:rsidR="00B214AA" w:rsidRDefault="00B214AA" w:rsidP="00901E21">
      <w:pPr>
        <w:tabs>
          <w:tab w:val="left" w:pos="3795"/>
        </w:tabs>
        <w:spacing w:line="480" w:lineRule="auto"/>
        <w:ind w:firstLine="0"/>
        <w:rPr>
          <w:rFonts w:cs="Times New Roman"/>
          <w:b/>
          <w:bCs/>
        </w:rPr>
      </w:pPr>
    </w:p>
    <w:p w14:paraId="6D2B4C2D" w14:textId="77777777" w:rsidR="00901E21" w:rsidRDefault="00901E21" w:rsidP="00901E21">
      <w:pPr>
        <w:tabs>
          <w:tab w:val="left" w:pos="3795"/>
        </w:tabs>
        <w:spacing w:line="480" w:lineRule="auto"/>
        <w:ind w:firstLine="0"/>
        <w:rPr>
          <w:rFonts w:cs="Times New Roman"/>
          <w:b/>
          <w:bCs/>
        </w:rPr>
      </w:pPr>
    </w:p>
    <w:p w14:paraId="30F1CC1F" w14:textId="77777777" w:rsidR="00B214AA" w:rsidRDefault="00B214AA" w:rsidP="0015136C">
      <w:pPr>
        <w:tabs>
          <w:tab w:val="left" w:pos="3795"/>
        </w:tabs>
        <w:spacing w:line="480" w:lineRule="auto"/>
        <w:jc w:val="center"/>
        <w:rPr>
          <w:rFonts w:cs="Times New Roman"/>
          <w:b/>
          <w:bCs/>
        </w:rPr>
      </w:pPr>
    </w:p>
    <w:p w14:paraId="63DB2072" w14:textId="09D4759D" w:rsidR="00B214AA" w:rsidRDefault="00B214AA" w:rsidP="0015136C">
      <w:pPr>
        <w:tabs>
          <w:tab w:val="left" w:pos="3795"/>
        </w:tabs>
        <w:spacing w:line="480" w:lineRule="auto"/>
        <w:jc w:val="center"/>
        <w:rPr>
          <w:rFonts w:cs="Times New Roman"/>
          <w:b/>
          <w:bCs/>
        </w:rPr>
      </w:pPr>
      <w:r>
        <w:rPr>
          <w:rFonts w:cs="Times New Roman"/>
          <w:b/>
          <w:bCs/>
        </w:rPr>
        <w:t>AGRADECIMIENTO</w:t>
      </w:r>
    </w:p>
    <w:p w14:paraId="3815DFBC" w14:textId="77777777" w:rsidR="00B214AA" w:rsidRDefault="00B214AA" w:rsidP="0015136C">
      <w:pPr>
        <w:tabs>
          <w:tab w:val="left" w:pos="3795"/>
        </w:tabs>
        <w:spacing w:line="480" w:lineRule="auto"/>
        <w:jc w:val="center"/>
        <w:rPr>
          <w:rFonts w:cs="Times New Roman"/>
          <w:b/>
          <w:bCs/>
        </w:rPr>
      </w:pPr>
    </w:p>
    <w:p w14:paraId="1BAFE34D" w14:textId="77777777" w:rsidR="00B214AA" w:rsidRDefault="00B214AA" w:rsidP="0015136C">
      <w:pPr>
        <w:tabs>
          <w:tab w:val="left" w:pos="3795"/>
        </w:tabs>
        <w:spacing w:line="480" w:lineRule="auto"/>
        <w:jc w:val="center"/>
        <w:rPr>
          <w:rFonts w:cs="Times New Roman"/>
          <w:b/>
          <w:bCs/>
        </w:rPr>
      </w:pPr>
    </w:p>
    <w:p w14:paraId="015F894E" w14:textId="77777777" w:rsidR="00B214AA" w:rsidRDefault="00B214AA" w:rsidP="0015136C">
      <w:pPr>
        <w:tabs>
          <w:tab w:val="left" w:pos="3795"/>
        </w:tabs>
        <w:spacing w:line="480" w:lineRule="auto"/>
        <w:jc w:val="center"/>
        <w:rPr>
          <w:rFonts w:cs="Times New Roman"/>
          <w:b/>
          <w:bCs/>
        </w:rPr>
      </w:pPr>
    </w:p>
    <w:p w14:paraId="6626569F" w14:textId="77777777" w:rsidR="00B214AA" w:rsidRDefault="00B214AA" w:rsidP="0015136C">
      <w:pPr>
        <w:tabs>
          <w:tab w:val="left" w:pos="3795"/>
        </w:tabs>
        <w:spacing w:line="480" w:lineRule="auto"/>
        <w:jc w:val="center"/>
        <w:rPr>
          <w:rFonts w:cs="Times New Roman"/>
          <w:b/>
          <w:bCs/>
        </w:rPr>
      </w:pPr>
    </w:p>
    <w:p w14:paraId="1596BACB" w14:textId="77777777" w:rsidR="00B214AA" w:rsidRDefault="00B214AA" w:rsidP="0015136C">
      <w:pPr>
        <w:tabs>
          <w:tab w:val="left" w:pos="3795"/>
        </w:tabs>
        <w:spacing w:line="480" w:lineRule="auto"/>
        <w:jc w:val="center"/>
        <w:rPr>
          <w:rFonts w:cs="Times New Roman"/>
          <w:b/>
          <w:bCs/>
        </w:rPr>
      </w:pPr>
    </w:p>
    <w:p w14:paraId="6000F504" w14:textId="77777777" w:rsidR="00B214AA" w:rsidRDefault="00B214AA" w:rsidP="0015136C">
      <w:pPr>
        <w:tabs>
          <w:tab w:val="left" w:pos="3795"/>
        </w:tabs>
        <w:spacing w:line="480" w:lineRule="auto"/>
        <w:jc w:val="center"/>
        <w:rPr>
          <w:rFonts w:cs="Times New Roman"/>
          <w:b/>
          <w:bCs/>
        </w:rPr>
      </w:pPr>
    </w:p>
    <w:p w14:paraId="52740777" w14:textId="77777777" w:rsidR="00B214AA" w:rsidRDefault="00B214AA" w:rsidP="0015136C">
      <w:pPr>
        <w:tabs>
          <w:tab w:val="left" w:pos="3795"/>
        </w:tabs>
        <w:spacing w:line="480" w:lineRule="auto"/>
        <w:jc w:val="center"/>
        <w:rPr>
          <w:rFonts w:cs="Times New Roman"/>
          <w:b/>
          <w:bCs/>
        </w:rPr>
      </w:pPr>
    </w:p>
    <w:p w14:paraId="1306219D" w14:textId="31163AA2" w:rsidR="00B214AA" w:rsidRDefault="00B214AA" w:rsidP="0015136C">
      <w:pPr>
        <w:tabs>
          <w:tab w:val="left" w:pos="3795"/>
        </w:tabs>
        <w:spacing w:line="480" w:lineRule="auto"/>
        <w:jc w:val="center"/>
        <w:rPr>
          <w:rFonts w:cs="Times New Roman"/>
          <w:b/>
          <w:bCs/>
        </w:rPr>
      </w:pPr>
    </w:p>
    <w:p w14:paraId="3CD41C10" w14:textId="77777777" w:rsidR="00901E21" w:rsidRDefault="00901E21" w:rsidP="0015136C">
      <w:pPr>
        <w:tabs>
          <w:tab w:val="left" w:pos="3795"/>
        </w:tabs>
        <w:spacing w:line="480" w:lineRule="auto"/>
        <w:jc w:val="center"/>
        <w:rPr>
          <w:rFonts w:cs="Times New Roman"/>
          <w:b/>
          <w:bCs/>
        </w:rPr>
      </w:pPr>
    </w:p>
    <w:p w14:paraId="6C1579A4" w14:textId="77777777" w:rsidR="00B214AA" w:rsidRDefault="00B214AA" w:rsidP="0015136C">
      <w:pPr>
        <w:tabs>
          <w:tab w:val="left" w:pos="3795"/>
        </w:tabs>
        <w:spacing w:line="480" w:lineRule="auto"/>
        <w:jc w:val="center"/>
        <w:rPr>
          <w:rFonts w:cs="Times New Roman"/>
          <w:b/>
          <w:bCs/>
        </w:rPr>
      </w:pPr>
    </w:p>
    <w:p w14:paraId="06A3D723" w14:textId="77777777" w:rsidR="00B214AA" w:rsidRDefault="00B214AA" w:rsidP="0015136C">
      <w:pPr>
        <w:tabs>
          <w:tab w:val="left" w:pos="3795"/>
        </w:tabs>
        <w:spacing w:line="480" w:lineRule="auto"/>
        <w:jc w:val="center"/>
        <w:rPr>
          <w:rFonts w:cs="Times New Roman"/>
          <w:b/>
          <w:bCs/>
        </w:rPr>
      </w:pPr>
    </w:p>
    <w:p w14:paraId="2E0997D0" w14:textId="6FF5E301" w:rsidR="00B214AA" w:rsidRDefault="00B214AA" w:rsidP="0015136C">
      <w:pPr>
        <w:tabs>
          <w:tab w:val="left" w:pos="3795"/>
        </w:tabs>
        <w:spacing w:line="480" w:lineRule="auto"/>
        <w:jc w:val="center"/>
        <w:rPr>
          <w:rFonts w:cs="Times New Roman"/>
          <w:b/>
          <w:bCs/>
        </w:rPr>
      </w:pPr>
    </w:p>
    <w:p w14:paraId="47129DDD" w14:textId="303F14E8" w:rsidR="00901E21" w:rsidRDefault="00901E21" w:rsidP="0015136C">
      <w:pPr>
        <w:tabs>
          <w:tab w:val="left" w:pos="3795"/>
        </w:tabs>
        <w:spacing w:line="480" w:lineRule="auto"/>
        <w:jc w:val="center"/>
        <w:rPr>
          <w:rFonts w:cs="Times New Roman"/>
          <w:b/>
          <w:bCs/>
        </w:rPr>
      </w:pPr>
    </w:p>
    <w:p w14:paraId="7F11D827" w14:textId="6A9E4222" w:rsidR="00901E21" w:rsidRDefault="00901E21" w:rsidP="0015136C">
      <w:pPr>
        <w:tabs>
          <w:tab w:val="left" w:pos="3795"/>
        </w:tabs>
        <w:spacing w:line="480" w:lineRule="auto"/>
        <w:jc w:val="center"/>
        <w:rPr>
          <w:rFonts w:cs="Times New Roman"/>
          <w:b/>
          <w:bCs/>
        </w:rPr>
      </w:pPr>
    </w:p>
    <w:p w14:paraId="545BF6D4" w14:textId="6719131B" w:rsidR="00901E21" w:rsidRDefault="00901E21" w:rsidP="0015136C">
      <w:pPr>
        <w:tabs>
          <w:tab w:val="left" w:pos="3795"/>
        </w:tabs>
        <w:spacing w:line="480" w:lineRule="auto"/>
        <w:jc w:val="center"/>
        <w:rPr>
          <w:rFonts w:cs="Times New Roman"/>
          <w:b/>
          <w:bCs/>
        </w:rPr>
      </w:pPr>
    </w:p>
    <w:p w14:paraId="47FEE8D2" w14:textId="77777777" w:rsidR="00901E21" w:rsidRDefault="00901E21" w:rsidP="0015136C">
      <w:pPr>
        <w:tabs>
          <w:tab w:val="left" w:pos="3795"/>
        </w:tabs>
        <w:spacing w:line="480" w:lineRule="auto"/>
        <w:jc w:val="center"/>
        <w:rPr>
          <w:rFonts w:cs="Times New Roman"/>
          <w:b/>
          <w:bCs/>
        </w:rPr>
      </w:pPr>
    </w:p>
    <w:p w14:paraId="64341419" w14:textId="77777777" w:rsidR="00B214AA" w:rsidRDefault="00B214AA" w:rsidP="0015136C">
      <w:pPr>
        <w:tabs>
          <w:tab w:val="left" w:pos="3795"/>
        </w:tabs>
        <w:spacing w:line="480" w:lineRule="auto"/>
        <w:jc w:val="center"/>
        <w:rPr>
          <w:rFonts w:cs="Times New Roman"/>
          <w:b/>
          <w:bCs/>
        </w:rPr>
      </w:pPr>
    </w:p>
    <w:sdt>
      <w:sdtPr>
        <w:rPr>
          <w:rFonts w:ascii="Times New Roman" w:eastAsiaTheme="minorHAnsi" w:hAnsi="Times New Roman" w:cs="Times New Roman"/>
          <w:color w:val="auto"/>
          <w:kern w:val="2"/>
          <w:sz w:val="24"/>
          <w:szCs w:val="24"/>
          <w:lang w:val="es-CO" w:eastAsia="en-US"/>
          <w14:ligatures w14:val="standardContextual"/>
        </w:rPr>
        <w:id w:val="51592583"/>
        <w:docPartObj>
          <w:docPartGallery w:val="Table of Contents"/>
          <w:docPartUnique/>
        </w:docPartObj>
      </w:sdtPr>
      <w:sdtEndPr>
        <w:rPr>
          <w:b/>
          <w:bCs/>
        </w:rPr>
      </w:sdtEndPr>
      <w:sdtContent>
        <w:p w14:paraId="63E0CCAC" w14:textId="15EABCCC" w:rsidR="00F22CC6" w:rsidRDefault="00F22CC6" w:rsidP="00F22CC6">
          <w:pPr>
            <w:pStyle w:val="TtuloTDC"/>
            <w:spacing w:line="240" w:lineRule="auto"/>
            <w:jc w:val="center"/>
            <w:rPr>
              <w:rFonts w:ascii="Times New Roman" w:hAnsi="Times New Roman" w:cs="Times New Roman"/>
              <w:b/>
              <w:bCs/>
              <w:color w:val="auto"/>
              <w:sz w:val="24"/>
              <w:szCs w:val="24"/>
            </w:rPr>
          </w:pPr>
          <w:r w:rsidRPr="00F22CC6">
            <w:rPr>
              <w:rFonts w:ascii="Times New Roman" w:hAnsi="Times New Roman" w:cs="Times New Roman"/>
              <w:b/>
              <w:bCs/>
              <w:color w:val="auto"/>
              <w:sz w:val="24"/>
              <w:szCs w:val="24"/>
            </w:rPr>
            <w:t>CONTENIDO</w:t>
          </w:r>
        </w:p>
        <w:p w14:paraId="5DAB08CF" w14:textId="77777777" w:rsidR="00C10708" w:rsidRPr="00C10708" w:rsidRDefault="00C10708" w:rsidP="00C10708">
          <w:pPr>
            <w:rPr>
              <w:lang w:val="es-ES" w:eastAsia="es-ES"/>
            </w:rPr>
          </w:pPr>
        </w:p>
        <w:p w14:paraId="27E363D5" w14:textId="77777777" w:rsidR="00C97554" w:rsidRDefault="00F22CC6">
          <w:pPr>
            <w:pStyle w:val="TDC1"/>
            <w:rPr>
              <w:rFonts w:asciiTheme="minorHAnsi" w:eastAsiaTheme="minorEastAsia" w:hAnsiTheme="minorHAnsi"/>
              <w:noProof/>
              <w:kern w:val="0"/>
              <w:sz w:val="22"/>
              <w:lang w:eastAsia="es-CO"/>
              <w14:ligatures w14:val="none"/>
            </w:rPr>
          </w:pPr>
          <w:r w:rsidRPr="00F22CC6">
            <w:rPr>
              <w:rFonts w:cs="Times New Roman"/>
              <w:szCs w:val="24"/>
            </w:rPr>
            <w:fldChar w:fldCharType="begin"/>
          </w:r>
          <w:r w:rsidRPr="00F22CC6">
            <w:rPr>
              <w:rFonts w:cs="Times New Roman"/>
              <w:szCs w:val="24"/>
            </w:rPr>
            <w:instrText xml:space="preserve"> TOC \o "1-3" \h \z \u </w:instrText>
          </w:r>
          <w:r w:rsidRPr="00F22CC6">
            <w:rPr>
              <w:rFonts w:cs="Times New Roman"/>
              <w:szCs w:val="24"/>
            </w:rPr>
            <w:fldChar w:fldCharType="separate"/>
          </w:r>
          <w:hyperlink w:anchor="_Toc183783007" w:history="1">
            <w:r w:rsidR="00C97554" w:rsidRPr="00202143">
              <w:rPr>
                <w:rStyle w:val="Hipervnculo"/>
                <w:noProof/>
              </w:rPr>
              <w:t>RESUMEN</w:t>
            </w:r>
            <w:r w:rsidR="00C97554">
              <w:rPr>
                <w:noProof/>
                <w:webHidden/>
              </w:rPr>
              <w:tab/>
            </w:r>
            <w:r w:rsidR="00C97554">
              <w:rPr>
                <w:noProof/>
                <w:webHidden/>
              </w:rPr>
              <w:fldChar w:fldCharType="begin"/>
            </w:r>
            <w:r w:rsidR="00C97554">
              <w:rPr>
                <w:noProof/>
                <w:webHidden/>
              </w:rPr>
              <w:instrText xml:space="preserve"> PAGEREF _Toc183783007 \h </w:instrText>
            </w:r>
            <w:r w:rsidR="00C97554">
              <w:rPr>
                <w:noProof/>
                <w:webHidden/>
              </w:rPr>
            </w:r>
            <w:r w:rsidR="00C97554">
              <w:rPr>
                <w:noProof/>
                <w:webHidden/>
              </w:rPr>
              <w:fldChar w:fldCharType="separate"/>
            </w:r>
            <w:r w:rsidR="00C10708">
              <w:rPr>
                <w:noProof/>
                <w:webHidden/>
              </w:rPr>
              <w:t>10</w:t>
            </w:r>
            <w:r w:rsidR="00C97554">
              <w:rPr>
                <w:noProof/>
                <w:webHidden/>
              </w:rPr>
              <w:fldChar w:fldCharType="end"/>
            </w:r>
          </w:hyperlink>
        </w:p>
        <w:p w14:paraId="5979A776" w14:textId="77777777" w:rsidR="00C97554" w:rsidRDefault="00E23E2B">
          <w:pPr>
            <w:pStyle w:val="TDC1"/>
            <w:rPr>
              <w:rFonts w:asciiTheme="minorHAnsi" w:eastAsiaTheme="minorEastAsia" w:hAnsiTheme="minorHAnsi"/>
              <w:noProof/>
              <w:kern w:val="0"/>
              <w:sz w:val="22"/>
              <w:lang w:eastAsia="es-CO"/>
              <w14:ligatures w14:val="none"/>
            </w:rPr>
          </w:pPr>
          <w:hyperlink w:anchor="_Toc183783008" w:history="1">
            <w:r w:rsidR="00C97554" w:rsidRPr="00202143">
              <w:rPr>
                <w:rStyle w:val="Hipervnculo"/>
                <w:noProof/>
              </w:rPr>
              <w:t>INTRODUCCION</w:t>
            </w:r>
            <w:r w:rsidR="00C97554">
              <w:rPr>
                <w:noProof/>
                <w:webHidden/>
              </w:rPr>
              <w:tab/>
            </w:r>
            <w:r w:rsidR="00C97554">
              <w:rPr>
                <w:noProof/>
                <w:webHidden/>
              </w:rPr>
              <w:fldChar w:fldCharType="begin"/>
            </w:r>
            <w:r w:rsidR="00C97554">
              <w:rPr>
                <w:noProof/>
                <w:webHidden/>
              </w:rPr>
              <w:instrText xml:space="preserve"> PAGEREF _Toc183783008 \h </w:instrText>
            </w:r>
            <w:r w:rsidR="00C97554">
              <w:rPr>
                <w:noProof/>
                <w:webHidden/>
              </w:rPr>
            </w:r>
            <w:r w:rsidR="00C97554">
              <w:rPr>
                <w:noProof/>
                <w:webHidden/>
              </w:rPr>
              <w:fldChar w:fldCharType="separate"/>
            </w:r>
            <w:r w:rsidR="00C10708">
              <w:rPr>
                <w:noProof/>
                <w:webHidden/>
              </w:rPr>
              <w:t>12</w:t>
            </w:r>
            <w:r w:rsidR="00C97554">
              <w:rPr>
                <w:noProof/>
                <w:webHidden/>
              </w:rPr>
              <w:fldChar w:fldCharType="end"/>
            </w:r>
          </w:hyperlink>
        </w:p>
        <w:p w14:paraId="2B1A45D7" w14:textId="77777777" w:rsidR="00C97554" w:rsidRDefault="00E23E2B">
          <w:pPr>
            <w:pStyle w:val="TDC1"/>
            <w:tabs>
              <w:tab w:val="left" w:pos="480"/>
            </w:tabs>
            <w:rPr>
              <w:rFonts w:asciiTheme="minorHAnsi" w:eastAsiaTheme="minorEastAsia" w:hAnsiTheme="minorHAnsi"/>
              <w:noProof/>
              <w:kern w:val="0"/>
              <w:sz w:val="22"/>
              <w:lang w:eastAsia="es-CO"/>
              <w14:ligatures w14:val="none"/>
            </w:rPr>
          </w:pPr>
          <w:hyperlink w:anchor="_Toc183783009" w:history="1">
            <w:r w:rsidR="00C97554" w:rsidRPr="00202143">
              <w:rPr>
                <w:rStyle w:val="Hipervnculo"/>
                <w:noProof/>
              </w:rPr>
              <w:t>1.</w:t>
            </w:r>
            <w:r w:rsidR="00C97554">
              <w:rPr>
                <w:rFonts w:asciiTheme="minorHAnsi" w:eastAsiaTheme="minorEastAsia" w:hAnsiTheme="minorHAnsi"/>
                <w:noProof/>
                <w:kern w:val="0"/>
                <w:sz w:val="22"/>
                <w:lang w:eastAsia="es-CO"/>
                <w14:ligatures w14:val="none"/>
              </w:rPr>
              <w:tab/>
            </w:r>
            <w:r w:rsidR="00C97554" w:rsidRPr="00202143">
              <w:rPr>
                <w:rStyle w:val="Hipervnculo"/>
                <w:noProof/>
              </w:rPr>
              <w:t>CAPITULO 1. PROPUESTA DE INVESTIGACION</w:t>
            </w:r>
            <w:r w:rsidR="00C97554">
              <w:rPr>
                <w:noProof/>
                <w:webHidden/>
              </w:rPr>
              <w:tab/>
            </w:r>
            <w:r w:rsidR="00C97554">
              <w:rPr>
                <w:noProof/>
                <w:webHidden/>
              </w:rPr>
              <w:fldChar w:fldCharType="begin"/>
            </w:r>
            <w:r w:rsidR="00C97554">
              <w:rPr>
                <w:noProof/>
                <w:webHidden/>
              </w:rPr>
              <w:instrText xml:space="preserve"> PAGEREF _Toc183783009 \h </w:instrText>
            </w:r>
            <w:r w:rsidR="00C97554">
              <w:rPr>
                <w:noProof/>
                <w:webHidden/>
              </w:rPr>
            </w:r>
            <w:r w:rsidR="00C97554">
              <w:rPr>
                <w:noProof/>
                <w:webHidden/>
              </w:rPr>
              <w:fldChar w:fldCharType="separate"/>
            </w:r>
            <w:r w:rsidR="00C10708">
              <w:rPr>
                <w:noProof/>
                <w:webHidden/>
              </w:rPr>
              <w:t>14</w:t>
            </w:r>
            <w:r w:rsidR="00C97554">
              <w:rPr>
                <w:noProof/>
                <w:webHidden/>
              </w:rPr>
              <w:fldChar w:fldCharType="end"/>
            </w:r>
          </w:hyperlink>
        </w:p>
        <w:p w14:paraId="29F61921"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10" w:history="1">
            <w:r w:rsidR="00C97554" w:rsidRPr="00202143">
              <w:rPr>
                <w:rStyle w:val="Hipervnculo"/>
                <w:noProof/>
              </w:rPr>
              <w:t>1.1.</w:t>
            </w:r>
            <w:r w:rsidR="00C97554">
              <w:rPr>
                <w:rFonts w:asciiTheme="minorHAnsi" w:eastAsiaTheme="minorEastAsia" w:hAnsiTheme="minorHAnsi"/>
                <w:noProof/>
                <w:kern w:val="0"/>
                <w:sz w:val="22"/>
                <w:lang w:eastAsia="es-CO"/>
                <w14:ligatures w14:val="none"/>
              </w:rPr>
              <w:tab/>
            </w:r>
            <w:r w:rsidR="00C97554" w:rsidRPr="00202143">
              <w:rPr>
                <w:rStyle w:val="Hipervnculo"/>
                <w:noProof/>
              </w:rPr>
              <w:t>PLANTEAMIENTO DEL PROBLEMA</w:t>
            </w:r>
            <w:r w:rsidR="00C97554">
              <w:rPr>
                <w:noProof/>
                <w:webHidden/>
              </w:rPr>
              <w:tab/>
            </w:r>
            <w:r w:rsidR="00C97554">
              <w:rPr>
                <w:noProof/>
                <w:webHidden/>
              </w:rPr>
              <w:fldChar w:fldCharType="begin"/>
            </w:r>
            <w:r w:rsidR="00C97554">
              <w:rPr>
                <w:noProof/>
                <w:webHidden/>
              </w:rPr>
              <w:instrText xml:space="preserve"> PAGEREF _Toc183783010 \h </w:instrText>
            </w:r>
            <w:r w:rsidR="00C97554">
              <w:rPr>
                <w:noProof/>
                <w:webHidden/>
              </w:rPr>
            </w:r>
            <w:r w:rsidR="00C97554">
              <w:rPr>
                <w:noProof/>
                <w:webHidden/>
              </w:rPr>
              <w:fldChar w:fldCharType="separate"/>
            </w:r>
            <w:r w:rsidR="00C10708">
              <w:rPr>
                <w:noProof/>
                <w:webHidden/>
              </w:rPr>
              <w:t>14</w:t>
            </w:r>
            <w:r w:rsidR="00C97554">
              <w:rPr>
                <w:noProof/>
                <w:webHidden/>
              </w:rPr>
              <w:fldChar w:fldCharType="end"/>
            </w:r>
          </w:hyperlink>
        </w:p>
        <w:p w14:paraId="612EE087"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11" w:history="1">
            <w:r w:rsidR="00C97554" w:rsidRPr="00202143">
              <w:rPr>
                <w:rStyle w:val="Hipervnculo"/>
                <w:noProof/>
              </w:rPr>
              <w:t>1.2.</w:t>
            </w:r>
            <w:r w:rsidR="00C97554">
              <w:rPr>
                <w:rFonts w:asciiTheme="minorHAnsi" w:eastAsiaTheme="minorEastAsia" w:hAnsiTheme="minorHAnsi"/>
                <w:noProof/>
                <w:kern w:val="0"/>
                <w:sz w:val="22"/>
                <w:lang w:eastAsia="es-CO"/>
                <w14:ligatures w14:val="none"/>
              </w:rPr>
              <w:tab/>
            </w:r>
            <w:r w:rsidR="00C97554" w:rsidRPr="00202143">
              <w:rPr>
                <w:rStyle w:val="Hipervnculo"/>
                <w:noProof/>
              </w:rPr>
              <w:t>SISTEMATIZACIÓN DEL PROBLEMA DE INVESTIGACIÓN</w:t>
            </w:r>
            <w:r w:rsidR="00C97554">
              <w:rPr>
                <w:noProof/>
                <w:webHidden/>
              </w:rPr>
              <w:tab/>
            </w:r>
            <w:r w:rsidR="00C97554">
              <w:rPr>
                <w:noProof/>
                <w:webHidden/>
              </w:rPr>
              <w:fldChar w:fldCharType="begin"/>
            </w:r>
            <w:r w:rsidR="00C97554">
              <w:rPr>
                <w:noProof/>
                <w:webHidden/>
              </w:rPr>
              <w:instrText xml:space="preserve"> PAGEREF _Toc183783011 \h </w:instrText>
            </w:r>
            <w:r w:rsidR="00C97554">
              <w:rPr>
                <w:noProof/>
                <w:webHidden/>
              </w:rPr>
            </w:r>
            <w:r w:rsidR="00C97554">
              <w:rPr>
                <w:noProof/>
                <w:webHidden/>
              </w:rPr>
              <w:fldChar w:fldCharType="separate"/>
            </w:r>
            <w:r w:rsidR="00C10708">
              <w:rPr>
                <w:noProof/>
                <w:webHidden/>
              </w:rPr>
              <w:t>17</w:t>
            </w:r>
            <w:r w:rsidR="00C97554">
              <w:rPr>
                <w:noProof/>
                <w:webHidden/>
              </w:rPr>
              <w:fldChar w:fldCharType="end"/>
            </w:r>
          </w:hyperlink>
        </w:p>
        <w:p w14:paraId="5E687734"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12" w:history="1">
            <w:r w:rsidR="00C97554" w:rsidRPr="00202143">
              <w:rPr>
                <w:rStyle w:val="Hipervnculo"/>
                <w:noProof/>
              </w:rPr>
              <w:t>1.3.</w:t>
            </w:r>
            <w:r w:rsidR="00C97554">
              <w:rPr>
                <w:rFonts w:asciiTheme="minorHAnsi" w:eastAsiaTheme="minorEastAsia" w:hAnsiTheme="minorHAnsi"/>
                <w:noProof/>
                <w:kern w:val="0"/>
                <w:sz w:val="22"/>
                <w:lang w:eastAsia="es-CO"/>
                <w14:ligatures w14:val="none"/>
              </w:rPr>
              <w:tab/>
            </w:r>
            <w:r w:rsidR="00C97554" w:rsidRPr="00202143">
              <w:rPr>
                <w:rStyle w:val="Hipervnculo"/>
                <w:noProof/>
              </w:rPr>
              <w:t>OBJETIVOS</w:t>
            </w:r>
            <w:r w:rsidR="00C97554">
              <w:rPr>
                <w:noProof/>
                <w:webHidden/>
              </w:rPr>
              <w:tab/>
            </w:r>
            <w:r w:rsidR="00C97554">
              <w:rPr>
                <w:noProof/>
                <w:webHidden/>
              </w:rPr>
              <w:fldChar w:fldCharType="begin"/>
            </w:r>
            <w:r w:rsidR="00C97554">
              <w:rPr>
                <w:noProof/>
                <w:webHidden/>
              </w:rPr>
              <w:instrText xml:space="preserve"> PAGEREF _Toc183783012 \h </w:instrText>
            </w:r>
            <w:r w:rsidR="00C97554">
              <w:rPr>
                <w:noProof/>
                <w:webHidden/>
              </w:rPr>
            </w:r>
            <w:r w:rsidR="00C97554">
              <w:rPr>
                <w:noProof/>
                <w:webHidden/>
              </w:rPr>
              <w:fldChar w:fldCharType="separate"/>
            </w:r>
            <w:r w:rsidR="00C10708">
              <w:rPr>
                <w:noProof/>
                <w:webHidden/>
              </w:rPr>
              <w:t>17</w:t>
            </w:r>
            <w:r w:rsidR="00C97554">
              <w:rPr>
                <w:noProof/>
                <w:webHidden/>
              </w:rPr>
              <w:fldChar w:fldCharType="end"/>
            </w:r>
          </w:hyperlink>
        </w:p>
        <w:p w14:paraId="68B1EFC3"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13" w:history="1">
            <w:r w:rsidR="00C97554" w:rsidRPr="00202143">
              <w:rPr>
                <w:rStyle w:val="Hipervnculo"/>
                <w:noProof/>
                <w:lang w:eastAsia="es-CO"/>
              </w:rPr>
              <w:t>1.3.1.</w:t>
            </w:r>
            <w:r w:rsidR="00C97554">
              <w:rPr>
                <w:rFonts w:asciiTheme="minorHAnsi" w:eastAsiaTheme="minorEastAsia" w:hAnsiTheme="minorHAnsi"/>
                <w:noProof/>
                <w:kern w:val="0"/>
                <w:sz w:val="22"/>
                <w:lang w:eastAsia="es-CO"/>
                <w14:ligatures w14:val="none"/>
              </w:rPr>
              <w:tab/>
            </w:r>
            <w:r w:rsidR="00C97554" w:rsidRPr="00202143">
              <w:rPr>
                <w:rStyle w:val="Hipervnculo"/>
                <w:noProof/>
                <w:lang w:eastAsia="es-CO"/>
              </w:rPr>
              <w:t>Objetivo General</w:t>
            </w:r>
            <w:r w:rsidR="00C97554">
              <w:rPr>
                <w:noProof/>
                <w:webHidden/>
              </w:rPr>
              <w:tab/>
            </w:r>
            <w:r w:rsidR="00C97554">
              <w:rPr>
                <w:noProof/>
                <w:webHidden/>
              </w:rPr>
              <w:fldChar w:fldCharType="begin"/>
            </w:r>
            <w:r w:rsidR="00C97554">
              <w:rPr>
                <w:noProof/>
                <w:webHidden/>
              </w:rPr>
              <w:instrText xml:space="preserve"> PAGEREF _Toc183783013 \h </w:instrText>
            </w:r>
            <w:r w:rsidR="00C97554">
              <w:rPr>
                <w:noProof/>
                <w:webHidden/>
              </w:rPr>
            </w:r>
            <w:r w:rsidR="00C97554">
              <w:rPr>
                <w:noProof/>
                <w:webHidden/>
              </w:rPr>
              <w:fldChar w:fldCharType="separate"/>
            </w:r>
            <w:r w:rsidR="00C10708">
              <w:rPr>
                <w:noProof/>
                <w:webHidden/>
              </w:rPr>
              <w:t>17</w:t>
            </w:r>
            <w:r w:rsidR="00C97554">
              <w:rPr>
                <w:noProof/>
                <w:webHidden/>
              </w:rPr>
              <w:fldChar w:fldCharType="end"/>
            </w:r>
          </w:hyperlink>
        </w:p>
        <w:p w14:paraId="0D47FEEF"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14" w:history="1">
            <w:r w:rsidR="00C97554" w:rsidRPr="00202143">
              <w:rPr>
                <w:rStyle w:val="Hipervnculo"/>
                <w:noProof/>
                <w:lang w:eastAsia="es-CO"/>
              </w:rPr>
              <w:t>1.3.2.</w:t>
            </w:r>
            <w:r w:rsidR="00C97554">
              <w:rPr>
                <w:rFonts w:asciiTheme="minorHAnsi" w:eastAsiaTheme="minorEastAsia" w:hAnsiTheme="minorHAnsi"/>
                <w:noProof/>
                <w:kern w:val="0"/>
                <w:sz w:val="22"/>
                <w:lang w:eastAsia="es-CO"/>
                <w14:ligatures w14:val="none"/>
              </w:rPr>
              <w:tab/>
            </w:r>
            <w:r w:rsidR="00C97554" w:rsidRPr="00202143">
              <w:rPr>
                <w:rStyle w:val="Hipervnculo"/>
                <w:noProof/>
                <w:lang w:eastAsia="es-CO"/>
              </w:rPr>
              <w:t>Objetivos Específicos</w:t>
            </w:r>
            <w:r w:rsidR="00C97554">
              <w:rPr>
                <w:noProof/>
                <w:webHidden/>
              </w:rPr>
              <w:tab/>
            </w:r>
            <w:r w:rsidR="00C97554">
              <w:rPr>
                <w:noProof/>
                <w:webHidden/>
              </w:rPr>
              <w:fldChar w:fldCharType="begin"/>
            </w:r>
            <w:r w:rsidR="00C97554">
              <w:rPr>
                <w:noProof/>
                <w:webHidden/>
              </w:rPr>
              <w:instrText xml:space="preserve"> PAGEREF _Toc183783014 \h </w:instrText>
            </w:r>
            <w:r w:rsidR="00C97554">
              <w:rPr>
                <w:noProof/>
                <w:webHidden/>
              </w:rPr>
            </w:r>
            <w:r w:rsidR="00C97554">
              <w:rPr>
                <w:noProof/>
                <w:webHidden/>
              </w:rPr>
              <w:fldChar w:fldCharType="separate"/>
            </w:r>
            <w:r w:rsidR="00C10708">
              <w:rPr>
                <w:noProof/>
                <w:webHidden/>
              </w:rPr>
              <w:t>17</w:t>
            </w:r>
            <w:r w:rsidR="00C97554">
              <w:rPr>
                <w:noProof/>
                <w:webHidden/>
              </w:rPr>
              <w:fldChar w:fldCharType="end"/>
            </w:r>
          </w:hyperlink>
        </w:p>
        <w:p w14:paraId="1E0BCA4D"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15" w:history="1">
            <w:r w:rsidR="00C97554" w:rsidRPr="00202143">
              <w:rPr>
                <w:rStyle w:val="Hipervnculo"/>
                <w:noProof/>
              </w:rPr>
              <w:t>1.4.</w:t>
            </w:r>
            <w:r w:rsidR="00C97554">
              <w:rPr>
                <w:rFonts w:asciiTheme="minorHAnsi" w:eastAsiaTheme="minorEastAsia" w:hAnsiTheme="minorHAnsi"/>
                <w:noProof/>
                <w:kern w:val="0"/>
                <w:sz w:val="22"/>
                <w:lang w:eastAsia="es-CO"/>
                <w14:ligatures w14:val="none"/>
              </w:rPr>
              <w:tab/>
            </w:r>
            <w:r w:rsidR="00C97554" w:rsidRPr="00202143">
              <w:rPr>
                <w:rStyle w:val="Hipervnculo"/>
                <w:noProof/>
              </w:rPr>
              <w:t>JUSTIFICACIÓN</w:t>
            </w:r>
            <w:r w:rsidR="00C97554">
              <w:rPr>
                <w:noProof/>
                <w:webHidden/>
              </w:rPr>
              <w:tab/>
            </w:r>
            <w:r w:rsidR="00C97554">
              <w:rPr>
                <w:noProof/>
                <w:webHidden/>
              </w:rPr>
              <w:fldChar w:fldCharType="begin"/>
            </w:r>
            <w:r w:rsidR="00C97554">
              <w:rPr>
                <w:noProof/>
                <w:webHidden/>
              </w:rPr>
              <w:instrText xml:space="preserve"> PAGEREF _Toc183783015 \h </w:instrText>
            </w:r>
            <w:r w:rsidR="00C97554">
              <w:rPr>
                <w:noProof/>
                <w:webHidden/>
              </w:rPr>
            </w:r>
            <w:r w:rsidR="00C97554">
              <w:rPr>
                <w:noProof/>
                <w:webHidden/>
              </w:rPr>
              <w:fldChar w:fldCharType="separate"/>
            </w:r>
            <w:r w:rsidR="00C10708">
              <w:rPr>
                <w:noProof/>
                <w:webHidden/>
              </w:rPr>
              <w:t>18</w:t>
            </w:r>
            <w:r w:rsidR="00C97554">
              <w:rPr>
                <w:noProof/>
                <w:webHidden/>
              </w:rPr>
              <w:fldChar w:fldCharType="end"/>
            </w:r>
          </w:hyperlink>
        </w:p>
        <w:p w14:paraId="455CBDA5"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16" w:history="1">
            <w:r w:rsidR="00C97554" w:rsidRPr="00202143">
              <w:rPr>
                <w:rStyle w:val="Hipervnculo"/>
                <w:noProof/>
              </w:rPr>
              <w:t>1.5.</w:t>
            </w:r>
            <w:r w:rsidR="00C97554">
              <w:rPr>
                <w:rFonts w:asciiTheme="minorHAnsi" w:eastAsiaTheme="minorEastAsia" w:hAnsiTheme="minorHAnsi"/>
                <w:noProof/>
                <w:kern w:val="0"/>
                <w:sz w:val="22"/>
                <w:lang w:eastAsia="es-CO"/>
                <w14:ligatures w14:val="none"/>
              </w:rPr>
              <w:tab/>
            </w:r>
            <w:r w:rsidR="00C97554" w:rsidRPr="00202143">
              <w:rPr>
                <w:rStyle w:val="Hipervnculo"/>
                <w:noProof/>
              </w:rPr>
              <w:t>DELIMITACIÓN</w:t>
            </w:r>
            <w:r w:rsidR="00C97554">
              <w:rPr>
                <w:noProof/>
                <w:webHidden/>
              </w:rPr>
              <w:tab/>
            </w:r>
            <w:r w:rsidR="00C97554">
              <w:rPr>
                <w:noProof/>
                <w:webHidden/>
              </w:rPr>
              <w:fldChar w:fldCharType="begin"/>
            </w:r>
            <w:r w:rsidR="00C97554">
              <w:rPr>
                <w:noProof/>
                <w:webHidden/>
              </w:rPr>
              <w:instrText xml:space="preserve"> PAGEREF _Toc183783016 \h </w:instrText>
            </w:r>
            <w:r w:rsidR="00C97554">
              <w:rPr>
                <w:noProof/>
                <w:webHidden/>
              </w:rPr>
            </w:r>
            <w:r w:rsidR="00C97554">
              <w:rPr>
                <w:noProof/>
                <w:webHidden/>
              </w:rPr>
              <w:fldChar w:fldCharType="separate"/>
            </w:r>
            <w:r w:rsidR="00C10708">
              <w:rPr>
                <w:noProof/>
                <w:webHidden/>
              </w:rPr>
              <w:t>21</w:t>
            </w:r>
            <w:r w:rsidR="00C97554">
              <w:rPr>
                <w:noProof/>
                <w:webHidden/>
              </w:rPr>
              <w:fldChar w:fldCharType="end"/>
            </w:r>
          </w:hyperlink>
        </w:p>
        <w:p w14:paraId="11E43C56"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17" w:history="1">
            <w:r w:rsidR="00C97554" w:rsidRPr="00202143">
              <w:rPr>
                <w:rStyle w:val="Hipervnculo"/>
                <w:noProof/>
              </w:rPr>
              <w:t>1.5.1.</w:t>
            </w:r>
            <w:r w:rsidR="00C97554">
              <w:rPr>
                <w:rFonts w:asciiTheme="minorHAnsi" w:eastAsiaTheme="minorEastAsia" w:hAnsiTheme="minorHAnsi"/>
                <w:noProof/>
                <w:kern w:val="0"/>
                <w:sz w:val="22"/>
                <w:lang w:eastAsia="es-CO"/>
                <w14:ligatures w14:val="none"/>
              </w:rPr>
              <w:tab/>
            </w:r>
            <w:r w:rsidR="00C97554" w:rsidRPr="00202143">
              <w:rPr>
                <w:rStyle w:val="Hipervnculo"/>
                <w:noProof/>
              </w:rPr>
              <w:t>Delimitación Espacial</w:t>
            </w:r>
            <w:r w:rsidR="00C97554">
              <w:rPr>
                <w:noProof/>
                <w:webHidden/>
              </w:rPr>
              <w:tab/>
            </w:r>
            <w:r w:rsidR="00C97554">
              <w:rPr>
                <w:noProof/>
                <w:webHidden/>
              </w:rPr>
              <w:fldChar w:fldCharType="begin"/>
            </w:r>
            <w:r w:rsidR="00C97554">
              <w:rPr>
                <w:noProof/>
                <w:webHidden/>
              </w:rPr>
              <w:instrText xml:space="preserve"> PAGEREF _Toc183783017 \h </w:instrText>
            </w:r>
            <w:r w:rsidR="00C97554">
              <w:rPr>
                <w:noProof/>
                <w:webHidden/>
              </w:rPr>
            </w:r>
            <w:r w:rsidR="00C97554">
              <w:rPr>
                <w:noProof/>
                <w:webHidden/>
              </w:rPr>
              <w:fldChar w:fldCharType="separate"/>
            </w:r>
            <w:r w:rsidR="00C10708">
              <w:rPr>
                <w:noProof/>
                <w:webHidden/>
              </w:rPr>
              <w:t>21</w:t>
            </w:r>
            <w:r w:rsidR="00C97554">
              <w:rPr>
                <w:noProof/>
                <w:webHidden/>
              </w:rPr>
              <w:fldChar w:fldCharType="end"/>
            </w:r>
          </w:hyperlink>
        </w:p>
        <w:p w14:paraId="7BEB571A"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18" w:history="1">
            <w:r w:rsidR="00C97554" w:rsidRPr="00202143">
              <w:rPr>
                <w:rStyle w:val="Hipervnculo"/>
                <w:noProof/>
              </w:rPr>
              <w:t>1.5.2.</w:t>
            </w:r>
            <w:r w:rsidR="00C97554">
              <w:rPr>
                <w:rFonts w:asciiTheme="minorHAnsi" w:eastAsiaTheme="minorEastAsia" w:hAnsiTheme="minorHAnsi"/>
                <w:noProof/>
                <w:kern w:val="0"/>
                <w:sz w:val="22"/>
                <w:lang w:eastAsia="es-CO"/>
                <w14:ligatures w14:val="none"/>
              </w:rPr>
              <w:tab/>
            </w:r>
            <w:r w:rsidR="00C97554" w:rsidRPr="00202143">
              <w:rPr>
                <w:rStyle w:val="Hipervnculo"/>
                <w:noProof/>
              </w:rPr>
              <w:t>Delimitación Temporal</w:t>
            </w:r>
            <w:r w:rsidR="00C97554">
              <w:rPr>
                <w:noProof/>
                <w:webHidden/>
              </w:rPr>
              <w:tab/>
            </w:r>
            <w:r w:rsidR="00C97554">
              <w:rPr>
                <w:noProof/>
                <w:webHidden/>
              </w:rPr>
              <w:fldChar w:fldCharType="begin"/>
            </w:r>
            <w:r w:rsidR="00C97554">
              <w:rPr>
                <w:noProof/>
                <w:webHidden/>
              </w:rPr>
              <w:instrText xml:space="preserve"> PAGEREF _Toc183783018 \h </w:instrText>
            </w:r>
            <w:r w:rsidR="00C97554">
              <w:rPr>
                <w:noProof/>
                <w:webHidden/>
              </w:rPr>
            </w:r>
            <w:r w:rsidR="00C97554">
              <w:rPr>
                <w:noProof/>
                <w:webHidden/>
              </w:rPr>
              <w:fldChar w:fldCharType="separate"/>
            </w:r>
            <w:r w:rsidR="00C10708">
              <w:rPr>
                <w:noProof/>
                <w:webHidden/>
              </w:rPr>
              <w:t>22</w:t>
            </w:r>
            <w:r w:rsidR="00C97554">
              <w:rPr>
                <w:noProof/>
                <w:webHidden/>
              </w:rPr>
              <w:fldChar w:fldCharType="end"/>
            </w:r>
          </w:hyperlink>
        </w:p>
        <w:p w14:paraId="0E797291"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19" w:history="1">
            <w:r w:rsidR="00C97554" w:rsidRPr="00202143">
              <w:rPr>
                <w:rStyle w:val="Hipervnculo"/>
                <w:noProof/>
              </w:rPr>
              <w:t>1.5.3.</w:t>
            </w:r>
            <w:r w:rsidR="00C97554">
              <w:rPr>
                <w:rFonts w:asciiTheme="minorHAnsi" w:eastAsiaTheme="minorEastAsia" w:hAnsiTheme="minorHAnsi"/>
                <w:noProof/>
                <w:kern w:val="0"/>
                <w:sz w:val="22"/>
                <w:lang w:eastAsia="es-CO"/>
                <w14:ligatures w14:val="none"/>
              </w:rPr>
              <w:tab/>
            </w:r>
            <w:r w:rsidR="00C97554" w:rsidRPr="00202143">
              <w:rPr>
                <w:rStyle w:val="Hipervnculo"/>
                <w:noProof/>
              </w:rPr>
              <w:t>Delimitación Conceptual</w:t>
            </w:r>
            <w:r w:rsidR="00C97554">
              <w:rPr>
                <w:noProof/>
                <w:webHidden/>
              </w:rPr>
              <w:tab/>
            </w:r>
            <w:r w:rsidR="00C97554">
              <w:rPr>
                <w:noProof/>
                <w:webHidden/>
              </w:rPr>
              <w:fldChar w:fldCharType="begin"/>
            </w:r>
            <w:r w:rsidR="00C97554">
              <w:rPr>
                <w:noProof/>
                <w:webHidden/>
              </w:rPr>
              <w:instrText xml:space="preserve"> PAGEREF _Toc183783019 \h </w:instrText>
            </w:r>
            <w:r w:rsidR="00C97554">
              <w:rPr>
                <w:noProof/>
                <w:webHidden/>
              </w:rPr>
            </w:r>
            <w:r w:rsidR="00C97554">
              <w:rPr>
                <w:noProof/>
                <w:webHidden/>
              </w:rPr>
              <w:fldChar w:fldCharType="separate"/>
            </w:r>
            <w:r w:rsidR="00C10708">
              <w:rPr>
                <w:noProof/>
                <w:webHidden/>
              </w:rPr>
              <w:t>22</w:t>
            </w:r>
            <w:r w:rsidR="00C97554">
              <w:rPr>
                <w:noProof/>
                <w:webHidden/>
              </w:rPr>
              <w:fldChar w:fldCharType="end"/>
            </w:r>
          </w:hyperlink>
        </w:p>
        <w:p w14:paraId="642CCA5D"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20" w:history="1">
            <w:r w:rsidR="00C97554" w:rsidRPr="00202143">
              <w:rPr>
                <w:rStyle w:val="Hipervnculo"/>
                <w:noProof/>
              </w:rPr>
              <w:t>1.6.</w:t>
            </w:r>
            <w:r w:rsidR="00C97554">
              <w:rPr>
                <w:rFonts w:asciiTheme="minorHAnsi" w:eastAsiaTheme="minorEastAsia" w:hAnsiTheme="minorHAnsi"/>
                <w:noProof/>
                <w:kern w:val="0"/>
                <w:sz w:val="22"/>
                <w:lang w:eastAsia="es-CO"/>
                <w14:ligatures w14:val="none"/>
              </w:rPr>
              <w:tab/>
            </w:r>
            <w:r w:rsidR="00C97554" w:rsidRPr="00202143">
              <w:rPr>
                <w:rStyle w:val="Hipervnculo"/>
                <w:noProof/>
              </w:rPr>
              <w:t>CUADRO DE VARIABLES O DE CATEGORÍAS</w:t>
            </w:r>
            <w:r w:rsidR="00C97554">
              <w:rPr>
                <w:noProof/>
                <w:webHidden/>
              </w:rPr>
              <w:tab/>
            </w:r>
            <w:r w:rsidR="00C97554">
              <w:rPr>
                <w:noProof/>
                <w:webHidden/>
              </w:rPr>
              <w:fldChar w:fldCharType="begin"/>
            </w:r>
            <w:r w:rsidR="00C97554">
              <w:rPr>
                <w:noProof/>
                <w:webHidden/>
              </w:rPr>
              <w:instrText xml:space="preserve"> PAGEREF _Toc183783020 \h </w:instrText>
            </w:r>
            <w:r w:rsidR="00C97554">
              <w:rPr>
                <w:noProof/>
                <w:webHidden/>
              </w:rPr>
            </w:r>
            <w:r w:rsidR="00C97554">
              <w:rPr>
                <w:noProof/>
                <w:webHidden/>
              </w:rPr>
              <w:fldChar w:fldCharType="separate"/>
            </w:r>
            <w:r w:rsidR="00C10708">
              <w:rPr>
                <w:noProof/>
                <w:webHidden/>
              </w:rPr>
              <w:t>23</w:t>
            </w:r>
            <w:r w:rsidR="00C97554">
              <w:rPr>
                <w:noProof/>
                <w:webHidden/>
              </w:rPr>
              <w:fldChar w:fldCharType="end"/>
            </w:r>
          </w:hyperlink>
        </w:p>
        <w:p w14:paraId="255C39A3" w14:textId="77777777" w:rsidR="00C97554" w:rsidRDefault="00E23E2B">
          <w:pPr>
            <w:pStyle w:val="TDC1"/>
            <w:tabs>
              <w:tab w:val="left" w:pos="480"/>
            </w:tabs>
            <w:rPr>
              <w:rFonts w:asciiTheme="minorHAnsi" w:eastAsiaTheme="minorEastAsia" w:hAnsiTheme="minorHAnsi"/>
              <w:noProof/>
              <w:kern w:val="0"/>
              <w:sz w:val="22"/>
              <w:lang w:eastAsia="es-CO"/>
              <w14:ligatures w14:val="none"/>
            </w:rPr>
          </w:pPr>
          <w:hyperlink w:anchor="_Toc183783021" w:history="1">
            <w:r w:rsidR="00C97554" w:rsidRPr="00202143">
              <w:rPr>
                <w:rStyle w:val="Hipervnculo"/>
                <w:noProof/>
              </w:rPr>
              <w:t>2.</w:t>
            </w:r>
            <w:r w:rsidR="00C97554">
              <w:rPr>
                <w:rFonts w:asciiTheme="minorHAnsi" w:eastAsiaTheme="minorEastAsia" w:hAnsiTheme="minorHAnsi"/>
                <w:noProof/>
                <w:kern w:val="0"/>
                <w:sz w:val="22"/>
                <w:lang w:eastAsia="es-CO"/>
                <w14:ligatures w14:val="none"/>
              </w:rPr>
              <w:tab/>
            </w:r>
            <w:r w:rsidR="00C97554" w:rsidRPr="00202143">
              <w:rPr>
                <w:rStyle w:val="Hipervnculo"/>
                <w:noProof/>
              </w:rPr>
              <w:t>CAPITULO 2. MARCO DE REFERENCIA</w:t>
            </w:r>
            <w:r w:rsidR="00C97554">
              <w:rPr>
                <w:noProof/>
                <w:webHidden/>
              </w:rPr>
              <w:tab/>
            </w:r>
            <w:r w:rsidR="00C97554">
              <w:rPr>
                <w:noProof/>
                <w:webHidden/>
              </w:rPr>
              <w:fldChar w:fldCharType="begin"/>
            </w:r>
            <w:r w:rsidR="00C97554">
              <w:rPr>
                <w:noProof/>
                <w:webHidden/>
              </w:rPr>
              <w:instrText xml:space="preserve"> PAGEREF _Toc183783021 \h </w:instrText>
            </w:r>
            <w:r w:rsidR="00C97554">
              <w:rPr>
                <w:noProof/>
                <w:webHidden/>
              </w:rPr>
            </w:r>
            <w:r w:rsidR="00C97554">
              <w:rPr>
                <w:noProof/>
                <w:webHidden/>
              </w:rPr>
              <w:fldChar w:fldCharType="separate"/>
            </w:r>
            <w:r w:rsidR="00C10708">
              <w:rPr>
                <w:noProof/>
                <w:webHidden/>
              </w:rPr>
              <w:t>25</w:t>
            </w:r>
            <w:r w:rsidR="00C97554">
              <w:rPr>
                <w:noProof/>
                <w:webHidden/>
              </w:rPr>
              <w:fldChar w:fldCharType="end"/>
            </w:r>
          </w:hyperlink>
        </w:p>
        <w:p w14:paraId="5E1BF29D"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22" w:history="1">
            <w:r w:rsidR="00C97554" w:rsidRPr="00202143">
              <w:rPr>
                <w:rStyle w:val="Hipervnculo"/>
                <w:noProof/>
              </w:rPr>
              <w:t>2.1.</w:t>
            </w:r>
            <w:r w:rsidR="00C97554">
              <w:rPr>
                <w:rFonts w:asciiTheme="minorHAnsi" w:eastAsiaTheme="minorEastAsia" w:hAnsiTheme="minorHAnsi"/>
                <w:noProof/>
                <w:kern w:val="0"/>
                <w:sz w:val="22"/>
                <w:lang w:eastAsia="es-CO"/>
                <w14:ligatures w14:val="none"/>
              </w:rPr>
              <w:tab/>
            </w:r>
            <w:r w:rsidR="00C97554" w:rsidRPr="00202143">
              <w:rPr>
                <w:rStyle w:val="Hipervnculo"/>
                <w:noProof/>
              </w:rPr>
              <w:t>ANTECEDENTES</w:t>
            </w:r>
            <w:r w:rsidR="00C97554">
              <w:rPr>
                <w:noProof/>
                <w:webHidden/>
              </w:rPr>
              <w:tab/>
            </w:r>
            <w:r w:rsidR="00C97554">
              <w:rPr>
                <w:noProof/>
                <w:webHidden/>
              </w:rPr>
              <w:fldChar w:fldCharType="begin"/>
            </w:r>
            <w:r w:rsidR="00C97554">
              <w:rPr>
                <w:noProof/>
                <w:webHidden/>
              </w:rPr>
              <w:instrText xml:space="preserve"> PAGEREF _Toc183783022 \h </w:instrText>
            </w:r>
            <w:r w:rsidR="00C97554">
              <w:rPr>
                <w:noProof/>
                <w:webHidden/>
              </w:rPr>
            </w:r>
            <w:r w:rsidR="00C97554">
              <w:rPr>
                <w:noProof/>
                <w:webHidden/>
              </w:rPr>
              <w:fldChar w:fldCharType="separate"/>
            </w:r>
            <w:r w:rsidR="00C10708">
              <w:rPr>
                <w:noProof/>
                <w:webHidden/>
              </w:rPr>
              <w:t>25</w:t>
            </w:r>
            <w:r w:rsidR="00C97554">
              <w:rPr>
                <w:noProof/>
                <w:webHidden/>
              </w:rPr>
              <w:fldChar w:fldCharType="end"/>
            </w:r>
          </w:hyperlink>
        </w:p>
        <w:p w14:paraId="7137470D"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23" w:history="1">
            <w:r w:rsidR="00C97554" w:rsidRPr="00202143">
              <w:rPr>
                <w:rStyle w:val="Hipervnculo"/>
                <w:noProof/>
              </w:rPr>
              <w:t>2.2.</w:t>
            </w:r>
            <w:r w:rsidR="00C97554">
              <w:rPr>
                <w:rFonts w:asciiTheme="minorHAnsi" w:eastAsiaTheme="minorEastAsia" w:hAnsiTheme="minorHAnsi"/>
                <w:noProof/>
                <w:kern w:val="0"/>
                <w:sz w:val="22"/>
                <w:lang w:eastAsia="es-CO"/>
                <w14:ligatures w14:val="none"/>
              </w:rPr>
              <w:tab/>
            </w:r>
            <w:r w:rsidR="00C97554" w:rsidRPr="00202143">
              <w:rPr>
                <w:rStyle w:val="Hipervnculo"/>
                <w:noProof/>
              </w:rPr>
              <w:t>MARCO TEÓRICO</w:t>
            </w:r>
            <w:r w:rsidR="00C97554">
              <w:rPr>
                <w:noProof/>
                <w:webHidden/>
              </w:rPr>
              <w:tab/>
            </w:r>
            <w:r w:rsidR="00C97554">
              <w:rPr>
                <w:noProof/>
                <w:webHidden/>
              </w:rPr>
              <w:fldChar w:fldCharType="begin"/>
            </w:r>
            <w:r w:rsidR="00C97554">
              <w:rPr>
                <w:noProof/>
                <w:webHidden/>
              </w:rPr>
              <w:instrText xml:space="preserve"> PAGEREF _Toc183783023 \h </w:instrText>
            </w:r>
            <w:r w:rsidR="00C97554">
              <w:rPr>
                <w:noProof/>
                <w:webHidden/>
              </w:rPr>
            </w:r>
            <w:r w:rsidR="00C97554">
              <w:rPr>
                <w:noProof/>
                <w:webHidden/>
              </w:rPr>
              <w:fldChar w:fldCharType="separate"/>
            </w:r>
            <w:r w:rsidR="00C10708">
              <w:rPr>
                <w:noProof/>
                <w:webHidden/>
              </w:rPr>
              <w:t>30</w:t>
            </w:r>
            <w:r w:rsidR="00C97554">
              <w:rPr>
                <w:noProof/>
                <w:webHidden/>
              </w:rPr>
              <w:fldChar w:fldCharType="end"/>
            </w:r>
          </w:hyperlink>
        </w:p>
        <w:p w14:paraId="70ADABA4"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24" w:history="1">
            <w:r w:rsidR="00C97554" w:rsidRPr="00202143">
              <w:rPr>
                <w:rStyle w:val="Hipervnculo"/>
                <w:noProof/>
              </w:rPr>
              <w:t>2.2.1.</w:t>
            </w:r>
            <w:r w:rsidR="00C97554">
              <w:rPr>
                <w:rFonts w:asciiTheme="minorHAnsi" w:eastAsiaTheme="minorEastAsia" w:hAnsiTheme="minorHAnsi"/>
                <w:noProof/>
                <w:kern w:val="0"/>
                <w:sz w:val="22"/>
                <w:lang w:eastAsia="es-CO"/>
                <w14:ligatures w14:val="none"/>
              </w:rPr>
              <w:tab/>
            </w:r>
            <w:r w:rsidR="00C97554" w:rsidRPr="00202143">
              <w:rPr>
                <w:rStyle w:val="Hipervnculo"/>
                <w:noProof/>
              </w:rPr>
              <w:t>Teoría del poder de mercado</w:t>
            </w:r>
            <w:r w:rsidR="00C97554">
              <w:rPr>
                <w:noProof/>
                <w:webHidden/>
              </w:rPr>
              <w:tab/>
            </w:r>
            <w:r w:rsidR="00C97554">
              <w:rPr>
                <w:noProof/>
                <w:webHidden/>
              </w:rPr>
              <w:fldChar w:fldCharType="begin"/>
            </w:r>
            <w:r w:rsidR="00C97554">
              <w:rPr>
                <w:noProof/>
                <w:webHidden/>
              </w:rPr>
              <w:instrText xml:space="preserve"> PAGEREF _Toc183783024 \h </w:instrText>
            </w:r>
            <w:r w:rsidR="00C97554">
              <w:rPr>
                <w:noProof/>
                <w:webHidden/>
              </w:rPr>
            </w:r>
            <w:r w:rsidR="00C97554">
              <w:rPr>
                <w:noProof/>
                <w:webHidden/>
              </w:rPr>
              <w:fldChar w:fldCharType="separate"/>
            </w:r>
            <w:r w:rsidR="00C10708">
              <w:rPr>
                <w:noProof/>
                <w:webHidden/>
              </w:rPr>
              <w:t>34</w:t>
            </w:r>
            <w:r w:rsidR="00C97554">
              <w:rPr>
                <w:noProof/>
                <w:webHidden/>
              </w:rPr>
              <w:fldChar w:fldCharType="end"/>
            </w:r>
          </w:hyperlink>
        </w:p>
        <w:p w14:paraId="519E9E66"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25" w:history="1">
            <w:r w:rsidR="00C97554" w:rsidRPr="00202143">
              <w:rPr>
                <w:rStyle w:val="Hipervnculo"/>
                <w:noProof/>
              </w:rPr>
              <w:t>2.2.2.</w:t>
            </w:r>
            <w:r w:rsidR="00C97554">
              <w:rPr>
                <w:rFonts w:asciiTheme="minorHAnsi" w:eastAsiaTheme="minorEastAsia" w:hAnsiTheme="minorHAnsi"/>
                <w:noProof/>
                <w:kern w:val="0"/>
                <w:sz w:val="22"/>
                <w:lang w:eastAsia="es-CO"/>
                <w14:ligatures w14:val="none"/>
              </w:rPr>
              <w:tab/>
            </w:r>
            <w:r w:rsidR="00C97554" w:rsidRPr="00202143">
              <w:rPr>
                <w:rStyle w:val="Hipervnculo"/>
                <w:noProof/>
              </w:rPr>
              <w:t>Teoría de la internalización</w:t>
            </w:r>
            <w:r w:rsidR="00C97554">
              <w:rPr>
                <w:noProof/>
                <w:webHidden/>
              </w:rPr>
              <w:tab/>
            </w:r>
            <w:r w:rsidR="00C97554">
              <w:rPr>
                <w:noProof/>
                <w:webHidden/>
              </w:rPr>
              <w:fldChar w:fldCharType="begin"/>
            </w:r>
            <w:r w:rsidR="00C97554">
              <w:rPr>
                <w:noProof/>
                <w:webHidden/>
              </w:rPr>
              <w:instrText xml:space="preserve"> PAGEREF _Toc183783025 \h </w:instrText>
            </w:r>
            <w:r w:rsidR="00C97554">
              <w:rPr>
                <w:noProof/>
                <w:webHidden/>
              </w:rPr>
            </w:r>
            <w:r w:rsidR="00C97554">
              <w:rPr>
                <w:noProof/>
                <w:webHidden/>
              </w:rPr>
              <w:fldChar w:fldCharType="separate"/>
            </w:r>
            <w:r w:rsidR="00C10708">
              <w:rPr>
                <w:noProof/>
                <w:webHidden/>
              </w:rPr>
              <w:t>35</w:t>
            </w:r>
            <w:r w:rsidR="00C97554">
              <w:rPr>
                <w:noProof/>
                <w:webHidden/>
              </w:rPr>
              <w:fldChar w:fldCharType="end"/>
            </w:r>
          </w:hyperlink>
        </w:p>
        <w:p w14:paraId="4D2F9794"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26" w:history="1">
            <w:r w:rsidR="00C97554" w:rsidRPr="00202143">
              <w:rPr>
                <w:rStyle w:val="Hipervnculo"/>
                <w:noProof/>
              </w:rPr>
              <w:t>2.2.3.</w:t>
            </w:r>
            <w:r w:rsidR="00C97554">
              <w:rPr>
                <w:rFonts w:asciiTheme="minorHAnsi" w:eastAsiaTheme="minorEastAsia" w:hAnsiTheme="minorHAnsi"/>
                <w:noProof/>
                <w:kern w:val="0"/>
                <w:sz w:val="22"/>
                <w:lang w:eastAsia="es-CO"/>
                <w14:ligatures w14:val="none"/>
              </w:rPr>
              <w:tab/>
            </w:r>
            <w:r w:rsidR="00C97554" w:rsidRPr="00202143">
              <w:rPr>
                <w:rStyle w:val="Hipervnculo"/>
                <w:noProof/>
              </w:rPr>
              <w:t>Teoría de Redes</w:t>
            </w:r>
            <w:r w:rsidR="00C97554">
              <w:rPr>
                <w:noProof/>
                <w:webHidden/>
              </w:rPr>
              <w:tab/>
            </w:r>
            <w:r w:rsidR="00C97554">
              <w:rPr>
                <w:noProof/>
                <w:webHidden/>
              </w:rPr>
              <w:fldChar w:fldCharType="begin"/>
            </w:r>
            <w:r w:rsidR="00C97554">
              <w:rPr>
                <w:noProof/>
                <w:webHidden/>
              </w:rPr>
              <w:instrText xml:space="preserve"> PAGEREF _Toc183783026 \h </w:instrText>
            </w:r>
            <w:r w:rsidR="00C97554">
              <w:rPr>
                <w:noProof/>
                <w:webHidden/>
              </w:rPr>
            </w:r>
            <w:r w:rsidR="00C97554">
              <w:rPr>
                <w:noProof/>
                <w:webHidden/>
              </w:rPr>
              <w:fldChar w:fldCharType="separate"/>
            </w:r>
            <w:r w:rsidR="00C10708">
              <w:rPr>
                <w:noProof/>
                <w:webHidden/>
              </w:rPr>
              <w:t>36</w:t>
            </w:r>
            <w:r w:rsidR="00C97554">
              <w:rPr>
                <w:noProof/>
                <w:webHidden/>
              </w:rPr>
              <w:fldChar w:fldCharType="end"/>
            </w:r>
          </w:hyperlink>
        </w:p>
        <w:p w14:paraId="35D6F184"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27" w:history="1">
            <w:r w:rsidR="00C97554" w:rsidRPr="00202143">
              <w:rPr>
                <w:rStyle w:val="Hipervnculo"/>
                <w:noProof/>
                <w:lang w:val="pt-BR"/>
              </w:rPr>
              <w:t>2.2.4.</w:t>
            </w:r>
            <w:r w:rsidR="00C97554">
              <w:rPr>
                <w:rFonts w:asciiTheme="minorHAnsi" w:eastAsiaTheme="minorEastAsia" w:hAnsiTheme="minorHAnsi"/>
                <w:noProof/>
                <w:kern w:val="0"/>
                <w:sz w:val="22"/>
                <w:lang w:eastAsia="es-CO"/>
                <w14:ligatures w14:val="none"/>
              </w:rPr>
              <w:tab/>
            </w:r>
            <w:r w:rsidR="00C97554" w:rsidRPr="00202143">
              <w:rPr>
                <w:rStyle w:val="Hipervnculo"/>
                <w:noProof/>
                <w:lang w:val="pt-BR"/>
              </w:rPr>
              <w:t>Teoría de Heckscher – Ohlin (H-O)</w:t>
            </w:r>
            <w:r w:rsidR="00C97554">
              <w:rPr>
                <w:noProof/>
                <w:webHidden/>
              </w:rPr>
              <w:tab/>
            </w:r>
            <w:r w:rsidR="00C97554">
              <w:rPr>
                <w:noProof/>
                <w:webHidden/>
              </w:rPr>
              <w:fldChar w:fldCharType="begin"/>
            </w:r>
            <w:r w:rsidR="00C97554">
              <w:rPr>
                <w:noProof/>
                <w:webHidden/>
              </w:rPr>
              <w:instrText xml:space="preserve"> PAGEREF _Toc183783027 \h </w:instrText>
            </w:r>
            <w:r w:rsidR="00C97554">
              <w:rPr>
                <w:noProof/>
                <w:webHidden/>
              </w:rPr>
            </w:r>
            <w:r w:rsidR="00C97554">
              <w:rPr>
                <w:noProof/>
                <w:webHidden/>
              </w:rPr>
              <w:fldChar w:fldCharType="separate"/>
            </w:r>
            <w:r w:rsidR="00C10708">
              <w:rPr>
                <w:noProof/>
                <w:webHidden/>
              </w:rPr>
              <w:t>36</w:t>
            </w:r>
            <w:r w:rsidR="00C97554">
              <w:rPr>
                <w:noProof/>
                <w:webHidden/>
              </w:rPr>
              <w:fldChar w:fldCharType="end"/>
            </w:r>
          </w:hyperlink>
        </w:p>
        <w:p w14:paraId="11FC2C3F"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28" w:history="1">
            <w:r w:rsidR="00C97554" w:rsidRPr="00202143">
              <w:rPr>
                <w:rStyle w:val="Hipervnculo"/>
                <w:noProof/>
              </w:rPr>
              <w:t>2.2.5.</w:t>
            </w:r>
            <w:r w:rsidR="00C97554">
              <w:rPr>
                <w:rFonts w:asciiTheme="minorHAnsi" w:eastAsiaTheme="minorEastAsia" w:hAnsiTheme="minorHAnsi"/>
                <w:noProof/>
                <w:kern w:val="0"/>
                <w:sz w:val="22"/>
                <w:lang w:eastAsia="es-CO"/>
                <w14:ligatures w14:val="none"/>
              </w:rPr>
              <w:tab/>
            </w:r>
            <w:r w:rsidR="00C97554" w:rsidRPr="00202143">
              <w:rPr>
                <w:rStyle w:val="Hipervnculo"/>
                <w:noProof/>
              </w:rPr>
              <w:t>Teoría de costos de transacción</w:t>
            </w:r>
            <w:r w:rsidR="00C97554">
              <w:rPr>
                <w:noProof/>
                <w:webHidden/>
              </w:rPr>
              <w:tab/>
            </w:r>
            <w:r w:rsidR="00C97554">
              <w:rPr>
                <w:noProof/>
                <w:webHidden/>
              </w:rPr>
              <w:fldChar w:fldCharType="begin"/>
            </w:r>
            <w:r w:rsidR="00C97554">
              <w:rPr>
                <w:noProof/>
                <w:webHidden/>
              </w:rPr>
              <w:instrText xml:space="preserve"> PAGEREF _Toc183783028 \h </w:instrText>
            </w:r>
            <w:r w:rsidR="00C97554">
              <w:rPr>
                <w:noProof/>
                <w:webHidden/>
              </w:rPr>
            </w:r>
            <w:r w:rsidR="00C97554">
              <w:rPr>
                <w:noProof/>
                <w:webHidden/>
              </w:rPr>
              <w:fldChar w:fldCharType="separate"/>
            </w:r>
            <w:r w:rsidR="00C10708">
              <w:rPr>
                <w:noProof/>
                <w:webHidden/>
              </w:rPr>
              <w:t>37</w:t>
            </w:r>
            <w:r w:rsidR="00C97554">
              <w:rPr>
                <w:noProof/>
                <w:webHidden/>
              </w:rPr>
              <w:fldChar w:fldCharType="end"/>
            </w:r>
          </w:hyperlink>
        </w:p>
        <w:p w14:paraId="123A37D1"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29" w:history="1">
            <w:r w:rsidR="00C97554" w:rsidRPr="00202143">
              <w:rPr>
                <w:rStyle w:val="Hipervnculo"/>
                <w:noProof/>
              </w:rPr>
              <w:t>2.3.</w:t>
            </w:r>
            <w:r w:rsidR="00C97554">
              <w:rPr>
                <w:rFonts w:asciiTheme="minorHAnsi" w:eastAsiaTheme="minorEastAsia" w:hAnsiTheme="minorHAnsi"/>
                <w:noProof/>
                <w:kern w:val="0"/>
                <w:sz w:val="22"/>
                <w:lang w:eastAsia="es-CO"/>
                <w14:ligatures w14:val="none"/>
              </w:rPr>
              <w:tab/>
            </w:r>
            <w:r w:rsidR="00C97554" w:rsidRPr="00202143">
              <w:rPr>
                <w:rStyle w:val="Hipervnculo"/>
                <w:noProof/>
              </w:rPr>
              <w:t>MARCO CONCEPTUAL</w:t>
            </w:r>
            <w:r w:rsidR="00C97554">
              <w:rPr>
                <w:noProof/>
                <w:webHidden/>
              </w:rPr>
              <w:tab/>
            </w:r>
            <w:r w:rsidR="00C97554">
              <w:rPr>
                <w:noProof/>
                <w:webHidden/>
              </w:rPr>
              <w:fldChar w:fldCharType="begin"/>
            </w:r>
            <w:r w:rsidR="00C97554">
              <w:rPr>
                <w:noProof/>
                <w:webHidden/>
              </w:rPr>
              <w:instrText xml:space="preserve"> PAGEREF _Toc183783029 \h </w:instrText>
            </w:r>
            <w:r w:rsidR="00C97554">
              <w:rPr>
                <w:noProof/>
                <w:webHidden/>
              </w:rPr>
            </w:r>
            <w:r w:rsidR="00C97554">
              <w:rPr>
                <w:noProof/>
                <w:webHidden/>
              </w:rPr>
              <w:fldChar w:fldCharType="separate"/>
            </w:r>
            <w:r w:rsidR="00C10708">
              <w:rPr>
                <w:noProof/>
                <w:webHidden/>
              </w:rPr>
              <w:t>39</w:t>
            </w:r>
            <w:r w:rsidR="00C97554">
              <w:rPr>
                <w:noProof/>
                <w:webHidden/>
              </w:rPr>
              <w:fldChar w:fldCharType="end"/>
            </w:r>
          </w:hyperlink>
        </w:p>
        <w:p w14:paraId="5E7C18FA"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30" w:history="1">
            <w:r w:rsidR="00C97554" w:rsidRPr="00202143">
              <w:rPr>
                <w:rStyle w:val="Hipervnculo"/>
                <w:noProof/>
              </w:rPr>
              <w:t>2.4.</w:t>
            </w:r>
            <w:r w:rsidR="00C97554">
              <w:rPr>
                <w:rFonts w:asciiTheme="minorHAnsi" w:eastAsiaTheme="minorEastAsia" w:hAnsiTheme="minorHAnsi"/>
                <w:noProof/>
                <w:kern w:val="0"/>
                <w:sz w:val="22"/>
                <w:lang w:eastAsia="es-CO"/>
                <w14:ligatures w14:val="none"/>
              </w:rPr>
              <w:tab/>
            </w:r>
            <w:r w:rsidR="00C97554" w:rsidRPr="00202143">
              <w:rPr>
                <w:rStyle w:val="Hipervnculo"/>
                <w:noProof/>
              </w:rPr>
              <w:t>MARCO LEGAL</w:t>
            </w:r>
            <w:r w:rsidR="00C97554">
              <w:rPr>
                <w:noProof/>
                <w:webHidden/>
              </w:rPr>
              <w:tab/>
            </w:r>
            <w:r w:rsidR="00C97554">
              <w:rPr>
                <w:noProof/>
                <w:webHidden/>
              </w:rPr>
              <w:fldChar w:fldCharType="begin"/>
            </w:r>
            <w:r w:rsidR="00C97554">
              <w:rPr>
                <w:noProof/>
                <w:webHidden/>
              </w:rPr>
              <w:instrText xml:space="preserve"> PAGEREF _Toc183783030 \h </w:instrText>
            </w:r>
            <w:r w:rsidR="00C97554">
              <w:rPr>
                <w:noProof/>
                <w:webHidden/>
              </w:rPr>
            </w:r>
            <w:r w:rsidR="00C97554">
              <w:rPr>
                <w:noProof/>
                <w:webHidden/>
              </w:rPr>
              <w:fldChar w:fldCharType="separate"/>
            </w:r>
            <w:r w:rsidR="00C10708">
              <w:rPr>
                <w:noProof/>
                <w:webHidden/>
              </w:rPr>
              <w:t>47</w:t>
            </w:r>
            <w:r w:rsidR="00C97554">
              <w:rPr>
                <w:noProof/>
                <w:webHidden/>
              </w:rPr>
              <w:fldChar w:fldCharType="end"/>
            </w:r>
          </w:hyperlink>
        </w:p>
        <w:p w14:paraId="59D716AB" w14:textId="77777777" w:rsidR="00C97554" w:rsidRDefault="00E23E2B">
          <w:pPr>
            <w:pStyle w:val="TDC1"/>
            <w:tabs>
              <w:tab w:val="left" w:pos="480"/>
            </w:tabs>
            <w:rPr>
              <w:rFonts w:asciiTheme="minorHAnsi" w:eastAsiaTheme="minorEastAsia" w:hAnsiTheme="minorHAnsi"/>
              <w:noProof/>
              <w:kern w:val="0"/>
              <w:sz w:val="22"/>
              <w:lang w:eastAsia="es-CO"/>
              <w14:ligatures w14:val="none"/>
            </w:rPr>
          </w:pPr>
          <w:hyperlink w:anchor="_Toc183783031" w:history="1">
            <w:r w:rsidR="00C97554" w:rsidRPr="00202143">
              <w:rPr>
                <w:rStyle w:val="Hipervnculo"/>
                <w:noProof/>
              </w:rPr>
              <w:t>3.</w:t>
            </w:r>
            <w:r w:rsidR="00C97554">
              <w:rPr>
                <w:rFonts w:asciiTheme="minorHAnsi" w:eastAsiaTheme="minorEastAsia" w:hAnsiTheme="minorHAnsi"/>
                <w:noProof/>
                <w:kern w:val="0"/>
                <w:sz w:val="22"/>
                <w:lang w:eastAsia="es-CO"/>
                <w14:ligatures w14:val="none"/>
              </w:rPr>
              <w:tab/>
            </w:r>
            <w:r w:rsidR="00C97554" w:rsidRPr="00202143">
              <w:rPr>
                <w:rStyle w:val="Hipervnculo"/>
                <w:noProof/>
              </w:rPr>
              <w:t>CAPITULO 3. METODOLOGIA DE LA INVESTIGACION</w:t>
            </w:r>
            <w:r w:rsidR="00C97554">
              <w:rPr>
                <w:noProof/>
                <w:webHidden/>
              </w:rPr>
              <w:tab/>
            </w:r>
            <w:r w:rsidR="00C97554">
              <w:rPr>
                <w:noProof/>
                <w:webHidden/>
              </w:rPr>
              <w:fldChar w:fldCharType="begin"/>
            </w:r>
            <w:r w:rsidR="00C97554">
              <w:rPr>
                <w:noProof/>
                <w:webHidden/>
              </w:rPr>
              <w:instrText xml:space="preserve"> PAGEREF _Toc183783031 \h </w:instrText>
            </w:r>
            <w:r w:rsidR="00C97554">
              <w:rPr>
                <w:noProof/>
                <w:webHidden/>
              </w:rPr>
            </w:r>
            <w:r w:rsidR="00C97554">
              <w:rPr>
                <w:noProof/>
                <w:webHidden/>
              </w:rPr>
              <w:fldChar w:fldCharType="separate"/>
            </w:r>
            <w:r w:rsidR="00C10708">
              <w:rPr>
                <w:noProof/>
                <w:webHidden/>
              </w:rPr>
              <w:t>53</w:t>
            </w:r>
            <w:r w:rsidR="00C97554">
              <w:rPr>
                <w:noProof/>
                <w:webHidden/>
              </w:rPr>
              <w:fldChar w:fldCharType="end"/>
            </w:r>
          </w:hyperlink>
        </w:p>
        <w:p w14:paraId="2B8D94E2"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32" w:history="1">
            <w:r w:rsidR="00C97554" w:rsidRPr="00202143">
              <w:rPr>
                <w:rStyle w:val="Hipervnculo"/>
                <w:noProof/>
              </w:rPr>
              <w:t>3.1.</w:t>
            </w:r>
            <w:r w:rsidR="00C97554">
              <w:rPr>
                <w:rFonts w:asciiTheme="minorHAnsi" w:eastAsiaTheme="minorEastAsia" w:hAnsiTheme="minorHAnsi"/>
                <w:noProof/>
                <w:kern w:val="0"/>
                <w:sz w:val="22"/>
                <w:lang w:eastAsia="es-CO"/>
                <w14:ligatures w14:val="none"/>
              </w:rPr>
              <w:tab/>
            </w:r>
            <w:r w:rsidR="00C97554" w:rsidRPr="00202143">
              <w:rPr>
                <w:rStyle w:val="Hipervnculo"/>
                <w:noProof/>
              </w:rPr>
              <w:t>TIPO DE INVESTIGACIÓN</w:t>
            </w:r>
            <w:r w:rsidR="00C97554">
              <w:rPr>
                <w:noProof/>
                <w:webHidden/>
              </w:rPr>
              <w:tab/>
            </w:r>
            <w:r w:rsidR="00C97554">
              <w:rPr>
                <w:noProof/>
                <w:webHidden/>
              </w:rPr>
              <w:fldChar w:fldCharType="begin"/>
            </w:r>
            <w:r w:rsidR="00C97554">
              <w:rPr>
                <w:noProof/>
                <w:webHidden/>
              </w:rPr>
              <w:instrText xml:space="preserve"> PAGEREF _Toc183783032 \h </w:instrText>
            </w:r>
            <w:r w:rsidR="00C97554">
              <w:rPr>
                <w:noProof/>
                <w:webHidden/>
              </w:rPr>
            </w:r>
            <w:r w:rsidR="00C97554">
              <w:rPr>
                <w:noProof/>
                <w:webHidden/>
              </w:rPr>
              <w:fldChar w:fldCharType="separate"/>
            </w:r>
            <w:r w:rsidR="00C10708">
              <w:rPr>
                <w:noProof/>
                <w:webHidden/>
              </w:rPr>
              <w:t>53</w:t>
            </w:r>
            <w:r w:rsidR="00C97554">
              <w:rPr>
                <w:noProof/>
                <w:webHidden/>
              </w:rPr>
              <w:fldChar w:fldCharType="end"/>
            </w:r>
          </w:hyperlink>
        </w:p>
        <w:p w14:paraId="7195781E"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33" w:history="1">
            <w:r w:rsidR="00C97554" w:rsidRPr="00202143">
              <w:rPr>
                <w:rStyle w:val="Hipervnculo"/>
                <w:noProof/>
              </w:rPr>
              <w:t>3.1.1.</w:t>
            </w:r>
            <w:r w:rsidR="00C97554">
              <w:rPr>
                <w:rFonts w:asciiTheme="minorHAnsi" w:eastAsiaTheme="minorEastAsia" w:hAnsiTheme="minorHAnsi"/>
                <w:noProof/>
                <w:kern w:val="0"/>
                <w:sz w:val="22"/>
                <w:lang w:eastAsia="es-CO"/>
                <w14:ligatures w14:val="none"/>
              </w:rPr>
              <w:tab/>
            </w:r>
            <w:r w:rsidR="00C97554" w:rsidRPr="00202143">
              <w:rPr>
                <w:rStyle w:val="Hipervnculo"/>
                <w:noProof/>
              </w:rPr>
              <w:t>Enfoque de la Investigación</w:t>
            </w:r>
            <w:r w:rsidR="00C97554">
              <w:rPr>
                <w:noProof/>
                <w:webHidden/>
              </w:rPr>
              <w:tab/>
            </w:r>
            <w:r w:rsidR="00C97554">
              <w:rPr>
                <w:noProof/>
                <w:webHidden/>
              </w:rPr>
              <w:fldChar w:fldCharType="begin"/>
            </w:r>
            <w:r w:rsidR="00C97554">
              <w:rPr>
                <w:noProof/>
                <w:webHidden/>
              </w:rPr>
              <w:instrText xml:space="preserve"> PAGEREF _Toc183783033 \h </w:instrText>
            </w:r>
            <w:r w:rsidR="00C97554">
              <w:rPr>
                <w:noProof/>
                <w:webHidden/>
              </w:rPr>
            </w:r>
            <w:r w:rsidR="00C97554">
              <w:rPr>
                <w:noProof/>
                <w:webHidden/>
              </w:rPr>
              <w:fldChar w:fldCharType="separate"/>
            </w:r>
            <w:r w:rsidR="00C10708">
              <w:rPr>
                <w:noProof/>
                <w:webHidden/>
              </w:rPr>
              <w:t>53</w:t>
            </w:r>
            <w:r w:rsidR="00C97554">
              <w:rPr>
                <w:noProof/>
                <w:webHidden/>
              </w:rPr>
              <w:fldChar w:fldCharType="end"/>
            </w:r>
          </w:hyperlink>
        </w:p>
        <w:p w14:paraId="0E2E04D2"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34" w:history="1">
            <w:r w:rsidR="00C97554" w:rsidRPr="00202143">
              <w:rPr>
                <w:rStyle w:val="Hipervnculo"/>
                <w:noProof/>
              </w:rPr>
              <w:t>3.1.2.</w:t>
            </w:r>
            <w:r w:rsidR="00C97554">
              <w:rPr>
                <w:rFonts w:asciiTheme="minorHAnsi" w:eastAsiaTheme="minorEastAsia" w:hAnsiTheme="minorHAnsi"/>
                <w:noProof/>
                <w:kern w:val="0"/>
                <w:sz w:val="22"/>
                <w:lang w:eastAsia="es-CO"/>
                <w14:ligatures w14:val="none"/>
              </w:rPr>
              <w:tab/>
            </w:r>
            <w:r w:rsidR="00C97554" w:rsidRPr="00202143">
              <w:rPr>
                <w:rStyle w:val="Hipervnculo"/>
                <w:noProof/>
              </w:rPr>
              <w:t>Alcance de la Investigación</w:t>
            </w:r>
            <w:r w:rsidR="00C97554">
              <w:rPr>
                <w:noProof/>
                <w:webHidden/>
              </w:rPr>
              <w:tab/>
            </w:r>
            <w:r w:rsidR="00C97554">
              <w:rPr>
                <w:noProof/>
                <w:webHidden/>
              </w:rPr>
              <w:fldChar w:fldCharType="begin"/>
            </w:r>
            <w:r w:rsidR="00C97554">
              <w:rPr>
                <w:noProof/>
                <w:webHidden/>
              </w:rPr>
              <w:instrText xml:space="preserve"> PAGEREF _Toc183783034 \h </w:instrText>
            </w:r>
            <w:r w:rsidR="00C97554">
              <w:rPr>
                <w:noProof/>
                <w:webHidden/>
              </w:rPr>
            </w:r>
            <w:r w:rsidR="00C97554">
              <w:rPr>
                <w:noProof/>
                <w:webHidden/>
              </w:rPr>
              <w:fldChar w:fldCharType="separate"/>
            </w:r>
            <w:r w:rsidR="00C10708">
              <w:rPr>
                <w:noProof/>
                <w:webHidden/>
              </w:rPr>
              <w:t>54</w:t>
            </w:r>
            <w:r w:rsidR="00C97554">
              <w:rPr>
                <w:noProof/>
                <w:webHidden/>
              </w:rPr>
              <w:fldChar w:fldCharType="end"/>
            </w:r>
          </w:hyperlink>
        </w:p>
        <w:p w14:paraId="167BB1C0"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35" w:history="1">
            <w:r w:rsidR="00C97554" w:rsidRPr="00202143">
              <w:rPr>
                <w:rStyle w:val="Hipervnculo"/>
                <w:noProof/>
                <w:lang w:eastAsia="es-CO"/>
              </w:rPr>
              <w:t>3.2.</w:t>
            </w:r>
            <w:r w:rsidR="00C97554">
              <w:rPr>
                <w:rFonts w:asciiTheme="minorHAnsi" w:eastAsiaTheme="minorEastAsia" w:hAnsiTheme="minorHAnsi"/>
                <w:noProof/>
                <w:kern w:val="0"/>
                <w:sz w:val="22"/>
                <w:lang w:eastAsia="es-CO"/>
                <w14:ligatures w14:val="none"/>
              </w:rPr>
              <w:tab/>
            </w:r>
            <w:r w:rsidR="00C97554" w:rsidRPr="00202143">
              <w:rPr>
                <w:rStyle w:val="Hipervnculo"/>
                <w:noProof/>
                <w:lang w:eastAsia="es-CO"/>
              </w:rPr>
              <w:t>DISEÑO DE LA INVESTIGACIÓN</w:t>
            </w:r>
            <w:r w:rsidR="00C97554">
              <w:rPr>
                <w:noProof/>
                <w:webHidden/>
              </w:rPr>
              <w:tab/>
            </w:r>
            <w:r w:rsidR="00C97554">
              <w:rPr>
                <w:noProof/>
                <w:webHidden/>
              </w:rPr>
              <w:fldChar w:fldCharType="begin"/>
            </w:r>
            <w:r w:rsidR="00C97554">
              <w:rPr>
                <w:noProof/>
                <w:webHidden/>
              </w:rPr>
              <w:instrText xml:space="preserve"> PAGEREF _Toc183783035 \h </w:instrText>
            </w:r>
            <w:r w:rsidR="00C97554">
              <w:rPr>
                <w:noProof/>
                <w:webHidden/>
              </w:rPr>
            </w:r>
            <w:r w:rsidR="00C97554">
              <w:rPr>
                <w:noProof/>
                <w:webHidden/>
              </w:rPr>
              <w:fldChar w:fldCharType="separate"/>
            </w:r>
            <w:r w:rsidR="00C10708">
              <w:rPr>
                <w:noProof/>
                <w:webHidden/>
              </w:rPr>
              <w:t>55</w:t>
            </w:r>
            <w:r w:rsidR="00C97554">
              <w:rPr>
                <w:noProof/>
                <w:webHidden/>
              </w:rPr>
              <w:fldChar w:fldCharType="end"/>
            </w:r>
          </w:hyperlink>
        </w:p>
        <w:p w14:paraId="225ED4D7"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36" w:history="1">
            <w:r w:rsidR="00C97554" w:rsidRPr="00202143">
              <w:rPr>
                <w:rStyle w:val="Hipervnculo"/>
                <w:noProof/>
              </w:rPr>
              <w:t>3.3.</w:t>
            </w:r>
            <w:r w:rsidR="00C97554">
              <w:rPr>
                <w:rFonts w:asciiTheme="minorHAnsi" w:eastAsiaTheme="minorEastAsia" w:hAnsiTheme="minorHAnsi"/>
                <w:noProof/>
                <w:kern w:val="0"/>
                <w:sz w:val="22"/>
                <w:lang w:eastAsia="es-CO"/>
                <w14:ligatures w14:val="none"/>
              </w:rPr>
              <w:tab/>
            </w:r>
            <w:r w:rsidR="00C97554" w:rsidRPr="00202143">
              <w:rPr>
                <w:rStyle w:val="Hipervnculo"/>
                <w:noProof/>
              </w:rPr>
              <w:t>HIPÓTESIS</w:t>
            </w:r>
            <w:r w:rsidR="00C97554">
              <w:rPr>
                <w:noProof/>
                <w:webHidden/>
              </w:rPr>
              <w:tab/>
            </w:r>
            <w:r w:rsidR="00C97554">
              <w:rPr>
                <w:noProof/>
                <w:webHidden/>
              </w:rPr>
              <w:fldChar w:fldCharType="begin"/>
            </w:r>
            <w:r w:rsidR="00C97554">
              <w:rPr>
                <w:noProof/>
                <w:webHidden/>
              </w:rPr>
              <w:instrText xml:space="preserve"> PAGEREF _Toc183783036 \h </w:instrText>
            </w:r>
            <w:r w:rsidR="00C97554">
              <w:rPr>
                <w:noProof/>
                <w:webHidden/>
              </w:rPr>
            </w:r>
            <w:r w:rsidR="00C97554">
              <w:rPr>
                <w:noProof/>
                <w:webHidden/>
              </w:rPr>
              <w:fldChar w:fldCharType="separate"/>
            </w:r>
            <w:r w:rsidR="00C10708">
              <w:rPr>
                <w:noProof/>
                <w:webHidden/>
              </w:rPr>
              <w:t>56</w:t>
            </w:r>
            <w:r w:rsidR="00C97554">
              <w:rPr>
                <w:noProof/>
                <w:webHidden/>
              </w:rPr>
              <w:fldChar w:fldCharType="end"/>
            </w:r>
          </w:hyperlink>
        </w:p>
        <w:p w14:paraId="2B17F786"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37" w:history="1">
            <w:r w:rsidR="00C97554" w:rsidRPr="00202143">
              <w:rPr>
                <w:rStyle w:val="Hipervnculo"/>
                <w:noProof/>
              </w:rPr>
              <w:t>3.4.</w:t>
            </w:r>
            <w:r w:rsidR="00C97554">
              <w:rPr>
                <w:rFonts w:asciiTheme="minorHAnsi" w:eastAsiaTheme="minorEastAsia" w:hAnsiTheme="minorHAnsi"/>
                <w:noProof/>
                <w:kern w:val="0"/>
                <w:sz w:val="22"/>
                <w:lang w:eastAsia="es-CO"/>
                <w14:ligatures w14:val="none"/>
              </w:rPr>
              <w:tab/>
            </w:r>
            <w:r w:rsidR="00C97554" w:rsidRPr="00202143">
              <w:rPr>
                <w:rStyle w:val="Hipervnculo"/>
                <w:noProof/>
              </w:rPr>
              <w:t>ÁREA DE LOCALIZACIÓN DE ESTUDIO</w:t>
            </w:r>
            <w:r w:rsidR="00C97554">
              <w:rPr>
                <w:noProof/>
                <w:webHidden/>
              </w:rPr>
              <w:tab/>
            </w:r>
            <w:r w:rsidR="00C97554">
              <w:rPr>
                <w:noProof/>
                <w:webHidden/>
              </w:rPr>
              <w:fldChar w:fldCharType="begin"/>
            </w:r>
            <w:r w:rsidR="00C97554">
              <w:rPr>
                <w:noProof/>
                <w:webHidden/>
              </w:rPr>
              <w:instrText xml:space="preserve"> PAGEREF _Toc183783037 \h </w:instrText>
            </w:r>
            <w:r w:rsidR="00C97554">
              <w:rPr>
                <w:noProof/>
                <w:webHidden/>
              </w:rPr>
            </w:r>
            <w:r w:rsidR="00C97554">
              <w:rPr>
                <w:noProof/>
                <w:webHidden/>
              </w:rPr>
              <w:fldChar w:fldCharType="separate"/>
            </w:r>
            <w:r w:rsidR="00C10708">
              <w:rPr>
                <w:noProof/>
                <w:webHidden/>
              </w:rPr>
              <w:t>56</w:t>
            </w:r>
            <w:r w:rsidR="00C97554">
              <w:rPr>
                <w:noProof/>
                <w:webHidden/>
              </w:rPr>
              <w:fldChar w:fldCharType="end"/>
            </w:r>
          </w:hyperlink>
        </w:p>
        <w:p w14:paraId="517FAB17"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38" w:history="1">
            <w:r w:rsidR="00C97554" w:rsidRPr="00202143">
              <w:rPr>
                <w:rStyle w:val="Hipervnculo"/>
                <w:noProof/>
              </w:rPr>
              <w:t>3.5.</w:t>
            </w:r>
            <w:r w:rsidR="00C97554">
              <w:rPr>
                <w:rFonts w:asciiTheme="minorHAnsi" w:eastAsiaTheme="minorEastAsia" w:hAnsiTheme="minorHAnsi"/>
                <w:noProof/>
                <w:kern w:val="0"/>
                <w:sz w:val="22"/>
                <w:lang w:eastAsia="es-CO"/>
                <w14:ligatures w14:val="none"/>
              </w:rPr>
              <w:tab/>
            </w:r>
            <w:r w:rsidR="00C97554" w:rsidRPr="00202143">
              <w:rPr>
                <w:rStyle w:val="Hipervnculo"/>
                <w:noProof/>
              </w:rPr>
              <w:t>POBLACIÓN Y MUESTRA</w:t>
            </w:r>
            <w:r w:rsidR="00C97554">
              <w:rPr>
                <w:noProof/>
                <w:webHidden/>
              </w:rPr>
              <w:tab/>
            </w:r>
            <w:r w:rsidR="00C97554">
              <w:rPr>
                <w:noProof/>
                <w:webHidden/>
              </w:rPr>
              <w:fldChar w:fldCharType="begin"/>
            </w:r>
            <w:r w:rsidR="00C97554">
              <w:rPr>
                <w:noProof/>
                <w:webHidden/>
              </w:rPr>
              <w:instrText xml:space="preserve"> PAGEREF _Toc183783038 \h </w:instrText>
            </w:r>
            <w:r w:rsidR="00C97554">
              <w:rPr>
                <w:noProof/>
                <w:webHidden/>
              </w:rPr>
            </w:r>
            <w:r w:rsidR="00C97554">
              <w:rPr>
                <w:noProof/>
                <w:webHidden/>
              </w:rPr>
              <w:fldChar w:fldCharType="separate"/>
            </w:r>
            <w:r w:rsidR="00C10708">
              <w:rPr>
                <w:noProof/>
                <w:webHidden/>
              </w:rPr>
              <w:t>57</w:t>
            </w:r>
            <w:r w:rsidR="00C97554">
              <w:rPr>
                <w:noProof/>
                <w:webHidden/>
              </w:rPr>
              <w:fldChar w:fldCharType="end"/>
            </w:r>
          </w:hyperlink>
        </w:p>
        <w:p w14:paraId="29D38246"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39" w:history="1">
            <w:r w:rsidR="00C97554" w:rsidRPr="00202143">
              <w:rPr>
                <w:rStyle w:val="Hipervnculo"/>
                <w:noProof/>
              </w:rPr>
              <w:t>3.6.</w:t>
            </w:r>
            <w:r w:rsidR="00C97554">
              <w:rPr>
                <w:rFonts w:asciiTheme="minorHAnsi" w:eastAsiaTheme="minorEastAsia" w:hAnsiTheme="minorHAnsi"/>
                <w:noProof/>
                <w:kern w:val="0"/>
                <w:sz w:val="22"/>
                <w:lang w:eastAsia="es-CO"/>
                <w14:ligatures w14:val="none"/>
              </w:rPr>
              <w:tab/>
            </w:r>
            <w:r w:rsidR="00C97554" w:rsidRPr="00202143">
              <w:rPr>
                <w:rStyle w:val="Hipervnculo"/>
                <w:noProof/>
              </w:rPr>
              <w:t>FUENTES DE INFORMACIÓN</w:t>
            </w:r>
            <w:r w:rsidR="00C97554">
              <w:rPr>
                <w:noProof/>
                <w:webHidden/>
              </w:rPr>
              <w:tab/>
            </w:r>
            <w:r w:rsidR="00C97554">
              <w:rPr>
                <w:noProof/>
                <w:webHidden/>
              </w:rPr>
              <w:fldChar w:fldCharType="begin"/>
            </w:r>
            <w:r w:rsidR="00C97554">
              <w:rPr>
                <w:noProof/>
                <w:webHidden/>
              </w:rPr>
              <w:instrText xml:space="preserve"> PAGEREF _Toc183783039 \h </w:instrText>
            </w:r>
            <w:r w:rsidR="00C97554">
              <w:rPr>
                <w:noProof/>
                <w:webHidden/>
              </w:rPr>
            </w:r>
            <w:r w:rsidR="00C97554">
              <w:rPr>
                <w:noProof/>
                <w:webHidden/>
              </w:rPr>
              <w:fldChar w:fldCharType="separate"/>
            </w:r>
            <w:r w:rsidR="00C10708">
              <w:rPr>
                <w:noProof/>
                <w:webHidden/>
              </w:rPr>
              <w:t>57</w:t>
            </w:r>
            <w:r w:rsidR="00C97554">
              <w:rPr>
                <w:noProof/>
                <w:webHidden/>
              </w:rPr>
              <w:fldChar w:fldCharType="end"/>
            </w:r>
          </w:hyperlink>
        </w:p>
        <w:p w14:paraId="32398701"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40" w:history="1">
            <w:r w:rsidR="00C97554" w:rsidRPr="00202143">
              <w:rPr>
                <w:rStyle w:val="Hipervnculo"/>
                <w:noProof/>
              </w:rPr>
              <w:t>3.7.</w:t>
            </w:r>
            <w:r w:rsidR="00C97554">
              <w:rPr>
                <w:rFonts w:asciiTheme="minorHAnsi" w:eastAsiaTheme="minorEastAsia" w:hAnsiTheme="minorHAnsi"/>
                <w:noProof/>
                <w:kern w:val="0"/>
                <w:sz w:val="22"/>
                <w:lang w:eastAsia="es-CO"/>
                <w14:ligatures w14:val="none"/>
              </w:rPr>
              <w:tab/>
            </w:r>
            <w:r w:rsidR="00C97554" w:rsidRPr="00202143">
              <w:rPr>
                <w:rStyle w:val="Hipervnculo"/>
                <w:noProof/>
              </w:rPr>
              <w:t>TÉCNICAS E INSTRUMENTOS DE RECOLECCIÓN DE DATOS</w:t>
            </w:r>
            <w:r w:rsidR="00C97554">
              <w:rPr>
                <w:noProof/>
                <w:webHidden/>
              </w:rPr>
              <w:tab/>
            </w:r>
            <w:r w:rsidR="00C97554">
              <w:rPr>
                <w:noProof/>
                <w:webHidden/>
              </w:rPr>
              <w:fldChar w:fldCharType="begin"/>
            </w:r>
            <w:r w:rsidR="00C97554">
              <w:rPr>
                <w:noProof/>
                <w:webHidden/>
              </w:rPr>
              <w:instrText xml:space="preserve"> PAGEREF _Toc183783040 \h </w:instrText>
            </w:r>
            <w:r w:rsidR="00C97554">
              <w:rPr>
                <w:noProof/>
                <w:webHidden/>
              </w:rPr>
            </w:r>
            <w:r w:rsidR="00C97554">
              <w:rPr>
                <w:noProof/>
                <w:webHidden/>
              </w:rPr>
              <w:fldChar w:fldCharType="separate"/>
            </w:r>
            <w:r w:rsidR="00C10708">
              <w:rPr>
                <w:noProof/>
                <w:webHidden/>
              </w:rPr>
              <w:t>57</w:t>
            </w:r>
            <w:r w:rsidR="00C97554">
              <w:rPr>
                <w:noProof/>
                <w:webHidden/>
              </w:rPr>
              <w:fldChar w:fldCharType="end"/>
            </w:r>
          </w:hyperlink>
        </w:p>
        <w:p w14:paraId="63FD0774"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41" w:history="1">
            <w:r w:rsidR="00C97554" w:rsidRPr="00202143">
              <w:rPr>
                <w:rStyle w:val="Hipervnculo"/>
                <w:noProof/>
              </w:rPr>
              <w:t>3.8.</w:t>
            </w:r>
            <w:r w:rsidR="00C97554">
              <w:rPr>
                <w:rFonts w:asciiTheme="minorHAnsi" w:eastAsiaTheme="minorEastAsia" w:hAnsiTheme="minorHAnsi"/>
                <w:noProof/>
                <w:kern w:val="0"/>
                <w:sz w:val="22"/>
                <w:lang w:eastAsia="es-CO"/>
                <w14:ligatures w14:val="none"/>
              </w:rPr>
              <w:tab/>
            </w:r>
            <w:r w:rsidR="00C97554" w:rsidRPr="00202143">
              <w:rPr>
                <w:rStyle w:val="Hipervnculo"/>
                <w:noProof/>
              </w:rPr>
              <w:t>PROCEDIMIENTO</w:t>
            </w:r>
            <w:r w:rsidR="00C97554">
              <w:rPr>
                <w:noProof/>
                <w:webHidden/>
              </w:rPr>
              <w:tab/>
            </w:r>
            <w:r w:rsidR="00C97554">
              <w:rPr>
                <w:noProof/>
                <w:webHidden/>
              </w:rPr>
              <w:fldChar w:fldCharType="begin"/>
            </w:r>
            <w:r w:rsidR="00C97554">
              <w:rPr>
                <w:noProof/>
                <w:webHidden/>
              </w:rPr>
              <w:instrText xml:space="preserve"> PAGEREF _Toc183783041 \h </w:instrText>
            </w:r>
            <w:r w:rsidR="00C97554">
              <w:rPr>
                <w:noProof/>
                <w:webHidden/>
              </w:rPr>
            </w:r>
            <w:r w:rsidR="00C97554">
              <w:rPr>
                <w:noProof/>
                <w:webHidden/>
              </w:rPr>
              <w:fldChar w:fldCharType="separate"/>
            </w:r>
            <w:r w:rsidR="00C10708">
              <w:rPr>
                <w:noProof/>
                <w:webHidden/>
              </w:rPr>
              <w:t>58</w:t>
            </w:r>
            <w:r w:rsidR="00C97554">
              <w:rPr>
                <w:noProof/>
                <w:webHidden/>
              </w:rPr>
              <w:fldChar w:fldCharType="end"/>
            </w:r>
          </w:hyperlink>
        </w:p>
        <w:p w14:paraId="7D13E206"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42" w:history="1">
            <w:r w:rsidR="00C97554" w:rsidRPr="00202143">
              <w:rPr>
                <w:rStyle w:val="Hipervnculo"/>
                <w:noProof/>
              </w:rPr>
              <w:t>3.9.</w:t>
            </w:r>
            <w:r w:rsidR="00C97554">
              <w:rPr>
                <w:rFonts w:asciiTheme="minorHAnsi" w:eastAsiaTheme="minorEastAsia" w:hAnsiTheme="minorHAnsi"/>
                <w:noProof/>
                <w:kern w:val="0"/>
                <w:sz w:val="22"/>
                <w:lang w:eastAsia="es-CO"/>
                <w14:ligatures w14:val="none"/>
              </w:rPr>
              <w:tab/>
            </w:r>
            <w:r w:rsidR="00C97554" w:rsidRPr="00202143">
              <w:rPr>
                <w:rStyle w:val="Hipervnculo"/>
                <w:noProof/>
              </w:rPr>
              <w:t>CONSIDERACIONES ÉTICAS</w:t>
            </w:r>
            <w:r w:rsidR="00C97554">
              <w:rPr>
                <w:noProof/>
                <w:webHidden/>
              </w:rPr>
              <w:tab/>
            </w:r>
            <w:r w:rsidR="00C97554">
              <w:rPr>
                <w:noProof/>
                <w:webHidden/>
              </w:rPr>
              <w:fldChar w:fldCharType="begin"/>
            </w:r>
            <w:r w:rsidR="00C97554">
              <w:rPr>
                <w:noProof/>
                <w:webHidden/>
              </w:rPr>
              <w:instrText xml:space="preserve"> PAGEREF _Toc183783042 \h </w:instrText>
            </w:r>
            <w:r w:rsidR="00C97554">
              <w:rPr>
                <w:noProof/>
                <w:webHidden/>
              </w:rPr>
            </w:r>
            <w:r w:rsidR="00C97554">
              <w:rPr>
                <w:noProof/>
                <w:webHidden/>
              </w:rPr>
              <w:fldChar w:fldCharType="separate"/>
            </w:r>
            <w:r w:rsidR="00C10708">
              <w:rPr>
                <w:noProof/>
                <w:webHidden/>
              </w:rPr>
              <w:t>60</w:t>
            </w:r>
            <w:r w:rsidR="00C97554">
              <w:rPr>
                <w:noProof/>
                <w:webHidden/>
              </w:rPr>
              <w:fldChar w:fldCharType="end"/>
            </w:r>
          </w:hyperlink>
        </w:p>
        <w:p w14:paraId="7ED30E2A" w14:textId="77777777" w:rsidR="00C97554" w:rsidRDefault="00E23E2B">
          <w:pPr>
            <w:pStyle w:val="TDC1"/>
            <w:tabs>
              <w:tab w:val="left" w:pos="480"/>
            </w:tabs>
            <w:rPr>
              <w:rFonts w:asciiTheme="minorHAnsi" w:eastAsiaTheme="minorEastAsia" w:hAnsiTheme="minorHAnsi"/>
              <w:noProof/>
              <w:kern w:val="0"/>
              <w:sz w:val="22"/>
              <w:lang w:eastAsia="es-CO"/>
              <w14:ligatures w14:val="none"/>
            </w:rPr>
          </w:pPr>
          <w:hyperlink w:anchor="_Toc183783043" w:history="1">
            <w:r w:rsidR="00C97554" w:rsidRPr="00202143">
              <w:rPr>
                <w:rStyle w:val="Hipervnculo"/>
                <w:noProof/>
              </w:rPr>
              <w:t>4.</w:t>
            </w:r>
            <w:r w:rsidR="00C97554">
              <w:rPr>
                <w:rFonts w:asciiTheme="minorHAnsi" w:eastAsiaTheme="minorEastAsia" w:hAnsiTheme="minorHAnsi"/>
                <w:noProof/>
                <w:kern w:val="0"/>
                <w:sz w:val="22"/>
                <w:lang w:eastAsia="es-CO"/>
                <w14:ligatures w14:val="none"/>
              </w:rPr>
              <w:tab/>
            </w:r>
            <w:r w:rsidR="00C97554" w:rsidRPr="00202143">
              <w:rPr>
                <w:rStyle w:val="Hipervnculo"/>
                <w:noProof/>
              </w:rPr>
              <w:t>CAPITULO 4. DESARROLLO DE LOS OBJETIVOS PROPUESTOS</w:t>
            </w:r>
            <w:r w:rsidR="00C97554">
              <w:rPr>
                <w:noProof/>
                <w:webHidden/>
              </w:rPr>
              <w:tab/>
            </w:r>
            <w:r w:rsidR="00C97554">
              <w:rPr>
                <w:noProof/>
                <w:webHidden/>
              </w:rPr>
              <w:fldChar w:fldCharType="begin"/>
            </w:r>
            <w:r w:rsidR="00C97554">
              <w:rPr>
                <w:noProof/>
                <w:webHidden/>
              </w:rPr>
              <w:instrText xml:space="preserve"> PAGEREF _Toc183783043 \h </w:instrText>
            </w:r>
            <w:r w:rsidR="00C97554">
              <w:rPr>
                <w:noProof/>
                <w:webHidden/>
              </w:rPr>
            </w:r>
            <w:r w:rsidR="00C97554">
              <w:rPr>
                <w:noProof/>
                <w:webHidden/>
              </w:rPr>
              <w:fldChar w:fldCharType="separate"/>
            </w:r>
            <w:r w:rsidR="00C10708">
              <w:rPr>
                <w:noProof/>
                <w:webHidden/>
              </w:rPr>
              <w:t>61</w:t>
            </w:r>
            <w:r w:rsidR="00C97554">
              <w:rPr>
                <w:noProof/>
                <w:webHidden/>
              </w:rPr>
              <w:fldChar w:fldCharType="end"/>
            </w:r>
          </w:hyperlink>
        </w:p>
        <w:p w14:paraId="01D3698E"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44" w:history="1">
            <w:r w:rsidR="00C97554" w:rsidRPr="00202143">
              <w:rPr>
                <w:rStyle w:val="Hipervnculo"/>
                <w:noProof/>
              </w:rPr>
              <w:t>4.1.</w:t>
            </w:r>
            <w:r w:rsidR="00C97554">
              <w:rPr>
                <w:rFonts w:asciiTheme="minorHAnsi" w:eastAsiaTheme="minorEastAsia" w:hAnsiTheme="minorHAnsi"/>
                <w:noProof/>
                <w:kern w:val="0"/>
                <w:sz w:val="22"/>
                <w:lang w:eastAsia="es-CO"/>
                <w14:ligatures w14:val="none"/>
              </w:rPr>
              <w:tab/>
            </w:r>
            <w:r w:rsidR="00C97554" w:rsidRPr="00202143">
              <w:rPr>
                <w:rStyle w:val="Hipervnculo"/>
                <w:noProof/>
              </w:rPr>
              <w:t>NORMATIVA TRIBUTARIA, ADUANERA Y DE COMERCIO EXTERIOR.</w:t>
            </w:r>
            <w:r w:rsidR="00C97554">
              <w:rPr>
                <w:noProof/>
                <w:webHidden/>
              </w:rPr>
              <w:tab/>
            </w:r>
            <w:r w:rsidR="00C97554">
              <w:rPr>
                <w:noProof/>
                <w:webHidden/>
              </w:rPr>
              <w:fldChar w:fldCharType="begin"/>
            </w:r>
            <w:r w:rsidR="00C97554">
              <w:rPr>
                <w:noProof/>
                <w:webHidden/>
              </w:rPr>
              <w:instrText xml:space="preserve"> PAGEREF _Toc183783044 \h </w:instrText>
            </w:r>
            <w:r w:rsidR="00C97554">
              <w:rPr>
                <w:noProof/>
                <w:webHidden/>
              </w:rPr>
            </w:r>
            <w:r w:rsidR="00C97554">
              <w:rPr>
                <w:noProof/>
                <w:webHidden/>
              </w:rPr>
              <w:fldChar w:fldCharType="separate"/>
            </w:r>
            <w:r w:rsidR="00C10708">
              <w:rPr>
                <w:noProof/>
                <w:webHidden/>
              </w:rPr>
              <w:t>61</w:t>
            </w:r>
            <w:r w:rsidR="00C97554">
              <w:rPr>
                <w:noProof/>
                <w:webHidden/>
              </w:rPr>
              <w:fldChar w:fldCharType="end"/>
            </w:r>
          </w:hyperlink>
        </w:p>
        <w:p w14:paraId="26852FA6"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45" w:history="1">
            <w:r w:rsidR="00C97554" w:rsidRPr="00202143">
              <w:rPr>
                <w:rStyle w:val="Hipervnculo"/>
                <w:noProof/>
              </w:rPr>
              <w:t>4.1.1.</w:t>
            </w:r>
            <w:r w:rsidR="00C97554">
              <w:rPr>
                <w:rFonts w:asciiTheme="minorHAnsi" w:eastAsiaTheme="minorEastAsia" w:hAnsiTheme="minorHAnsi"/>
                <w:noProof/>
                <w:kern w:val="0"/>
                <w:sz w:val="22"/>
                <w:lang w:eastAsia="es-CO"/>
                <w14:ligatures w14:val="none"/>
              </w:rPr>
              <w:tab/>
            </w:r>
            <w:r w:rsidR="00C97554" w:rsidRPr="00202143">
              <w:rPr>
                <w:rStyle w:val="Hipervnculo"/>
                <w:noProof/>
              </w:rPr>
              <w:t>Ley 1004 de 2005.</w:t>
            </w:r>
            <w:r w:rsidR="00C97554">
              <w:rPr>
                <w:noProof/>
                <w:webHidden/>
              </w:rPr>
              <w:tab/>
            </w:r>
            <w:r w:rsidR="00C97554">
              <w:rPr>
                <w:noProof/>
                <w:webHidden/>
              </w:rPr>
              <w:fldChar w:fldCharType="begin"/>
            </w:r>
            <w:r w:rsidR="00C97554">
              <w:rPr>
                <w:noProof/>
                <w:webHidden/>
              </w:rPr>
              <w:instrText xml:space="preserve"> PAGEREF _Toc183783045 \h </w:instrText>
            </w:r>
            <w:r w:rsidR="00C97554">
              <w:rPr>
                <w:noProof/>
                <w:webHidden/>
              </w:rPr>
            </w:r>
            <w:r w:rsidR="00C97554">
              <w:rPr>
                <w:noProof/>
                <w:webHidden/>
              </w:rPr>
              <w:fldChar w:fldCharType="separate"/>
            </w:r>
            <w:r w:rsidR="00C10708">
              <w:rPr>
                <w:noProof/>
                <w:webHidden/>
              </w:rPr>
              <w:t>61</w:t>
            </w:r>
            <w:r w:rsidR="00C97554">
              <w:rPr>
                <w:noProof/>
                <w:webHidden/>
              </w:rPr>
              <w:fldChar w:fldCharType="end"/>
            </w:r>
          </w:hyperlink>
        </w:p>
        <w:p w14:paraId="5E81BC96"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46" w:history="1">
            <w:r w:rsidR="00C97554" w:rsidRPr="00202143">
              <w:rPr>
                <w:rStyle w:val="Hipervnculo"/>
                <w:noProof/>
              </w:rPr>
              <w:t>4.1.2.</w:t>
            </w:r>
            <w:r w:rsidR="00C97554">
              <w:rPr>
                <w:rFonts w:asciiTheme="minorHAnsi" w:eastAsiaTheme="minorEastAsia" w:hAnsiTheme="minorHAnsi"/>
                <w:noProof/>
                <w:kern w:val="0"/>
                <w:sz w:val="22"/>
                <w:lang w:eastAsia="es-CO"/>
                <w14:ligatures w14:val="none"/>
              </w:rPr>
              <w:tab/>
            </w:r>
            <w:r w:rsidR="00C97554" w:rsidRPr="00202143">
              <w:rPr>
                <w:rStyle w:val="Hipervnculo"/>
                <w:noProof/>
              </w:rPr>
              <w:t>Decretos presidenciales.</w:t>
            </w:r>
            <w:r w:rsidR="00C97554">
              <w:rPr>
                <w:noProof/>
                <w:webHidden/>
              </w:rPr>
              <w:tab/>
            </w:r>
            <w:r w:rsidR="00C97554">
              <w:rPr>
                <w:noProof/>
                <w:webHidden/>
              </w:rPr>
              <w:fldChar w:fldCharType="begin"/>
            </w:r>
            <w:r w:rsidR="00C97554">
              <w:rPr>
                <w:noProof/>
                <w:webHidden/>
              </w:rPr>
              <w:instrText xml:space="preserve"> PAGEREF _Toc183783046 \h </w:instrText>
            </w:r>
            <w:r w:rsidR="00C97554">
              <w:rPr>
                <w:noProof/>
                <w:webHidden/>
              </w:rPr>
            </w:r>
            <w:r w:rsidR="00C97554">
              <w:rPr>
                <w:noProof/>
                <w:webHidden/>
              </w:rPr>
              <w:fldChar w:fldCharType="separate"/>
            </w:r>
            <w:r w:rsidR="00C10708">
              <w:rPr>
                <w:noProof/>
                <w:webHidden/>
              </w:rPr>
              <w:t>66</w:t>
            </w:r>
            <w:r w:rsidR="00C97554">
              <w:rPr>
                <w:noProof/>
                <w:webHidden/>
              </w:rPr>
              <w:fldChar w:fldCharType="end"/>
            </w:r>
          </w:hyperlink>
        </w:p>
        <w:p w14:paraId="322CA9B3"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47" w:history="1">
            <w:r w:rsidR="00C97554" w:rsidRPr="00202143">
              <w:rPr>
                <w:rStyle w:val="Hipervnculo"/>
                <w:noProof/>
              </w:rPr>
              <w:t>4.1.3.</w:t>
            </w:r>
            <w:r w:rsidR="00C97554">
              <w:rPr>
                <w:rFonts w:asciiTheme="minorHAnsi" w:eastAsiaTheme="minorEastAsia" w:hAnsiTheme="minorHAnsi"/>
                <w:noProof/>
                <w:kern w:val="0"/>
                <w:sz w:val="22"/>
                <w:lang w:eastAsia="es-CO"/>
                <w14:ligatures w14:val="none"/>
              </w:rPr>
              <w:tab/>
            </w:r>
            <w:r w:rsidR="00C97554" w:rsidRPr="00202143">
              <w:rPr>
                <w:rStyle w:val="Hipervnculo"/>
                <w:noProof/>
              </w:rPr>
              <w:t>Circulares de la DIAN</w:t>
            </w:r>
            <w:r w:rsidR="00C97554">
              <w:rPr>
                <w:noProof/>
                <w:webHidden/>
              </w:rPr>
              <w:tab/>
            </w:r>
            <w:r w:rsidR="00C97554">
              <w:rPr>
                <w:noProof/>
                <w:webHidden/>
              </w:rPr>
              <w:fldChar w:fldCharType="begin"/>
            </w:r>
            <w:r w:rsidR="00C97554">
              <w:rPr>
                <w:noProof/>
                <w:webHidden/>
              </w:rPr>
              <w:instrText xml:space="preserve"> PAGEREF _Toc183783047 \h </w:instrText>
            </w:r>
            <w:r w:rsidR="00C97554">
              <w:rPr>
                <w:noProof/>
                <w:webHidden/>
              </w:rPr>
            </w:r>
            <w:r w:rsidR="00C97554">
              <w:rPr>
                <w:noProof/>
                <w:webHidden/>
              </w:rPr>
              <w:fldChar w:fldCharType="separate"/>
            </w:r>
            <w:r w:rsidR="00C10708">
              <w:rPr>
                <w:noProof/>
                <w:webHidden/>
              </w:rPr>
              <w:t>71</w:t>
            </w:r>
            <w:r w:rsidR="00C97554">
              <w:rPr>
                <w:noProof/>
                <w:webHidden/>
              </w:rPr>
              <w:fldChar w:fldCharType="end"/>
            </w:r>
          </w:hyperlink>
        </w:p>
        <w:p w14:paraId="7676FE62"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48" w:history="1">
            <w:r w:rsidR="00C97554" w:rsidRPr="00202143">
              <w:rPr>
                <w:rStyle w:val="Hipervnculo"/>
                <w:noProof/>
              </w:rPr>
              <w:t>4.1.4.</w:t>
            </w:r>
            <w:r w:rsidR="00C97554">
              <w:rPr>
                <w:rFonts w:asciiTheme="minorHAnsi" w:eastAsiaTheme="minorEastAsia" w:hAnsiTheme="minorHAnsi"/>
                <w:noProof/>
                <w:kern w:val="0"/>
                <w:sz w:val="22"/>
                <w:lang w:eastAsia="es-CO"/>
                <w14:ligatures w14:val="none"/>
              </w:rPr>
              <w:tab/>
            </w:r>
            <w:r w:rsidR="00C97554" w:rsidRPr="00202143">
              <w:rPr>
                <w:rStyle w:val="Hipervnculo"/>
                <w:noProof/>
              </w:rPr>
              <w:t>Resoluciones.</w:t>
            </w:r>
            <w:r w:rsidR="00C97554">
              <w:rPr>
                <w:noProof/>
                <w:webHidden/>
              </w:rPr>
              <w:tab/>
            </w:r>
            <w:r w:rsidR="00C97554">
              <w:rPr>
                <w:noProof/>
                <w:webHidden/>
              </w:rPr>
              <w:fldChar w:fldCharType="begin"/>
            </w:r>
            <w:r w:rsidR="00C97554">
              <w:rPr>
                <w:noProof/>
                <w:webHidden/>
              </w:rPr>
              <w:instrText xml:space="preserve"> PAGEREF _Toc183783048 \h </w:instrText>
            </w:r>
            <w:r w:rsidR="00C97554">
              <w:rPr>
                <w:noProof/>
                <w:webHidden/>
              </w:rPr>
            </w:r>
            <w:r w:rsidR="00C97554">
              <w:rPr>
                <w:noProof/>
                <w:webHidden/>
              </w:rPr>
              <w:fldChar w:fldCharType="separate"/>
            </w:r>
            <w:r w:rsidR="00C10708">
              <w:rPr>
                <w:noProof/>
                <w:webHidden/>
              </w:rPr>
              <w:t>77</w:t>
            </w:r>
            <w:r w:rsidR="00C97554">
              <w:rPr>
                <w:noProof/>
                <w:webHidden/>
              </w:rPr>
              <w:fldChar w:fldCharType="end"/>
            </w:r>
          </w:hyperlink>
        </w:p>
        <w:p w14:paraId="4E09E4F2"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49" w:history="1">
            <w:r w:rsidR="00C97554" w:rsidRPr="00202143">
              <w:rPr>
                <w:rStyle w:val="Hipervnculo"/>
                <w:noProof/>
                <w:lang w:val="es-ES" w:eastAsia="es-ES"/>
              </w:rPr>
              <w:t>4.1.5.</w:t>
            </w:r>
            <w:r w:rsidR="00C97554">
              <w:rPr>
                <w:rFonts w:asciiTheme="minorHAnsi" w:eastAsiaTheme="minorEastAsia" w:hAnsiTheme="minorHAnsi"/>
                <w:noProof/>
                <w:kern w:val="0"/>
                <w:sz w:val="22"/>
                <w:lang w:eastAsia="es-CO"/>
                <w14:ligatures w14:val="none"/>
              </w:rPr>
              <w:tab/>
            </w:r>
            <w:r w:rsidR="00C97554" w:rsidRPr="00202143">
              <w:rPr>
                <w:rStyle w:val="Hipervnculo"/>
                <w:bCs/>
                <w:noProof/>
              </w:rPr>
              <w:t>Normativa Tributaria Aplicable a las Zonas Francas</w:t>
            </w:r>
            <w:r w:rsidR="00C97554">
              <w:rPr>
                <w:noProof/>
                <w:webHidden/>
              </w:rPr>
              <w:tab/>
            </w:r>
            <w:r w:rsidR="00C97554">
              <w:rPr>
                <w:noProof/>
                <w:webHidden/>
              </w:rPr>
              <w:fldChar w:fldCharType="begin"/>
            </w:r>
            <w:r w:rsidR="00C97554">
              <w:rPr>
                <w:noProof/>
                <w:webHidden/>
              </w:rPr>
              <w:instrText xml:space="preserve"> PAGEREF _Toc183783049 \h </w:instrText>
            </w:r>
            <w:r w:rsidR="00C97554">
              <w:rPr>
                <w:noProof/>
                <w:webHidden/>
              </w:rPr>
            </w:r>
            <w:r w:rsidR="00C97554">
              <w:rPr>
                <w:noProof/>
                <w:webHidden/>
              </w:rPr>
              <w:fldChar w:fldCharType="separate"/>
            </w:r>
            <w:r w:rsidR="00C10708">
              <w:rPr>
                <w:noProof/>
                <w:webHidden/>
              </w:rPr>
              <w:t>81</w:t>
            </w:r>
            <w:r w:rsidR="00C97554">
              <w:rPr>
                <w:noProof/>
                <w:webHidden/>
              </w:rPr>
              <w:fldChar w:fldCharType="end"/>
            </w:r>
          </w:hyperlink>
        </w:p>
        <w:p w14:paraId="6CA0EEC1"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50" w:history="1">
            <w:r w:rsidR="00C97554" w:rsidRPr="00202143">
              <w:rPr>
                <w:rStyle w:val="Hipervnculo"/>
                <w:noProof/>
                <w:lang w:val="es-ES" w:eastAsia="es-ES"/>
              </w:rPr>
              <w:t>4.1.6.</w:t>
            </w:r>
            <w:r w:rsidR="00C97554">
              <w:rPr>
                <w:rFonts w:asciiTheme="minorHAnsi" w:eastAsiaTheme="minorEastAsia" w:hAnsiTheme="minorHAnsi"/>
                <w:noProof/>
                <w:kern w:val="0"/>
                <w:sz w:val="22"/>
                <w:lang w:eastAsia="es-CO"/>
                <w14:ligatures w14:val="none"/>
              </w:rPr>
              <w:tab/>
            </w:r>
            <w:r w:rsidR="00C97554" w:rsidRPr="00202143">
              <w:rPr>
                <w:rStyle w:val="Hipervnculo"/>
                <w:noProof/>
              </w:rPr>
              <w:t>Normativa Aduanera para Zonas Francas</w:t>
            </w:r>
            <w:r w:rsidR="00C97554">
              <w:rPr>
                <w:noProof/>
                <w:webHidden/>
              </w:rPr>
              <w:tab/>
            </w:r>
            <w:r w:rsidR="00C97554">
              <w:rPr>
                <w:noProof/>
                <w:webHidden/>
              </w:rPr>
              <w:fldChar w:fldCharType="begin"/>
            </w:r>
            <w:r w:rsidR="00C97554">
              <w:rPr>
                <w:noProof/>
                <w:webHidden/>
              </w:rPr>
              <w:instrText xml:space="preserve"> PAGEREF _Toc183783050 \h </w:instrText>
            </w:r>
            <w:r w:rsidR="00C97554">
              <w:rPr>
                <w:noProof/>
                <w:webHidden/>
              </w:rPr>
            </w:r>
            <w:r w:rsidR="00C97554">
              <w:rPr>
                <w:noProof/>
                <w:webHidden/>
              </w:rPr>
              <w:fldChar w:fldCharType="separate"/>
            </w:r>
            <w:r w:rsidR="00C10708">
              <w:rPr>
                <w:noProof/>
                <w:webHidden/>
              </w:rPr>
              <w:t>83</w:t>
            </w:r>
            <w:r w:rsidR="00C97554">
              <w:rPr>
                <w:noProof/>
                <w:webHidden/>
              </w:rPr>
              <w:fldChar w:fldCharType="end"/>
            </w:r>
          </w:hyperlink>
        </w:p>
        <w:p w14:paraId="74F44FF5"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51" w:history="1">
            <w:r w:rsidR="00C97554" w:rsidRPr="00202143">
              <w:rPr>
                <w:rStyle w:val="Hipervnculo"/>
                <w:noProof/>
                <w:lang w:val="es-ES" w:eastAsia="es-ES"/>
              </w:rPr>
              <w:t>4.1.7.</w:t>
            </w:r>
            <w:r w:rsidR="00C97554">
              <w:rPr>
                <w:rFonts w:asciiTheme="minorHAnsi" w:eastAsiaTheme="minorEastAsia" w:hAnsiTheme="minorHAnsi"/>
                <w:noProof/>
                <w:kern w:val="0"/>
                <w:sz w:val="22"/>
                <w:lang w:eastAsia="es-CO"/>
                <w14:ligatures w14:val="none"/>
              </w:rPr>
              <w:tab/>
            </w:r>
            <w:r w:rsidR="00C97554" w:rsidRPr="00202143">
              <w:rPr>
                <w:rStyle w:val="Hipervnculo"/>
                <w:noProof/>
                <w:lang w:val="es-ES" w:eastAsia="es-ES"/>
              </w:rPr>
              <w:t>Normativa de Comercio Exterior para Zonas Francas</w:t>
            </w:r>
            <w:r w:rsidR="00C97554">
              <w:rPr>
                <w:noProof/>
                <w:webHidden/>
              </w:rPr>
              <w:tab/>
            </w:r>
            <w:r w:rsidR="00C97554">
              <w:rPr>
                <w:noProof/>
                <w:webHidden/>
              </w:rPr>
              <w:fldChar w:fldCharType="begin"/>
            </w:r>
            <w:r w:rsidR="00C97554">
              <w:rPr>
                <w:noProof/>
                <w:webHidden/>
              </w:rPr>
              <w:instrText xml:space="preserve"> PAGEREF _Toc183783051 \h </w:instrText>
            </w:r>
            <w:r w:rsidR="00C97554">
              <w:rPr>
                <w:noProof/>
                <w:webHidden/>
              </w:rPr>
            </w:r>
            <w:r w:rsidR="00C97554">
              <w:rPr>
                <w:noProof/>
                <w:webHidden/>
              </w:rPr>
              <w:fldChar w:fldCharType="separate"/>
            </w:r>
            <w:r w:rsidR="00C10708">
              <w:rPr>
                <w:noProof/>
                <w:webHidden/>
              </w:rPr>
              <w:t>85</w:t>
            </w:r>
            <w:r w:rsidR="00C97554">
              <w:rPr>
                <w:noProof/>
                <w:webHidden/>
              </w:rPr>
              <w:fldChar w:fldCharType="end"/>
            </w:r>
          </w:hyperlink>
        </w:p>
        <w:p w14:paraId="5BAC4EEE"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52" w:history="1">
            <w:r w:rsidR="00C97554" w:rsidRPr="00202143">
              <w:rPr>
                <w:rStyle w:val="Hipervnculo"/>
                <w:noProof/>
                <w:lang w:val="es-ES" w:eastAsia="es-ES"/>
              </w:rPr>
              <w:t>4.1.8.</w:t>
            </w:r>
            <w:r w:rsidR="00C97554">
              <w:rPr>
                <w:rFonts w:asciiTheme="minorHAnsi" w:eastAsiaTheme="minorEastAsia" w:hAnsiTheme="minorHAnsi"/>
                <w:noProof/>
                <w:kern w:val="0"/>
                <w:sz w:val="22"/>
                <w:lang w:eastAsia="es-CO"/>
                <w14:ligatures w14:val="none"/>
              </w:rPr>
              <w:tab/>
            </w:r>
            <w:r w:rsidR="00C97554" w:rsidRPr="00202143">
              <w:rPr>
                <w:rStyle w:val="Hipervnculo"/>
                <w:noProof/>
                <w:lang w:val="es-ES" w:eastAsia="es-ES"/>
              </w:rPr>
              <w:t>Conclusiones</w:t>
            </w:r>
            <w:r w:rsidR="00C97554">
              <w:rPr>
                <w:noProof/>
                <w:webHidden/>
              </w:rPr>
              <w:tab/>
            </w:r>
            <w:r w:rsidR="00C97554">
              <w:rPr>
                <w:noProof/>
                <w:webHidden/>
              </w:rPr>
              <w:fldChar w:fldCharType="begin"/>
            </w:r>
            <w:r w:rsidR="00C97554">
              <w:rPr>
                <w:noProof/>
                <w:webHidden/>
              </w:rPr>
              <w:instrText xml:space="preserve"> PAGEREF _Toc183783052 \h </w:instrText>
            </w:r>
            <w:r w:rsidR="00C97554">
              <w:rPr>
                <w:noProof/>
                <w:webHidden/>
              </w:rPr>
            </w:r>
            <w:r w:rsidR="00C97554">
              <w:rPr>
                <w:noProof/>
                <w:webHidden/>
              </w:rPr>
              <w:fldChar w:fldCharType="separate"/>
            </w:r>
            <w:r w:rsidR="00C10708">
              <w:rPr>
                <w:noProof/>
                <w:webHidden/>
              </w:rPr>
              <w:t>87</w:t>
            </w:r>
            <w:r w:rsidR="00C97554">
              <w:rPr>
                <w:noProof/>
                <w:webHidden/>
              </w:rPr>
              <w:fldChar w:fldCharType="end"/>
            </w:r>
          </w:hyperlink>
        </w:p>
        <w:p w14:paraId="7C5CF412"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53" w:history="1">
            <w:r w:rsidR="00C97554" w:rsidRPr="00202143">
              <w:rPr>
                <w:rStyle w:val="Hipervnculo"/>
                <w:noProof/>
              </w:rPr>
              <w:t>4.2.</w:t>
            </w:r>
            <w:r w:rsidR="00C97554">
              <w:rPr>
                <w:rFonts w:asciiTheme="minorHAnsi" w:eastAsiaTheme="minorEastAsia" w:hAnsiTheme="minorHAnsi"/>
                <w:noProof/>
                <w:kern w:val="0"/>
                <w:sz w:val="22"/>
                <w:lang w:eastAsia="es-CO"/>
                <w14:ligatures w14:val="none"/>
              </w:rPr>
              <w:tab/>
            </w:r>
            <w:r w:rsidR="00C97554" w:rsidRPr="00202143">
              <w:rPr>
                <w:rStyle w:val="Hipervnculo"/>
                <w:noProof/>
              </w:rPr>
              <w:t>CARACTERIZACIÓN DE LAS ZONAS FRANCAS DE LA REGIÓN CARIBE COLOMBIANA EN RELACIÓN A SU BALANZA COMERCIAL.</w:t>
            </w:r>
            <w:r w:rsidR="00C97554">
              <w:rPr>
                <w:noProof/>
                <w:webHidden/>
              </w:rPr>
              <w:tab/>
            </w:r>
            <w:r w:rsidR="00C97554">
              <w:rPr>
                <w:noProof/>
                <w:webHidden/>
              </w:rPr>
              <w:fldChar w:fldCharType="begin"/>
            </w:r>
            <w:r w:rsidR="00C97554">
              <w:rPr>
                <w:noProof/>
                <w:webHidden/>
              </w:rPr>
              <w:instrText xml:space="preserve"> PAGEREF _Toc183783053 \h </w:instrText>
            </w:r>
            <w:r w:rsidR="00C97554">
              <w:rPr>
                <w:noProof/>
                <w:webHidden/>
              </w:rPr>
            </w:r>
            <w:r w:rsidR="00C97554">
              <w:rPr>
                <w:noProof/>
                <w:webHidden/>
              </w:rPr>
              <w:fldChar w:fldCharType="separate"/>
            </w:r>
            <w:r w:rsidR="00C10708">
              <w:rPr>
                <w:noProof/>
                <w:webHidden/>
              </w:rPr>
              <w:t>88</w:t>
            </w:r>
            <w:r w:rsidR="00C97554">
              <w:rPr>
                <w:noProof/>
                <w:webHidden/>
              </w:rPr>
              <w:fldChar w:fldCharType="end"/>
            </w:r>
          </w:hyperlink>
        </w:p>
        <w:p w14:paraId="150C6129"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54" w:history="1">
            <w:r w:rsidR="00C97554" w:rsidRPr="00202143">
              <w:rPr>
                <w:rStyle w:val="Hipervnculo"/>
                <w:noProof/>
                <w:lang w:eastAsia="es-CO"/>
              </w:rPr>
              <w:t>4.2.1.</w:t>
            </w:r>
            <w:r w:rsidR="00C97554">
              <w:rPr>
                <w:rFonts w:asciiTheme="minorHAnsi" w:eastAsiaTheme="minorEastAsia" w:hAnsiTheme="minorHAnsi"/>
                <w:noProof/>
                <w:kern w:val="0"/>
                <w:sz w:val="22"/>
                <w:lang w:eastAsia="es-CO"/>
                <w14:ligatures w14:val="none"/>
              </w:rPr>
              <w:tab/>
            </w:r>
            <w:r w:rsidR="00C97554" w:rsidRPr="00202143">
              <w:rPr>
                <w:rStyle w:val="Hipervnculo"/>
                <w:noProof/>
                <w:lang w:eastAsia="es-CO"/>
              </w:rPr>
              <w:t>Evolución de la balanza comercial de las zonas francas de la región Caribe de Colombia</w:t>
            </w:r>
            <w:r w:rsidR="00C97554">
              <w:rPr>
                <w:noProof/>
                <w:webHidden/>
              </w:rPr>
              <w:tab/>
            </w:r>
            <w:r w:rsidR="00C97554">
              <w:rPr>
                <w:noProof/>
                <w:webHidden/>
              </w:rPr>
              <w:fldChar w:fldCharType="begin"/>
            </w:r>
            <w:r w:rsidR="00C97554">
              <w:rPr>
                <w:noProof/>
                <w:webHidden/>
              </w:rPr>
              <w:instrText xml:space="preserve"> PAGEREF _Toc183783054 \h </w:instrText>
            </w:r>
            <w:r w:rsidR="00C97554">
              <w:rPr>
                <w:noProof/>
                <w:webHidden/>
              </w:rPr>
            </w:r>
            <w:r w:rsidR="00C97554">
              <w:rPr>
                <w:noProof/>
                <w:webHidden/>
              </w:rPr>
              <w:fldChar w:fldCharType="separate"/>
            </w:r>
            <w:r w:rsidR="00C10708">
              <w:rPr>
                <w:noProof/>
                <w:webHidden/>
              </w:rPr>
              <w:t>103</w:t>
            </w:r>
            <w:r w:rsidR="00C97554">
              <w:rPr>
                <w:noProof/>
                <w:webHidden/>
              </w:rPr>
              <w:fldChar w:fldCharType="end"/>
            </w:r>
          </w:hyperlink>
        </w:p>
        <w:p w14:paraId="16F816DF"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55" w:history="1">
            <w:r w:rsidR="00C97554" w:rsidRPr="00202143">
              <w:rPr>
                <w:rStyle w:val="Hipervnculo"/>
                <w:noProof/>
                <w:lang w:eastAsia="es-ES"/>
              </w:rPr>
              <w:t>4.2.2.</w:t>
            </w:r>
            <w:r w:rsidR="00C97554">
              <w:rPr>
                <w:rFonts w:asciiTheme="minorHAnsi" w:eastAsiaTheme="minorEastAsia" w:hAnsiTheme="minorHAnsi"/>
                <w:noProof/>
                <w:kern w:val="0"/>
                <w:sz w:val="22"/>
                <w:lang w:eastAsia="es-CO"/>
                <w14:ligatures w14:val="none"/>
              </w:rPr>
              <w:tab/>
            </w:r>
            <w:r w:rsidR="00C97554" w:rsidRPr="00202143">
              <w:rPr>
                <w:rStyle w:val="Hipervnculo"/>
                <w:noProof/>
                <w:lang w:eastAsia="es-ES"/>
              </w:rPr>
              <w:t>Conclusiones de los resultados.</w:t>
            </w:r>
            <w:r w:rsidR="00C97554">
              <w:rPr>
                <w:noProof/>
                <w:webHidden/>
              </w:rPr>
              <w:tab/>
            </w:r>
            <w:r w:rsidR="00C97554">
              <w:rPr>
                <w:noProof/>
                <w:webHidden/>
              </w:rPr>
              <w:fldChar w:fldCharType="begin"/>
            </w:r>
            <w:r w:rsidR="00C97554">
              <w:rPr>
                <w:noProof/>
                <w:webHidden/>
              </w:rPr>
              <w:instrText xml:space="preserve"> PAGEREF _Toc183783055 \h </w:instrText>
            </w:r>
            <w:r w:rsidR="00C97554">
              <w:rPr>
                <w:noProof/>
                <w:webHidden/>
              </w:rPr>
            </w:r>
            <w:r w:rsidR="00C97554">
              <w:rPr>
                <w:noProof/>
                <w:webHidden/>
              </w:rPr>
              <w:fldChar w:fldCharType="separate"/>
            </w:r>
            <w:r w:rsidR="00C10708">
              <w:rPr>
                <w:noProof/>
                <w:webHidden/>
              </w:rPr>
              <w:t>107</w:t>
            </w:r>
            <w:r w:rsidR="00C97554">
              <w:rPr>
                <w:noProof/>
                <w:webHidden/>
              </w:rPr>
              <w:fldChar w:fldCharType="end"/>
            </w:r>
          </w:hyperlink>
        </w:p>
        <w:p w14:paraId="46922C99"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56" w:history="1">
            <w:r w:rsidR="00C97554" w:rsidRPr="00202143">
              <w:rPr>
                <w:rStyle w:val="Hipervnculo"/>
                <w:noProof/>
                <w:lang w:eastAsia="es-ES"/>
              </w:rPr>
              <w:t>4.3.</w:t>
            </w:r>
            <w:r w:rsidR="00C97554">
              <w:rPr>
                <w:rFonts w:asciiTheme="minorHAnsi" w:eastAsiaTheme="minorEastAsia" w:hAnsiTheme="minorHAnsi"/>
                <w:noProof/>
                <w:kern w:val="0"/>
                <w:sz w:val="22"/>
                <w:lang w:eastAsia="es-CO"/>
                <w14:ligatures w14:val="none"/>
              </w:rPr>
              <w:tab/>
            </w:r>
            <w:r w:rsidR="00C97554" w:rsidRPr="00202143">
              <w:rPr>
                <w:rStyle w:val="Hipervnculo"/>
                <w:noProof/>
              </w:rPr>
              <w:t>EVALUACIÓN DE LAS CONDICIONES DE MERCADO PARA LA CREACIÓN DE UNA ZONA FRANCA EN EL MUNICIPIO DE AGUACHICA</w:t>
            </w:r>
            <w:r w:rsidR="00C97554" w:rsidRPr="00202143">
              <w:rPr>
                <w:rStyle w:val="Hipervnculo"/>
                <w:noProof/>
                <w:lang w:eastAsia="es-ES"/>
              </w:rPr>
              <w:t>.</w:t>
            </w:r>
            <w:r w:rsidR="00C97554">
              <w:rPr>
                <w:noProof/>
                <w:webHidden/>
              </w:rPr>
              <w:tab/>
            </w:r>
            <w:r w:rsidR="00C97554">
              <w:rPr>
                <w:noProof/>
                <w:webHidden/>
              </w:rPr>
              <w:fldChar w:fldCharType="begin"/>
            </w:r>
            <w:r w:rsidR="00C97554">
              <w:rPr>
                <w:noProof/>
                <w:webHidden/>
              </w:rPr>
              <w:instrText xml:space="preserve"> PAGEREF _Toc183783056 \h </w:instrText>
            </w:r>
            <w:r w:rsidR="00C97554">
              <w:rPr>
                <w:noProof/>
                <w:webHidden/>
              </w:rPr>
            </w:r>
            <w:r w:rsidR="00C97554">
              <w:rPr>
                <w:noProof/>
                <w:webHidden/>
              </w:rPr>
              <w:fldChar w:fldCharType="separate"/>
            </w:r>
            <w:r w:rsidR="00C10708">
              <w:rPr>
                <w:noProof/>
                <w:webHidden/>
              </w:rPr>
              <w:t>110</w:t>
            </w:r>
            <w:r w:rsidR="00C97554">
              <w:rPr>
                <w:noProof/>
                <w:webHidden/>
              </w:rPr>
              <w:fldChar w:fldCharType="end"/>
            </w:r>
          </w:hyperlink>
        </w:p>
        <w:p w14:paraId="70C5BD46"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57" w:history="1">
            <w:r w:rsidR="00C97554" w:rsidRPr="00202143">
              <w:rPr>
                <w:rStyle w:val="Hipervnculo"/>
                <w:noProof/>
              </w:rPr>
              <w:t>4.3.1.</w:t>
            </w:r>
            <w:r w:rsidR="00C97554">
              <w:rPr>
                <w:rFonts w:asciiTheme="minorHAnsi" w:eastAsiaTheme="minorEastAsia" w:hAnsiTheme="minorHAnsi"/>
                <w:noProof/>
                <w:kern w:val="0"/>
                <w:sz w:val="22"/>
                <w:lang w:eastAsia="es-CO"/>
                <w14:ligatures w14:val="none"/>
              </w:rPr>
              <w:tab/>
            </w:r>
            <w:r w:rsidR="00C97554" w:rsidRPr="00202143">
              <w:rPr>
                <w:rStyle w:val="Hipervnculo"/>
                <w:noProof/>
              </w:rPr>
              <w:t>Factores Internos</w:t>
            </w:r>
            <w:r w:rsidR="00C97554">
              <w:rPr>
                <w:noProof/>
                <w:webHidden/>
              </w:rPr>
              <w:tab/>
            </w:r>
            <w:r w:rsidR="00C97554">
              <w:rPr>
                <w:noProof/>
                <w:webHidden/>
              </w:rPr>
              <w:fldChar w:fldCharType="begin"/>
            </w:r>
            <w:r w:rsidR="00C97554">
              <w:rPr>
                <w:noProof/>
                <w:webHidden/>
              </w:rPr>
              <w:instrText xml:space="preserve"> PAGEREF _Toc183783057 \h </w:instrText>
            </w:r>
            <w:r w:rsidR="00C97554">
              <w:rPr>
                <w:noProof/>
                <w:webHidden/>
              </w:rPr>
            </w:r>
            <w:r w:rsidR="00C97554">
              <w:rPr>
                <w:noProof/>
                <w:webHidden/>
              </w:rPr>
              <w:fldChar w:fldCharType="separate"/>
            </w:r>
            <w:r w:rsidR="00C10708">
              <w:rPr>
                <w:noProof/>
                <w:webHidden/>
              </w:rPr>
              <w:t>114</w:t>
            </w:r>
            <w:r w:rsidR="00C97554">
              <w:rPr>
                <w:noProof/>
                <w:webHidden/>
              </w:rPr>
              <w:fldChar w:fldCharType="end"/>
            </w:r>
          </w:hyperlink>
        </w:p>
        <w:p w14:paraId="6CFB2282"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58" w:history="1">
            <w:r w:rsidR="00C97554" w:rsidRPr="00202143">
              <w:rPr>
                <w:rStyle w:val="Hipervnculo"/>
                <w:noProof/>
              </w:rPr>
              <w:t>4.3.2.</w:t>
            </w:r>
            <w:r w:rsidR="00C97554">
              <w:rPr>
                <w:rFonts w:asciiTheme="minorHAnsi" w:eastAsiaTheme="minorEastAsia" w:hAnsiTheme="minorHAnsi"/>
                <w:noProof/>
                <w:kern w:val="0"/>
                <w:sz w:val="22"/>
                <w:lang w:eastAsia="es-CO"/>
                <w14:ligatures w14:val="none"/>
              </w:rPr>
              <w:tab/>
            </w:r>
            <w:r w:rsidR="00C97554" w:rsidRPr="00202143">
              <w:rPr>
                <w:rStyle w:val="Hipervnculo"/>
                <w:noProof/>
              </w:rPr>
              <w:t>Factores Externos</w:t>
            </w:r>
            <w:r w:rsidR="00C97554">
              <w:rPr>
                <w:noProof/>
                <w:webHidden/>
              </w:rPr>
              <w:tab/>
            </w:r>
            <w:r w:rsidR="00C97554">
              <w:rPr>
                <w:noProof/>
                <w:webHidden/>
              </w:rPr>
              <w:fldChar w:fldCharType="begin"/>
            </w:r>
            <w:r w:rsidR="00C97554">
              <w:rPr>
                <w:noProof/>
                <w:webHidden/>
              </w:rPr>
              <w:instrText xml:space="preserve"> PAGEREF _Toc183783058 \h </w:instrText>
            </w:r>
            <w:r w:rsidR="00C97554">
              <w:rPr>
                <w:noProof/>
                <w:webHidden/>
              </w:rPr>
            </w:r>
            <w:r w:rsidR="00C97554">
              <w:rPr>
                <w:noProof/>
                <w:webHidden/>
              </w:rPr>
              <w:fldChar w:fldCharType="separate"/>
            </w:r>
            <w:r w:rsidR="00C10708">
              <w:rPr>
                <w:noProof/>
                <w:webHidden/>
              </w:rPr>
              <w:t>131</w:t>
            </w:r>
            <w:r w:rsidR="00C97554">
              <w:rPr>
                <w:noProof/>
                <w:webHidden/>
              </w:rPr>
              <w:fldChar w:fldCharType="end"/>
            </w:r>
          </w:hyperlink>
        </w:p>
        <w:p w14:paraId="7967CDA2"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59" w:history="1">
            <w:r w:rsidR="00C97554" w:rsidRPr="00202143">
              <w:rPr>
                <w:rStyle w:val="Hipervnculo"/>
                <w:noProof/>
              </w:rPr>
              <w:t>4.3.3.</w:t>
            </w:r>
            <w:r w:rsidR="00C97554">
              <w:rPr>
                <w:rFonts w:asciiTheme="minorHAnsi" w:eastAsiaTheme="minorEastAsia" w:hAnsiTheme="minorHAnsi"/>
                <w:noProof/>
                <w:kern w:val="0"/>
                <w:sz w:val="22"/>
                <w:lang w:eastAsia="es-CO"/>
                <w14:ligatures w14:val="none"/>
              </w:rPr>
              <w:tab/>
            </w:r>
            <w:r w:rsidR="00C97554" w:rsidRPr="00202143">
              <w:rPr>
                <w:rStyle w:val="Hipervnculo"/>
                <w:noProof/>
              </w:rPr>
              <w:t>Matriz de evaluación de factores internos.</w:t>
            </w:r>
            <w:r w:rsidR="00C97554">
              <w:rPr>
                <w:noProof/>
                <w:webHidden/>
              </w:rPr>
              <w:tab/>
            </w:r>
            <w:r w:rsidR="00C97554">
              <w:rPr>
                <w:noProof/>
                <w:webHidden/>
              </w:rPr>
              <w:fldChar w:fldCharType="begin"/>
            </w:r>
            <w:r w:rsidR="00C97554">
              <w:rPr>
                <w:noProof/>
                <w:webHidden/>
              </w:rPr>
              <w:instrText xml:space="preserve"> PAGEREF _Toc183783059 \h </w:instrText>
            </w:r>
            <w:r w:rsidR="00C97554">
              <w:rPr>
                <w:noProof/>
                <w:webHidden/>
              </w:rPr>
            </w:r>
            <w:r w:rsidR="00C97554">
              <w:rPr>
                <w:noProof/>
                <w:webHidden/>
              </w:rPr>
              <w:fldChar w:fldCharType="separate"/>
            </w:r>
            <w:r w:rsidR="00C10708">
              <w:rPr>
                <w:noProof/>
                <w:webHidden/>
              </w:rPr>
              <w:t>169</w:t>
            </w:r>
            <w:r w:rsidR="00C97554">
              <w:rPr>
                <w:noProof/>
                <w:webHidden/>
              </w:rPr>
              <w:fldChar w:fldCharType="end"/>
            </w:r>
          </w:hyperlink>
        </w:p>
        <w:p w14:paraId="1E48BC29" w14:textId="77777777" w:rsidR="00C97554" w:rsidRDefault="00E23E2B">
          <w:pPr>
            <w:pStyle w:val="TDC3"/>
            <w:tabs>
              <w:tab w:val="left" w:pos="1949"/>
              <w:tab w:val="right" w:leader="dot" w:pos="9394"/>
            </w:tabs>
            <w:rPr>
              <w:rFonts w:asciiTheme="minorHAnsi" w:eastAsiaTheme="minorEastAsia" w:hAnsiTheme="minorHAnsi"/>
              <w:noProof/>
              <w:kern w:val="0"/>
              <w:sz w:val="22"/>
              <w:lang w:eastAsia="es-CO"/>
              <w14:ligatures w14:val="none"/>
            </w:rPr>
          </w:pPr>
          <w:hyperlink w:anchor="_Toc183783060" w:history="1">
            <w:r w:rsidR="00C97554" w:rsidRPr="00202143">
              <w:rPr>
                <w:rStyle w:val="Hipervnculo"/>
                <w:noProof/>
              </w:rPr>
              <w:t>4.3.4.</w:t>
            </w:r>
            <w:r w:rsidR="00C97554">
              <w:rPr>
                <w:rFonts w:asciiTheme="minorHAnsi" w:eastAsiaTheme="minorEastAsia" w:hAnsiTheme="minorHAnsi"/>
                <w:noProof/>
                <w:kern w:val="0"/>
                <w:sz w:val="22"/>
                <w:lang w:eastAsia="es-CO"/>
                <w14:ligatures w14:val="none"/>
              </w:rPr>
              <w:tab/>
            </w:r>
            <w:r w:rsidR="00C97554" w:rsidRPr="00202143">
              <w:rPr>
                <w:rStyle w:val="Hipervnculo"/>
                <w:noProof/>
              </w:rPr>
              <w:t>Matriz de evaluación de factores externos.</w:t>
            </w:r>
            <w:r w:rsidR="00C97554">
              <w:rPr>
                <w:noProof/>
                <w:webHidden/>
              </w:rPr>
              <w:tab/>
            </w:r>
            <w:r w:rsidR="00C97554">
              <w:rPr>
                <w:noProof/>
                <w:webHidden/>
              </w:rPr>
              <w:fldChar w:fldCharType="begin"/>
            </w:r>
            <w:r w:rsidR="00C97554">
              <w:rPr>
                <w:noProof/>
                <w:webHidden/>
              </w:rPr>
              <w:instrText xml:space="preserve"> PAGEREF _Toc183783060 \h </w:instrText>
            </w:r>
            <w:r w:rsidR="00C97554">
              <w:rPr>
                <w:noProof/>
                <w:webHidden/>
              </w:rPr>
            </w:r>
            <w:r w:rsidR="00C97554">
              <w:rPr>
                <w:noProof/>
                <w:webHidden/>
              </w:rPr>
              <w:fldChar w:fldCharType="separate"/>
            </w:r>
            <w:r w:rsidR="00C10708">
              <w:rPr>
                <w:noProof/>
                <w:webHidden/>
              </w:rPr>
              <w:t>170</w:t>
            </w:r>
            <w:r w:rsidR="00C97554">
              <w:rPr>
                <w:noProof/>
                <w:webHidden/>
              </w:rPr>
              <w:fldChar w:fldCharType="end"/>
            </w:r>
          </w:hyperlink>
        </w:p>
        <w:p w14:paraId="6767318E"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61" w:history="1">
            <w:r w:rsidR="00C97554" w:rsidRPr="00202143">
              <w:rPr>
                <w:rStyle w:val="Hipervnculo"/>
                <w:noProof/>
              </w:rPr>
              <w:t>4.4.</w:t>
            </w:r>
            <w:r w:rsidR="00C97554">
              <w:rPr>
                <w:rFonts w:asciiTheme="minorHAnsi" w:eastAsiaTheme="minorEastAsia" w:hAnsiTheme="minorHAnsi"/>
                <w:noProof/>
                <w:kern w:val="0"/>
                <w:sz w:val="22"/>
                <w:lang w:eastAsia="es-CO"/>
                <w14:ligatures w14:val="none"/>
              </w:rPr>
              <w:tab/>
            </w:r>
            <w:r w:rsidR="00C97554" w:rsidRPr="00202143">
              <w:rPr>
                <w:rStyle w:val="Hipervnculo"/>
                <w:noProof/>
              </w:rPr>
              <w:t>DISCUSIÓN</w:t>
            </w:r>
            <w:r w:rsidR="00C97554">
              <w:rPr>
                <w:noProof/>
                <w:webHidden/>
              </w:rPr>
              <w:tab/>
            </w:r>
            <w:r w:rsidR="00C97554">
              <w:rPr>
                <w:noProof/>
                <w:webHidden/>
              </w:rPr>
              <w:fldChar w:fldCharType="begin"/>
            </w:r>
            <w:r w:rsidR="00C97554">
              <w:rPr>
                <w:noProof/>
                <w:webHidden/>
              </w:rPr>
              <w:instrText xml:space="preserve"> PAGEREF _Toc183783061 \h </w:instrText>
            </w:r>
            <w:r w:rsidR="00C97554">
              <w:rPr>
                <w:noProof/>
                <w:webHidden/>
              </w:rPr>
            </w:r>
            <w:r w:rsidR="00C97554">
              <w:rPr>
                <w:noProof/>
                <w:webHidden/>
              </w:rPr>
              <w:fldChar w:fldCharType="separate"/>
            </w:r>
            <w:r w:rsidR="00C10708">
              <w:rPr>
                <w:noProof/>
                <w:webHidden/>
              </w:rPr>
              <w:t>173</w:t>
            </w:r>
            <w:r w:rsidR="00C97554">
              <w:rPr>
                <w:noProof/>
                <w:webHidden/>
              </w:rPr>
              <w:fldChar w:fldCharType="end"/>
            </w:r>
          </w:hyperlink>
        </w:p>
        <w:p w14:paraId="7CE50B6B" w14:textId="77777777" w:rsidR="00C97554" w:rsidRDefault="00E23E2B">
          <w:pPr>
            <w:pStyle w:val="TDC1"/>
            <w:tabs>
              <w:tab w:val="left" w:pos="480"/>
            </w:tabs>
            <w:rPr>
              <w:rFonts w:asciiTheme="minorHAnsi" w:eastAsiaTheme="minorEastAsia" w:hAnsiTheme="minorHAnsi"/>
              <w:noProof/>
              <w:kern w:val="0"/>
              <w:sz w:val="22"/>
              <w:lang w:eastAsia="es-CO"/>
              <w14:ligatures w14:val="none"/>
            </w:rPr>
          </w:pPr>
          <w:hyperlink w:anchor="_Toc183783062" w:history="1">
            <w:r w:rsidR="00C97554" w:rsidRPr="00202143">
              <w:rPr>
                <w:rStyle w:val="Hipervnculo"/>
                <w:noProof/>
              </w:rPr>
              <w:t>5.</w:t>
            </w:r>
            <w:r w:rsidR="00C97554">
              <w:rPr>
                <w:rFonts w:asciiTheme="minorHAnsi" w:eastAsiaTheme="minorEastAsia" w:hAnsiTheme="minorHAnsi"/>
                <w:noProof/>
                <w:kern w:val="0"/>
                <w:sz w:val="22"/>
                <w:lang w:eastAsia="es-CO"/>
                <w14:ligatures w14:val="none"/>
              </w:rPr>
              <w:tab/>
            </w:r>
            <w:r w:rsidR="00C97554" w:rsidRPr="00202143">
              <w:rPr>
                <w:rStyle w:val="Hipervnculo"/>
                <w:noProof/>
              </w:rPr>
              <w:t>CONCLUSIONES Y RECOMENDACIONES</w:t>
            </w:r>
            <w:r w:rsidR="00C97554">
              <w:rPr>
                <w:noProof/>
                <w:webHidden/>
              </w:rPr>
              <w:tab/>
            </w:r>
            <w:r w:rsidR="00C97554">
              <w:rPr>
                <w:noProof/>
                <w:webHidden/>
              </w:rPr>
              <w:fldChar w:fldCharType="begin"/>
            </w:r>
            <w:r w:rsidR="00C97554">
              <w:rPr>
                <w:noProof/>
                <w:webHidden/>
              </w:rPr>
              <w:instrText xml:space="preserve"> PAGEREF _Toc183783062 \h </w:instrText>
            </w:r>
            <w:r w:rsidR="00C97554">
              <w:rPr>
                <w:noProof/>
                <w:webHidden/>
              </w:rPr>
            </w:r>
            <w:r w:rsidR="00C97554">
              <w:rPr>
                <w:noProof/>
                <w:webHidden/>
              </w:rPr>
              <w:fldChar w:fldCharType="separate"/>
            </w:r>
            <w:r w:rsidR="00C10708">
              <w:rPr>
                <w:noProof/>
                <w:webHidden/>
              </w:rPr>
              <w:t>175</w:t>
            </w:r>
            <w:r w:rsidR="00C97554">
              <w:rPr>
                <w:noProof/>
                <w:webHidden/>
              </w:rPr>
              <w:fldChar w:fldCharType="end"/>
            </w:r>
          </w:hyperlink>
        </w:p>
        <w:p w14:paraId="79F40B38"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63" w:history="1">
            <w:r w:rsidR="00C97554" w:rsidRPr="00202143">
              <w:rPr>
                <w:rStyle w:val="Hipervnculo"/>
                <w:noProof/>
              </w:rPr>
              <w:t>5.1.</w:t>
            </w:r>
            <w:r w:rsidR="00C97554">
              <w:rPr>
                <w:rFonts w:asciiTheme="minorHAnsi" w:eastAsiaTheme="minorEastAsia" w:hAnsiTheme="minorHAnsi"/>
                <w:noProof/>
                <w:kern w:val="0"/>
                <w:sz w:val="22"/>
                <w:lang w:eastAsia="es-CO"/>
                <w14:ligatures w14:val="none"/>
              </w:rPr>
              <w:tab/>
            </w:r>
            <w:r w:rsidR="00C97554" w:rsidRPr="00202143">
              <w:rPr>
                <w:rStyle w:val="Hipervnculo"/>
                <w:noProof/>
              </w:rPr>
              <w:t>CONCLUSIONES.</w:t>
            </w:r>
            <w:r w:rsidR="00C97554">
              <w:rPr>
                <w:noProof/>
                <w:webHidden/>
              </w:rPr>
              <w:tab/>
            </w:r>
            <w:r w:rsidR="00C97554">
              <w:rPr>
                <w:noProof/>
                <w:webHidden/>
              </w:rPr>
              <w:fldChar w:fldCharType="begin"/>
            </w:r>
            <w:r w:rsidR="00C97554">
              <w:rPr>
                <w:noProof/>
                <w:webHidden/>
              </w:rPr>
              <w:instrText xml:space="preserve"> PAGEREF _Toc183783063 \h </w:instrText>
            </w:r>
            <w:r w:rsidR="00C97554">
              <w:rPr>
                <w:noProof/>
                <w:webHidden/>
              </w:rPr>
            </w:r>
            <w:r w:rsidR="00C97554">
              <w:rPr>
                <w:noProof/>
                <w:webHidden/>
              </w:rPr>
              <w:fldChar w:fldCharType="separate"/>
            </w:r>
            <w:r w:rsidR="00C10708">
              <w:rPr>
                <w:noProof/>
                <w:webHidden/>
              </w:rPr>
              <w:t>175</w:t>
            </w:r>
            <w:r w:rsidR="00C97554">
              <w:rPr>
                <w:noProof/>
                <w:webHidden/>
              </w:rPr>
              <w:fldChar w:fldCharType="end"/>
            </w:r>
          </w:hyperlink>
        </w:p>
        <w:p w14:paraId="225F4D38" w14:textId="77777777" w:rsidR="00C97554" w:rsidRDefault="00E23E2B">
          <w:pPr>
            <w:pStyle w:val="TDC2"/>
            <w:tabs>
              <w:tab w:val="left" w:pos="1540"/>
              <w:tab w:val="right" w:leader="dot" w:pos="9394"/>
            </w:tabs>
            <w:rPr>
              <w:rFonts w:asciiTheme="minorHAnsi" w:eastAsiaTheme="minorEastAsia" w:hAnsiTheme="minorHAnsi"/>
              <w:noProof/>
              <w:kern w:val="0"/>
              <w:sz w:val="22"/>
              <w:lang w:eastAsia="es-CO"/>
              <w14:ligatures w14:val="none"/>
            </w:rPr>
          </w:pPr>
          <w:hyperlink w:anchor="_Toc183783064" w:history="1">
            <w:r w:rsidR="00C97554" w:rsidRPr="00202143">
              <w:rPr>
                <w:rStyle w:val="Hipervnculo"/>
                <w:noProof/>
              </w:rPr>
              <w:t>5.2.</w:t>
            </w:r>
            <w:r w:rsidR="00C97554">
              <w:rPr>
                <w:rFonts w:asciiTheme="minorHAnsi" w:eastAsiaTheme="minorEastAsia" w:hAnsiTheme="minorHAnsi"/>
                <w:noProof/>
                <w:kern w:val="0"/>
                <w:sz w:val="22"/>
                <w:lang w:eastAsia="es-CO"/>
                <w14:ligatures w14:val="none"/>
              </w:rPr>
              <w:tab/>
            </w:r>
            <w:r w:rsidR="00C97554" w:rsidRPr="00202143">
              <w:rPr>
                <w:rStyle w:val="Hipervnculo"/>
                <w:noProof/>
              </w:rPr>
              <w:t>RECOMENDACIONES</w:t>
            </w:r>
            <w:r w:rsidR="00C97554">
              <w:rPr>
                <w:noProof/>
                <w:webHidden/>
              </w:rPr>
              <w:tab/>
            </w:r>
            <w:r w:rsidR="00C97554">
              <w:rPr>
                <w:noProof/>
                <w:webHidden/>
              </w:rPr>
              <w:fldChar w:fldCharType="begin"/>
            </w:r>
            <w:r w:rsidR="00C97554">
              <w:rPr>
                <w:noProof/>
                <w:webHidden/>
              </w:rPr>
              <w:instrText xml:space="preserve"> PAGEREF _Toc183783064 \h </w:instrText>
            </w:r>
            <w:r w:rsidR="00C97554">
              <w:rPr>
                <w:noProof/>
                <w:webHidden/>
              </w:rPr>
            </w:r>
            <w:r w:rsidR="00C97554">
              <w:rPr>
                <w:noProof/>
                <w:webHidden/>
              </w:rPr>
              <w:fldChar w:fldCharType="separate"/>
            </w:r>
            <w:r w:rsidR="00C10708">
              <w:rPr>
                <w:noProof/>
                <w:webHidden/>
              </w:rPr>
              <w:t>178</w:t>
            </w:r>
            <w:r w:rsidR="00C97554">
              <w:rPr>
                <w:noProof/>
                <w:webHidden/>
              </w:rPr>
              <w:fldChar w:fldCharType="end"/>
            </w:r>
          </w:hyperlink>
        </w:p>
        <w:p w14:paraId="3D222A25" w14:textId="77777777" w:rsidR="00C97554" w:rsidRDefault="00E23E2B">
          <w:pPr>
            <w:pStyle w:val="TDC1"/>
            <w:tabs>
              <w:tab w:val="left" w:pos="480"/>
            </w:tabs>
            <w:rPr>
              <w:rFonts w:asciiTheme="minorHAnsi" w:eastAsiaTheme="minorEastAsia" w:hAnsiTheme="minorHAnsi"/>
              <w:noProof/>
              <w:kern w:val="0"/>
              <w:sz w:val="22"/>
              <w:lang w:eastAsia="es-CO"/>
              <w14:ligatures w14:val="none"/>
            </w:rPr>
          </w:pPr>
          <w:hyperlink w:anchor="_Toc183783065" w:history="1">
            <w:r w:rsidR="00C97554" w:rsidRPr="00202143">
              <w:rPr>
                <w:rStyle w:val="Hipervnculo"/>
                <w:noProof/>
              </w:rPr>
              <w:t>6.</w:t>
            </w:r>
            <w:r w:rsidR="00C97554">
              <w:rPr>
                <w:rFonts w:asciiTheme="minorHAnsi" w:eastAsiaTheme="minorEastAsia" w:hAnsiTheme="minorHAnsi"/>
                <w:noProof/>
                <w:kern w:val="0"/>
                <w:sz w:val="22"/>
                <w:lang w:eastAsia="es-CO"/>
                <w14:ligatures w14:val="none"/>
              </w:rPr>
              <w:tab/>
            </w:r>
            <w:r w:rsidR="00C97554" w:rsidRPr="00202143">
              <w:rPr>
                <w:rStyle w:val="Hipervnculo"/>
                <w:noProof/>
                <w:lang w:val="es-ES"/>
              </w:rPr>
              <w:t>REFERENCIAS</w:t>
            </w:r>
            <w:r w:rsidR="00C97554">
              <w:rPr>
                <w:noProof/>
                <w:webHidden/>
              </w:rPr>
              <w:tab/>
            </w:r>
            <w:r w:rsidR="00C97554">
              <w:rPr>
                <w:noProof/>
                <w:webHidden/>
              </w:rPr>
              <w:fldChar w:fldCharType="begin"/>
            </w:r>
            <w:r w:rsidR="00C97554">
              <w:rPr>
                <w:noProof/>
                <w:webHidden/>
              </w:rPr>
              <w:instrText xml:space="preserve"> PAGEREF _Toc183783065 \h </w:instrText>
            </w:r>
            <w:r w:rsidR="00C97554">
              <w:rPr>
                <w:noProof/>
                <w:webHidden/>
              </w:rPr>
            </w:r>
            <w:r w:rsidR="00C97554">
              <w:rPr>
                <w:noProof/>
                <w:webHidden/>
              </w:rPr>
              <w:fldChar w:fldCharType="separate"/>
            </w:r>
            <w:r w:rsidR="00C10708">
              <w:rPr>
                <w:noProof/>
                <w:webHidden/>
              </w:rPr>
              <w:t>181</w:t>
            </w:r>
            <w:r w:rsidR="00C97554">
              <w:rPr>
                <w:noProof/>
                <w:webHidden/>
              </w:rPr>
              <w:fldChar w:fldCharType="end"/>
            </w:r>
          </w:hyperlink>
        </w:p>
        <w:p w14:paraId="62B7AE3F" w14:textId="77777777" w:rsidR="00C97554" w:rsidRDefault="00E23E2B">
          <w:pPr>
            <w:pStyle w:val="TDC1"/>
            <w:tabs>
              <w:tab w:val="left" w:pos="480"/>
            </w:tabs>
            <w:rPr>
              <w:rFonts w:asciiTheme="minorHAnsi" w:eastAsiaTheme="minorEastAsia" w:hAnsiTheme="minorHAnsi"/>
              <w:noProof/>
              <w:kern w:val="0"/>
              <w:sz w:val="22"/>
              <w:lang w:eastAsia="es-CO"/>
              <w14:ligatures w14:val="none"/>
            </w:rPr>
          </w:pPr>
          <w:hyperlink w:anchor="_Toc183783066" w:history="1">
            <w:r w:rsidR="00C97554" w:rsidRPr="00202143">
              <w:rPr>
                <w:rStyle w:val="Hipervnculo"/>
                <w:noProof/>
              </w:rPr>
              <w:t>7.</w:t>
            </w:r>
            <w:r w:rsidR="00C97554">
              <w:rPr>
                <w:rFonts w:asciiTheme="minorHAnsi" w:eastAsiaTheme="minorEastAsia" w:hAnsiTheme="minorHAnsi"/>
                <w:noProof/>
                <w:kern w:val="0"/>
                <w:sz w:val="22"/>
                <w:lang w:eastAsia="es-CO"/>
                <w14:ligatures w14:val="none"/>
              </w:rPr>
              <w:tab/>
            </w:r>
            <w:r w:rsidR="00C97554" w:rsidRPr="00202143">
              <w:rPr>
                <w:rStyle w:val="Hipervnculo"/>
                <w:noProof/>
              </w:rPr>
              <w:t>APENDICES (ANEXOS)</w:t>
            </w:r>
            <w:r w:rsidR="00C97554">
              <w:rPr>
                <w:noProof/>
                <w:webHidden/>
              </w:rPr>
              <w:tab/>
            </w:r>
            <w:r w:rsidR="00C97554">
              <w:rPr>
                <w:noProof/>
                <w:webHidden/>
              </w:rPr>
              <w:fldChar w:fldCharType="begin"/>
            </w:r>
            <w:r w:rsidR="00C97554">
              <w:rPr>
                <w:noProof/>
                <w:webHidden/>
              </w:rPr>
              <w:instrText xml:space="preserve"> PAGEREF _Toc183783066 \h </w:instrText>
            </w:r>
            <w:r w:rsidR="00C97554">
              <w:rPr>
                <w:noProof/>
                <w:webHidden/>
              </w:rPr>
            </w:r>
            <w:r w:rsidR="00C97554">
              <w:rPr>
                <w:noProof/>
                <w:webHidden/>
              </w:rPr>
              <w:fldChar w:fldCharType="separate"/>
            </w:r>
            <w:r w:rsidR="00C10708">
              <w:rPr>
                <w:noProof/>
                <w:webHidden/>
              </w:rPr>
              <w:t>186</w:t>
            </w:r>
            <w:r w:rsidR="00C97554">
              <w:rPr>
                <w:noProof/>
                <w:webHidden/>
              </w:rPr>
              <w:fldChar w:fldCharType="end"/>
            </w:r>
          </w:hyperlink>
        </w:p>
        <w:p w14:paraId="4218D1D4" w14:textId="437135B8" w:rsidR="00F22CC6" w:rsidRDefault="00F22CC6" w:rsidP="00F22CC6">
          <w:pPr>
            <w:spacing w:line="240" w:lineRule="auto"/>
            <w:ind w:firstLine="0"/>
          </w:pPr>
          <w:r w:rsidRPr="00F22CC6">
            <w:rPr>
              <w:rFonts w:cs="Times New Roman"/>
              <w:b/>
              <w:bCs/>
              <w:szCs w:val="24"/>
            </w:rPr>
            <w:fldChar w:fldCharType="end"/>
          </w:r>
        </w:p>
      </w:sdtContent>
    </w:sdt>
    <w:p w14:paraId="5F3F5019" w14:textId="315379B1" w:rsidR="00901E21" w:rsidRDefault="00901E21" w:rsidP="00901E21">
      <w:pPr>
        <w:tabs>
          <w:tab w:val="left" w:pos="3795"/>
        </w:tabs>
        <w:spacing w:line="480" w:lineRule="auto"/>
        <w:ind w:firstLine="0"/>
        <w:rPr>
          <w:rFonts w:cs="Times New Roman"/>
          <w:b/>
          <w:bCs/>
        </w:rPr>
      </w:pPr>
    </w:p>
    <w:p w14:paraId="6A7036DE" w14:textId="77777777" w:rsidR="00F22CC6" w:rsidRDefault="00F22CC6" w:rsidP="00901E21">
      <w:pPr>
        <w:tabs>
          <w:tab w:val="left" w:pos="3795"/>
        </w:tabs>
        <w:spacing w:line="480" w:lineRule="auto"/>
        <w:ind w:firstLine="0"/>
        <w:rPr>
          <w:rFonts w:cs="Times New Roman"/>
          <w:b/>
          <w:bCs/>
        </w:rPr>
      </w:pPr>
    </w:p>
    <w:p w14:paraId="61BD5A0F" w14:textId="145A50A3" w:rsidR="00B214AA" w:rsidRDefault="00B214AA" w:rsidP="0015136C">
      <w:pPr>
        <w:tabs>
          <w:tab w:val="left" w:pos="3795"/>
        </w:tabs>
        <w:spacing w:line="480" w:lineRule="auto"/>
        <w:jc w:val="center"/>
        <w:rPr>
          <w:rFonts w:cs="Times New Roman"/>
          <w:b/>
          <w:bCs/>
        </w:rPr>
      </w:pPr>
      <w:r>
        <w:rPr>
          <w:rFonts w:cs="Times New Roman"/>
          <w:b/>
          <w:bCs/>
        </w:rPr>
        <w:t xml:space="preserve">INDICE DE </w:t>
      </w:r>
      <w:r w:rsidR="00F22CC6">
        <w:rPr>
          <w:rFonts w:cs="Times New Roman"/>
          <w:b/>
          <w:bCs/>
        </w:rPr>
        <w:t xml:space="preserve">TABLAS Y GRÁFICOS </w:t>
      </w:r>
    </w:p>
    <w:p w14:paraId="2D51B202" w14:textId="77777777" w:rsidR="00C97554" w:rsidRDefault="003F7549">
      <w:pPr>
        <w:pStyle w:val="Tabladeilustraciones"/>
        <w:tabs>
          <w:tab w:val="right" w:leader="dot" w:pos="9394"/>
        </w:tabs>
        <w:rPr>
          <w:rFonts w:asciiTheme="minorHAnsi" w:eastAsiaTheme="minorEastAsia" w:hAnsiTheme="minorHAnsi"/>
          <w:noProof/>
          <w:kern w:val="0"/>
          <w:sz w:val="22"/>
          <w:lang w:eastAsia="es-CO"/>
          <w14:ligatures w14:val="none"/>
        </w:rPr>
      </w:pPr>
      <w:r>
        <w:rPr>
          <w:rFonts w:cs="Times New Roman"/>
          <w:b/>
          <w:bCs/>
        </w:rPr>
        <w:fldChar w:fldCharType="begin"/>
      </w:r>
      <w:r>
        <w:rPr>
          <w:rFonts w:cs="Times New Roman"/>
          <w:b/>
          <w:bCs/>
        </w:rPr>
        <w:instrText xml:space="preserve"> TOC \h \z \t "Descripción" \c "Tabla" </w:instrText>
      </w:r>
      <w:r>
        <w:rPr>
          <w:rFonts w:cs="Times New Roman"/>
          <w:b/>
          <w:bCs/>
        </w:rPr>
        <w:fldChar w:fldCharType="separate"/>
      </w:r>
      <w:hyperlink w:anchor="_Toc183783067" w:history="1">
        <w:r w:rsidR="00C97554" w:rsidRPr="008451FF">
          <w:rPr>
            <w:rStyle w:val="Hipervnculo"/>
            <w:b/>
            <w:bCs/>
            <w:noProof/>
          </w:rPr>
          <w:t>Tabla 1:</w:t>
        </w:r>
        <w:r w:rsidR="00C97554">
          <w:rPr>
            <w:noProof/>
            <w:webHidden/>
          </w:rPr>
          <w:tab/>
        </w:r>
        <w:r w:rsidR="00C97554">
          <w:rPr>
            <w:noProof/>
            <w:webHidden/>
          </w:rPr>
          <w:fldChar w:fldCharType="begin"/>
        </w:r>
        <w:r w:rsidR="00C97554">
          <w:rPr>
            <w:noProof/>
            <w:webHidden/>
          </w:rPr>
          <w:instrText xml:space="preserve"> PAGEREF _Toc183783067 \h </w:instrText>
        </w:r>
        <w:r w:rsidR="00C97554">
          <w:rPr>
            <w:noProof/>
            <w:webHidden/>
          </w:rPr>
        </w:r>
        <w:r w:rsidR="00C97554">
          <w:rPr>
            <w:noProof/>
            <w:webHidden/>
          </w:rPr>
          <w:fldChar w:fldCharType="separate"/>
        </w:r>
        <w:r w:rsidR="00C10708">
          <w:rPr>
            <w:noProof/>
            <w:webHidden/>
          </w:rPr>
          <w:t>23</w:t>
        </w:r>
        <w:r w:rsidR="00C97554">
          <w:rPr>
            <w:noProof/>
            <w:webHidden/>
          </w:rPr>
          <w:fldChar w:fldCharType="end"/>
        </w:r>
      </w:hyperlink>
    </w:p>
    <w:p w14:paraId="3226D07E"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68" w:history="1">
        <w:r w:rsidR="00C97554" w:rsidRPr="008451FF">
          <w:rPr>
            <w:rStyle w:val="Hipervnculo"/>
            <w:noProof/>
          </w:rPr>
          <w:t>Variables o categorías</w:t>
        </w:r>
        <w:r w:rsidR="00C97554">
          <w:rPr>
            <w:noProof/>
            <w:webHidden/>
          </w:rPr>
          <w:tab/>
        </w:r>
        <w:r w:rsidR="00C97554">
          <w:rPr>
            <w:noProof/>
            <w:webHidden/>
          </w:rPr>
          <w:fldChar w:fldCharType="begin"/>
        </w:r>
        <w:r w:rsidR="00C97554">
          <w:rPr>
            <w:noProof/>
            <w:webHidden/>
          </w:rPr>
          <w:instrText xml:space="preserve"> PAGEREF _Toc183783068 \h </w:instrText>
        </w:r>
        <w:r w:rsidR="00C97554">
          <w:rPr>
            <w:noProof/>
            <w:webHidden/>
          </w:rPr>
        </w:r>
        <w:r w:rsidR="00C97554">
          <w:rPr>
            <w:noProof/>
            <w:webHidden/>
          </w:rPr>
          <w:fldChar w:fldCharType="separate"/>
        </w:r>
        <w:r w:rsidR="00C10708">
          <w:rPr>
            <w:noProof/>
            <w:webHidden/>
          </w:rPr>
          <w:t>23</w:t>
        </w:r>
        <w:r w:rsidR="00C97554">
          <w:rPr>
            <w:noProof/>
            <w:webHidden/>
          </w:rPr>
          <w:fldChar w:fldCharType="end"/>
        </w:r>
      </w:hyperlink>
    </w:p>
    <w:p w14:paraId="16193C7B"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69" w:history="1">
        <w:r w:rsidR="00C97554" w:rsidRPr="008451FF">
          <w:rPr>
            <w:rStyle w:val="Hipervnculo"/>
            <w:b/>
            <w:bCs/>
            <w:noProof/>
          </w:rPr>
          <w:t>Tabla 2:</w:t>
        </w:r>
        <w:r w:rsidR="00C97554">
          <w:rPr>
            <w:noProof/>
            <w:webHidden/>
          </w:rPr>
          <w:tab/>
        </w:r>
        <w:r w:rsidR="00C97554">
          <w:rPr>
            <w:noProof/>
            <w:webHidden/>
          </w:rPr>
          <w:fldChar w:fldCharType="begin"/>
        </w:r>
        <w:r w:rsidR="00C97554">
          <w:rPr>
            <w:noProof/>
            <w:webHidden/>
          </w:rPr>
          <w:instrText xml:space="preserve"> PAGEREF _Toc183783069 \h </w:instrText>
        </w:r>
        <w:r w:rsidR="00C97554">
          <w:rPr>
            <w:noProof/>
            <w:webHidden/>
          </w:rPr>
        </w:r>
        <w:r w:rsidR="00C97554">
          <w:rPr>
            <w:noProof/>
            <w:webHidden/>
          </w:rPr>
          <w:fldChar w:fldCharType="separate"/>
        </w:r>
        <w:r w:rsidR="00C10708">
          <w:rPr>
            <w:noProof/>
            <w:webHidden/>
          </w:rPr>
          <w:t>48</w:t>
        </w:r>
        <w:r w:rsidR="00C97554">
          <w:rPr>
            <w:noProof/>
            <w:webHidden/>
          </w:rPr>
          <w:fldChar w:fldCharType="end"/>
        </w:r>
      </w:hyperlink>
    </w:p>
    <w:p w14:paraId="6131F1D4"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0" w:history="1">
        <w:r w:rsidR="00C97554" w:rsidRPr="008451FF">
          <w:rPr>
            <w:rStyle w:val="Hipervnculo"/>
            <w:noProof/>
          </w:rPr>
          <w:t>Normatividad a nivel nacional</w:t>
        </w:r>
        <w:r w:rsidR="00C97554">
          <w:rPr>
            <w:noProof/>
            <w:webHidden/>
          </w:rPr>
          <w:tab/>
        </w:r>
        <w:r w:rsidR="00C97554">
          <w:rPr>
            <w:noProof/>
            <w:webHidden/>
          </w:rPr>
          <w:fldChar w:fldCharType="begin"/>
        </w:r>
        <w:r w:rsidR="00C97554">
          <w:rPr>
            <w:noProof/>
            <w:webHidden/>
          </w:rPr>
          <w:instrText xml:space="preserve"> PAGEREF _Toc183783070 \h </w:instrText>
        </w:r>
        <w:r w:rsidR="00C97554">
          <w:rPr>
            <w:noProof/>
            <w:webHidden/>
          </w:rPr>
        </w:r>
        <w:r w:rsidR="00C97554">
          <w:rPr>
            <w:noProof/>
            <w:webHidden/>
          </w:rPr>
          <w:fldChar w:fldCharType="separate"/>
        </w:r>
        <w:r w:rsidR="00C10708">
          <w:rPr>
            <w:noProof/>
            <w:webHidden/>
          </w:rPr>
          <w:t>48</w:t>
        </w:r>
        <w:r w:rsidR="00C97554">
          <w:rPr>
            <w:noProof/>
            <w:webHidden/>
          </w:rPr>
          <w:fldChar w:fldCharType="end"/>
        </w:r>
      </w:hyperlink>
    </w:p>
    <w:p w14:paraId="5417463A"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1" w:history="1">
        <w:r w:rsidR="00C97554" w:rsidRPr="008451FF">
          <w:rPr>
            <w:rStyle w:val="Hipervnculo"/>
            <w:b/>
            <w:bCs/>
            <w:noProof/>
          </w:rPr>
          <w:t>Tabla 3:</w:t>
        </w:r>
        <w:r w:rsidR="00C97554">
          <w:rPr>
            <w:noProof/>
            <w:webHidden/>
          </w:rPr>
          <w:tab/>
        </w:r>
        <w:r w:rsidR="00C97554">
          <w:rPr>
            <w:noProof/>
            <w:webHidden/>
          </w:rPr>
          <w:fldChar w:fldCharType="begin"/>
        </w:r>
        <w:r w:rsidR="00C97554">
          <w:rPr>
            <w:noProof/>
            <w:webHidden/>
          </w:rPr>
          <w:instrText xml:space="preserve"> PAGEREF _Toc183783071 \h </w:instrText>
        </w:r>
        <w:r w:rsidR="00C97554">
          <w:rPr>
            <w:noProof/>
            <w:webHidden/>
          </w:rPr>
        </w:r>
        <w:r w:rsidR="00C97554">
          <w:rPr>
            <w:noProof/>
            <w:webHidden/>
          </w:rPr>
          <w:fldChar w:fldCharType="separate"/>
        </w:r>
        <w:r w:rsidR="00C10708">
          <w:rPr>
            <w:noProof/>
            <w:webHidden/>
          </w:rPr>
          <w:t>59</w:t>
        </w:r>
        <w:r w:rsidR="00C97554">
          <w:rPr>
            <w:noProof/>
            <w:webHidden/>
          </w:rPr>
          <w:fldChar w:fldCharType="end"/>
        </w:r>
      </w:hyperlink>
    </w:p>
    <w:p w14:paraId="1BEE14B6"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2" w:history="1">
        <w:r w:rsidR="00C97554" w:rsidRPr="008451FF">
          <w:rPr>
            <w:rStyle w:val="Hipervnculo"/>
            <w:noProof/>
          </w:rPr>
          <w:t>Procedimiento</w:t>
        </w:r>
        <w:r w:rsidR="00C97554">
          <w:rPr>
            <w:noProof/>
            <w:webHidden/>
          </w:rPr>
          <w:tab/>
        </w:r>
        <w:r w:rsidR="00C97554">
          <w:rPr>
            <w:noProof/>
            <w:webHidden/>
          </w:rPr>
          <w:fldChar w:fldCharType="begin"/>
        </w:r>
        <w:r w:rsidR="00C97554">
          <w:rPr>
            <w:noProof/>
            <w:webHidden/>
          </w:rPr>
          <w:instrText xml:space="preserve"> PAGEREF _Toc183783072 \h </w:instrText>
        </w:r>
        <w:r w:rsidR="00C97554">
          <w:rPr>
            <w:noProof/>
            <w:webHidden/>
          </w:rPr>
        </w:r>
        <w:r w:rsidR="00C97554">
          <w:rPr>
            <w:noProof/>
            <w:webHidden/>
          </w:rPr>
          <w:fldChar w:fldCharType="separate"/>
        </w:r>
        <w:r w:rsidR="00C10708">
          <w:rPr>
            <w:noProof/>
            <w:webHidden/>
          </w:rPr>
          <w:t>59</w:t>
        </w:r>
        <w:r w:rsidR="00C97554">
          <w:rPr>
            <w:noProof/>
            <w:webHidden/>
          </w:rPr>
          <w:fldChar w:fldCharType="end"/>
        </w:r>
      </w:hyperlink>
    </w:p>
    <w:p w14:paraId="179D4457"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3" w:history="1">
        <w:r w:rsidR="00C97554" w:rsidRPr="008451FF">
          <w:rPr>
            <w:rStyle w:val="Hipervnculo"/>
            <w:b/>
            <w:bCs/>
            <w:noProof/>
          </w:rPr>
          <w:t>Tabla 4:</w:t>
        </w:r>
        <w:r w:rsidR="00C97554">
          <w:rPr>
            <w:noProof/>
            <w:webHidden/>
          </w:rPr>
          <w:tab/>
        </w:r>
        <w:r w:rsidR="00C97554">
          <w:rPr>
            <w:noProof/>
            <w:webHidden/>
          </w:rPr>
          <w:fldChar w:fldCharType="begin"/>
        </w:r>
        <w:r w:rsidR="00C97554">
          <w:rPr>
            <w:noProof/>
            <w:webHidden/>
          </w:rPr>
          <w:instrText xml:space="preserve"> PAGEREF _Toc183783073 \h </w:instrText>
        </w:r>
        <w:r w:rsidR="00C97554">
          <w:rPr>
            <w:noProof/>
            <w:webHidden/>
          </w:rPr>
        </w:r>
        <w:r w:rsidR="00C97554">
          <w:rPr>
            <w:noProof/>
            <w:webHidden/>
          </w:rPr>
          <w:fldChar w:fldCharType="separate"/>
        </w:r>
        <w:r w:rsidR="00C10708">
          <w:rPr>
            <w:noProof/>
            <w:webHidden/>
          </w:rPr>
          <w:t>66</w:t>
        </w:r>
        <w:r w:rsidR="00C97554">
          <w:rPr>
            <w:noProof/>
            <w:webHidden/>
          </w:rPr>
          <w:fldChar w:fldCharType="end"/>
        </w:r>
      </w:hyperlink>
    </w:p>
    <w:p w14:paraId="07537641"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4" w:history="1">
        <w:r w:rsidR="00C97554" w:rsidRPr="008451FF">
          <w:rPr>
            <w:rStyle w:val="Hipervnculo"/>
            <w:noProof/>
          </w:rPr>
          <w:t>Decretos presidenciales</w:t>
        </w:r>
        <w:r w:rsidR="00C97554">
          <w:rPr>
            <w:noProof/>
            <w:webHidden/>
          </w:rPr>
          <w:tab/>
        </w:r>
        <w:r w:rsidR="00C97554">
          <w:rPr>
            <w:noProof/>
            <w:webHidden/>
          </w:rPr>
          <w:fldChar w:fldCharType="begin"/>
        </w:r>
        <w:r w:rsidR="00C97554">
          <w:rPr>
            <w:noProof/>
            <w:webHidden/>
          </w:rPr>
          <w:instrText xml:space="preserve"> PAGEREF _Toc183783074 \h </w:instrText>
        </w:r>
        <w:r w:rsidR="00C97554">
          <w:rPr>
            <w:noProof/>
            <w:webHidden/>
          </w:rPr>
        </w:r>
        <w:r w:rsidR="00C97554">
          <w:rPr>
            <w:noProof/>
            <w:webHidden/>
          </w:rPr>
          <w:fldChar w:fldCharType="separate"/>
        </w:r>
        <w:r w:rsidR="00C10708">
          <w:rPr>
            <w:noProof/>
            <w:webHidden/>
          </w:rPr>
          <w:t>66</w:t>
        </w:r>
        <w:r w:rsidR="00C97554">
          <w:rPr>
            <w:noProof/>
            <w:webHidden/>
          </w:rPr>
          <w:fldChar w:fldCharType="end"/>
        </w:r>
      </w:hyperlink>
    </w:p>
    <w:p w14:paraId="27EC5B61"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5" w:history="1">
        <w:r w:rsidR="00C97554" w:rsidRPr="008451FF">
          <w:rPr>
            <w:rStyle w:val="Hipervnculo"/>
            <w:rFonts w:cs="Times New Roman"/>
            <w:b/>
            <w:bCs/>
            <w:noProof/>
          </w:rPr>
          <w:t>Tabla 5:</w:t>
        </w:r>
        <w:r w:rsidR="00C97554">
          <w:rPr>
            <w:noProof/>
            <w:webHidden/>
          </w:rPr>
          <w:tab/>
        </w:r>
        <w:r w:rsidR="00C97554">
          <w:rPr>
            <w:noProof/>
            <w:webHidden/>
          </w:rPr>
          <w:fldChar w:fldCharType="begin"/>
        </w:r>
        <w:r w:rsidR="00C97554">
          <w:rPr>
            <w:noProof/>
            <w:webHidden/>
          </w:rPr>
          <w:instrText xml:space="preserve"> PAGEREF _Toc183783075 \h </w:instrText>
        </w:r>
        <w:r w:rsidR="00C97554">
          <w:rPr>
            <w:noProof/>
            <w:webHidden/>
          </w:rPr>
        </w:r>
        <w:r w:rsidR="00C97554">
          <w:rPr>
            <w:noProof/>
            <w:webHidden/>
          </w:rPr>
          <w:fldChar w:fldCharType="separate"/>
        </w:r>
        <w:r w:rsidR="00C10708">
          <w:rPr>
            <w:noProof/>
            <w:webHidden/>
          </w:rPr>
          <w:t>71</w:t>
        </w:r>
        <w:r w:rsidR="00C97554">
          <w:rPr>
            <w:noProof/>
            <w:webHidden/>
          </w:rPr>
          <w:fldChar w:fldCharType="end"/>
        </w:r>
      </w:hyperlink>
    </w:p>
    <w:p w14:paraId="317A61D2"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6" w:history="1">
        <w:r w:rsidR="00C97554" w:rsidRPr="008451FF">
          <w:rPr>
            <w:rStyle w:val="Hipervnculo"/>
            <w:rFonts w:cs="Times New Roman"/>
            <w:noProof/>
          </w:rPr>
          <w:t>Circulares de la DIAN</w:t>
        </w:r>
        <w:r w:rsidR="00C97554">
          <w:rPr>
            <w:noProof/>
            <w:webHidden/>
          </w:rPr>
          <w:tab/>
        </w:r>
        <w:r w:rsidR="00C97554">
          <w:rPr>
            <w:noProof/>
            <w:webHidden/>
          </w:rPr>
          <w:fldChar w:fldCharType="begin"/>
        </w:r>
        <w:r w:rsidR="00C97554">
          <w:rPr>
            <w:noProof/>
            <w:webHidden/>
          </w:rPr>
          <w:instrText xml:space="preserve"> PAGEREF _Toc183783076 \h </w:instrText>
        </w:r>
        <w:r w:rsidR="00C97554">
          <w:rPr>
            <w:noProof/>
            <w:webHidden/>
          </w:rPr>
        </w:r>
        <w:r w:rsidR="00C97554">
          <w:rPr>
            <w:noProof/>
            <w:webHidden/>
          </w:rPr>
          <w:fldChar w:fldCharType="separate"/>
        </w:r>
        <w:r w:rsidR="00C10708">
          <w:rPr>
            <w:noProof/>
            <w:webHidden/>
          </w:rPr>
          <w:t>71</w:t>
        </w:r>
        <w:r w:rsidR="00C97554">
          <w:rPr>
            <w:noProof/>
            <w:webHidden/>
          </w:rPr>
          <w:fldChar w:fldCharType="end"/>
        </w:r>
      </w:hyperlink>
    </w:p>
    <w:p w14:paraId="3F077700"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7" w:history="1">
        <w:r w:rsidR="00C97554" w:rsidRPr="008451FF">
          <w:rPr>
            <w:rStyle w:val="Hipervnculo"/>
            <w:b/>
            <w:bCs/>
            <w:noProof/>
          </w:rPr>
          <w:t>Tabla 6:</w:t>
        </w:r>
        <w:r w:rsidR="00C97554">
          <w:rPr>
            <w:noProof/>
            <w:webHidden/>
          </w:rPr>
          <w:tab/>
        </w:r>
        <w:r w:rsidR="00C97554">
          <w:rPr>
            <w:noProof/>
            <w:webHidden/>
          </w:rPr>
          <w:fldChar w:fldCharType="begin"/>
        </w:r>
        <w:r w:rsidR="00C97554">
          <w:rPr>
            <w:noProof/>
            <w:webHidden/>
          </w:rPr>
          <w:instrText xml:space="preserve"> PAGEREF _Toc183783077 \h </w:instrText>
        </w:r>
        <w:r w:rsidR="00C97554">
          <w:rPr>
            <w:noProof/>
            <w:webHidden/>
          </w:rPr>
        </w:r>
        <w:r w:rsidR="00C97554">
          <w:rPr>
            <w:noProof/>
            <w:webHidden/>
          </w:rPr>
          <w:fldChar w:fldCharType="separate"/>
        </w:r>
        <w:r w:rsidR="00C10708">
          <w:rPr>
            <w:noProof/>
            <w:webHidden/>
          </w:rPr>
          <w:t>89</w:t>
        </w:r>
        <w:r w:rsidR="00C97554">
          <w:rPr>
            <w:noProof/>
            <w:webHidden/>
          </w:rPr>
          <w:fldChar w:fldCharType="end"/>
        </w:r>
      </w:hyperlink>
    </w:p>
    <w:p w14:paraId="1C6D204E"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8" w:history="1">
        <w:r w:rsidR="00C97554" w:rsidRPr="008451FF">
          <w:rPr>
            <w:rStyle w:val="Hipervnculo"/>
            <w:noProof/>
          </w:rPr>
          <w:t>Cuadro: Ingresos Totales, según Zonas Francas - Miles de dólares CIF 2024/2023 (Junio)</w:t>
        </w:r>
        <w:r w:rsidR="00C97554">
          <w:rPr>
            <w:noProof/>
            <w:webHidden/>
          </w:rPr>
          <w:tab/>
        </w:r>
        <w:r w:rsidR="00C97554">
          <w:rPr>
            <w:noProof/>
            <w:webHidden/>
          </w:rPr>
          <w:fldChar w:fldCharType="begin"/>
        </w:r>
        <w:r w:rsidR="00C97554">
          <w:rPr>
            <w:noProof/>
            <w:webHidden/>
          </w:rPr>
          <w:instrText xml:space="preserve"> PAGEREF _Toc183783078 \h </w:instrText>
        </w:r>
        <w:r w:rsidR="00C97554">
          <w:rPr>
            <w:noProof/>
            <w:webHidden/>
          </w:rPr>
        </w:r>
        <w:r w:rsidR="00C97554">
          <w:rPr>
            <w:noProof/>
            <w:webHidden/>
          </w:rPr>
          <w:fldChar w:fldCharType="separate"/>
        </w:r>
        <w:r w:rsidR="00C10708">
          <w:rPr>
            <w:noProof/>
            <w:webHidden/>
          </w:rPr>
          <w:t>89</w:t>
        </w:r>
        <w:r w:rsidR="00C97554">
          <w:rPr>
            <w:noProof/>
            <w:webHidden/>
          </w:rPr>
          <w:fldChar w:fldCharType="end"/>
        </w:r>
      </w:hyperlink>
    </w:p>
    <w:p w14:paraId="217D19FE"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79" w:history="1">
        <w:r w:rsidR="00C97554" w:rsidRPr="008451FF">
          <w:rPr>
            <w:rStyle w:val="Hipervnculo"/>
            <w:rFonts w:cs="Times New Roman"/>
            <w:b/>
            <w:bCs/>
            <w:noProof/>
            <w:lang w:eastAsia="es-ES"/>
          </w:rPr>
          <w:t>Tabla 7:</w:t>
        </w:r>
        <w:r w:rsidR="00C97554">
          <w:rPr>
            <w:noProof/>
            <w:webHidden/>
          </w:rPr>
          <w:tab/>
        </w:r>
        <w:r w:rsidR="00C97554">
          <w:rPr>
            <w:noProof/>
            <w:webHidden/>
          </w:rPr>
          <w:fldChar w:fldCharType="begin"/>
        </w:r>
        <w:r w:rsidR="00C97554">
          <w:rPr>
            <w:noProof/>
            <w:webHidden/>
          </w:rPr>
          <w:instrText xml:space="preserve"> PAGEREF _Toc183783079 \h </w:instrText>
        </w:r>
        <w:r w:rsidR="00C97554">
          <w:rPr>
            <w:noProof/>
            <w:webHidden/>
          </w:rPr>
        </w:r>
        <w:r w:rsidR="00C97554">
          <w:rPr>
            <w:noProof/>
            <w:webHidden/>
          </w:rPr>
          <w:fldChar w:fldCharType="separate"/>
        </w:r>
        <w:r w:rsidR="00C10708">
          <w:rPr>
            <w:noProof/>
            <w:webHidden/>
          </w:rPr>
          <w:t>90</w:t>
        </w:r>
        <w:r w:rsidR="00C97554">
          <w:rPr>
            <w:noProof/>
            <w:webHidden/>
          </w:rPr>
          <w:fldChar w:fldCharType="end"/>
        </w:r>
      </w:hyperlink>
    </w:p>
    <w:p w14:paraId="575AEDF4"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0" w:history="1">
        <w:r w:rsidR="00C97554" w:rsidRPr="008451FF">
          <w:rPr>
            <w:rStyle w:val="Hipervnculo"/>
            <w:rFonts w:cs="Times New Roman"/>
            <w:noProof/>
            <w:lang w:eastAsia="es-ES"/>
          </w:rPr>
          <w:t>Ingresos Totales, según Zonas Francas - Toneladas Métricas 2024/2023 (Junio)</w:t>
        </w:r>
        <w:r w:rsidR="00C97554">
          <w:rPr>
            <w:noProof/>
            <w:webHidden/>
          </w:rPr>
          <w:tab/>
        </w:r>
        <w:r w:rsidR="00C97554">
          <w:rPr>
            <w:noProof/>
            <w:webHidden/>
          </w:rPr>
          <w:fldChar w:fldCharType="begin"/>
        </w:r>
        <w:r w:rsidR="00C97554">
          <w:rPr>
            <w:noProof/>
            <w:webHidden/>
          </w:rPr>
          <w:instrText xml:space="preserve"> PAGEREF _Toc183783080 \h </w:instrText>
        </w:r>
        <w:r w:rsidR="00C97554">
          <w:rPr>
            <w:noProof/>
            <w:webHidden/>
          </w:rPr>
        </w:r>
        <w:r w:rsidR="00C97554">
          <w:rPr>
            <w:noProof/>
            <w:webHidden/>
          </w:rPr>
          <w:fldChar w:fldCharType="separate"/>
        </w:r>
        <w:r w:rsidR="00C10708">
          <w:rPr>
            <w:noProof/>
            <w:webHidden/>
          </w:rPr>
          <w:t>90</w:t>
        </w:r>
        <w:r w:rsidR="00C97554">
          <w:rPr>
            <w:noProof/>
            <w:webHidden/>
          </w:rPr>
          <w:fldChar w:fldCharType="end"/>
        </w:r>
      </w:hyperlink>
    </w:p>
    <w:p w14:paraId="56678AD2"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1" w:history="1">
        <w:r w:rsidR="00C97554" w:rsidRPr="008451FF">
          <w:rPr>
            <w:rStyle w:val="Hipervnculo"/>
            <w:b/>
            <w:bCs/>
            <w:noProof/>
            <w:lang w:eastAsia="es-ES"/>
          </w:rPr>
          <w:t>Tabla 8:</w:t>
        </w:r>
        <w:r w:rsidR="00C97554">
          <w:rPr>
            <w:noProof/>
            <w:webHidden/>
          </w:rPr>
          <w:tab/>
        </w:r>
        <w:r w:rsidR="00C97554">
          <w:rPr>
            <w:noProof/>
            <w:webHidden/>
          </w:rPr>
          <w:fldChar w:fldCharType="begin"/>
        </w:r>
        <w:r w:rsidR="00C97554">
          <w:rPr>
            <w:noProof/>
            <w:webHidden/>
          </w:rPr>
          <w:instrText xml:space="preserve"> PAGEREF _Toc183783081 \h </w:instrText>
        </w:r>
        <w:r w:rsidR="00C97554">
          <w:rPr>
            <w:noProof/>
            <w:webHidden/>
          </w:rPr>
        </w:r>
        <w:r w:rsidR="00C97554">
          <w:rPr>
            <w:noProof/>
            <w:webHidden/>
          </w:rPr>
          <w:fldChar w:fldCharType="separate"/>
        </w:r>
        <w:r w:rsidR="00C10708">
          <w:rPr>
            <w:noProof/>
            <w:webHidden/>
          </w:rPr>
          <w:t>92</w:t>
        </w:r>
        <w:r w:rsidR="00C97554">
          <w:rPr>
            <w:noProof/>
            <w:webHidden/>
          </w:rPr>
          <w:fldChar w:fldCharType="end"/>
        </w:r>
      </w:hyperlink>
    </w:p>
    <w:p w14:paraId="5D458AAE"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2" w:history="1">
        <w:r w:rsidR="00C97554" w:rsidRPr="008451FF">
          <w:rPr>
            <w:rStyle w:val="Hipervnculo"/>
            <w:noProof/>
            <w:lang w:eastAsia="es-ES"/>
          </w:rPr>
          <w:t>Ingresos por Zonas Francas, según Tipo de Operación 2024-2023 (Junio)</w:t>
        </w:r>
        <w:r w:rsidR="00C97554">
          <w:rPr>
            <w:noProof/>
            <w:webHidden/>
          </w:rPr>
          <w:tab/>
        </w:r>
        <w:r w:rsidR="00C97554">
          <w:rPr>
            <w:noProof/>
            <w:webHidden/>
          </w:rPr>
          <w:fldChar w:fldCharType="begin"/>
        </w:r>
        <w:r w:rsidR="00C97554">
          <w:rPr>
            <w:noProof/>
            <w:webHidden/>
          </w:rPr>
          <w:instrText xml:space="preserve"> PAGEREF _Toc183783082 \h </w:instrText>
        </w:r>
        <w:r w:rsidR="00C97554">
          <w:rPr>
            <w:noProof/>
            <w:webHidden/>
          </w:rPr>
        </w:r>
        <w:r w:rsidR="00C97554">
          <w:rPr>
            <w:noProof/>
            <w:webHidden/>
          </w:rPr>
          <w:fldChar w:fldCharType="separate"/>
        </w:r>
        <w:r w:rsidR="00C10708">
          <w:rPr>
            <w:noProof/>
            <w:webHidden/>
          </w:rPr>
          <w:t>92</w:t>
        </w:r>
        <w:r w:rsidR="00C97554">
          <w:rPr>
            <w:noProof/>
            <w:webHidden/>
          </w:rPr>
          <w:fldChar w:fldCharType="end"/>
        </w:r>
      </w:hyperlink>
    </w:p>
    <w:p w14:paraId="4FE620BB"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3" w:history="1">
        <w:r w:rsidR="00C97554" w:rsidRPr="008451FF">
          <w:rPr>
            <w:rStyle w:val="Hipervnculo"/>
            <w:b/>
            <w:bCs/>
            <w:noProof/>
            <w:lang w:eastAsia="es-ES"/>
          </w:rPr>
          <w:t>Tabla 9:</w:t>
        </w:r>
        <w:r w:rsidR="00C97554">
          <w:rPr>
            <w:noProof/>
            <w:webHidden/>
          </w:rPr>
          <w:tab/>
        </w:r>
        <w:r w:rsidR="00C97554">
          <w:rPr>
            <w:noProof/>
            <w:webHidden/>
          </w:rPr>
          <w:fldChar w:fldCharType="begin"/>
        </w:r>
        <w:r w:rsidR="00C97554">
          <w:rPr>
            <w:noProof/>
            <w:webHidden/>
          </w:rPr>
          <w:instrText xml:space="preserve"> PAGEREF _Toc183783083 \h </w:instrText>
        </w:r>
        <w:r w:rsidR="00C97554">
          <w:rPr>
            <w:noProof/>
            <w:webHidden/>
          </w:rPr>
        </w:r>
        <w:r w:rsidR="00C97554">
          <w:rPr>
            <w:noProof/>
            <w:webHidden/>
          </w:rPr>
          <w:fldChar w:fldCharType="separate"/>
        </w:r>
        <w:r w:rsidR="00C10708">
          <w:rPr>
            <w:noProof/>
            <w:webHidden/>
          </w:rPr>
          <w:t>94</w:t>
        </w:r>
        <w:r w:rsidR="00C97554">
          <w:rPr>
            <w:noProof/>
            <w:webHidden/>
          </w:rPr>
          <w:fldChar w:fldCharType="end"/>
        </w:r>
      </w:hyperlink>
    </w:p>
    <w:p w14:paraId="4A8298E0"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4" w:history="1">
        <w:r w:rsidR="00C97554" w:rsidRPr="008451FF">
          <w:rPr>
            <w:rStyle w:val="Hipervnculo"/>
            <w:noProof/>
            <w:lang w:eastAsia="es-ES"/>
          </w:rPr>
          <w:t>Salidas Totales Según Zonas Francas - Miles de Dólares FOB (2024/2023)</w:t>
        </w:r>
        <w:r w:rsidR="00C97554">
          <w:rPr>
            <w:noProof/>
            <w:webHidden/>
          </w:rPr>
          <w:tab/>
        </w:r>
        <w:r w:rsidR="00C97554">
          <w:rPr>
            <w:noProof/>
            <w:webHidden/>
          </w:rPr>
          <w:fldChar w:fldCharType="begin"/>
        </w:r>
        <w:r w:rsidR="00C97554">
          <w:rPr>
            <w:noProof/>
            <w:webHidden/>
          </w:rPr>
          <w:instrText xml:space="preserve"> PAGEREF _Toc183783084 \h </w:instrText>
        </w:r>
        <w:r w:rsidR="00C97554">
          <w:rPr>
            <w:noProof/>
            <w:webHidden/>
          </w:rPr>
        </w:r>
        <w:r w:rsidR="00C97554">
          <w:rPr>
            <w:noProof/>
            <w:webHidden/>
          </w:rPr>
          <w:fldChar w:fldCharType="separate"/>
        </w:r>
        <w:r w:rsidR="00C10708">
          <w:rPr>
            <w:noProof/>
            <w:webHidden/>
          </w:rPr>
          <w:t>94</w:t>
        </w:r>
        <w:r w:rsidR="00C97554">
          <w:rPr>
            <w:noProof/>
            <w:webHidden/>
          </w:rPr>
          <w:fldChar w:fldCharType="end"/>
        </w:r>
      </w:hyperlink>
    </w:p>
    <w:p w14:paraId="0F2F9548"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5" w:history="1">
        <w:r w:rsidR="00C97554" w:rsidRPr="008451FF">
          <w:rPr>
            <w:rStyle w:val="Hipervnculo"/>
            <w:b/>
            <w:bCs/>
            <w:noProof/>
            <w:lang w:eastAsia="es-ES"/>
          </w:rPr>
          <w:t>Tabla 10:</w:t>
        </w:r>
        <w:r w:rsidR="00C97554">
          <w:rPr>
            <w:noProof/>
            <w:webHidden/>
          </w:rPr>
          <w:tab/>
        </w:r>
        <w:r w:rsidR="00C97554">
          <w:rPr>
            <w:noProof/>
            <w:webHidden/>
          </w:rPr>
          <w:fldChar w:fldCharType="begin"/>
        </w:r>
        <w:r w:rsidR="00C97554">
          <w:rPr>
            <w:noProof/>
            <w:webHidden/>
          </w:rPr>
          <w:instrText xml:space="preserve"> PAGEREF _Toc183783085 \h </w:instrText>
        </w:r>
        <w:r w:rsidR="00C97554">
          <w:rPr>
            <w:noProof/>
            <w:webHidden/>
          </w:rPr>
        </w:r>
        <w:r w:rsidR="00C97554">
          <w:rPr>
            <w:noProof/>
            <w:webHidden/>
          </w:rPr>
          <w:fldChar w:fldCharType="separate"/>
        </w:r>
        <w:r w:rsidR="00C10708">
          <w:rPr>
            <w:noProof/>
            <w:webHidden/>
          </w:rPr>
          <w:t>95</w:t>
        </w:r>
        <w:r w:rsidR="00C97554">
          <w:rPr>
            <w:noProof/>
            <w:webHidden/>
          </w:rPr>
          <w:fldChar w:fldCharType="end"/>
        </w:r>
      </w:hyperlink>
    </w:p>
    <w:p w14:paraId="2F7E9EB5"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6" w:history="1">
        <w:r w:rsidR="00C97554" w:rsidRPr="008451FF">
          <w:rPr>
            <w:rStyle w:val="Hipervnculo"/>
            <w:noProof/>
            <w:lang w:eastAsia="es-ES"/>
          </w:rPr>
          <w:t>Salidas por Zonas Francas, según Tipo de Operación 2024/2023 (Junio)</w:t>
        </w:r>
        <w:r w:rsidR="00C97554">
          <w:rPr>
            <w:noProof/>
            <w:webHidden/>
          </w:rPr>
          <w:tab/>
        </w:r>
        <w:r w:rsidR="00C97554">
          <w:rPr>
            <w:noProof/>
            <w:webHidden/>
          </w:rPr>
          <w:fldChar w:fldCharType="begin"/>
        </w:r>
        <w:r w:rsidR="00C97554">
          <w:rPr>
            <w:noProof/>
            <w:webHidden/>
          </w:rPr>
          <w:instrText xml:space="preserve"> PAGEREF _Toc183783086 \h </w:instrText>
        </w:r>
        <w:r w:rsidR="00C97554">
          <w:rPr>
            <w:noProof/>
            <w:webHidden/>
          </w:rPr>
        </w:r>
        <w:r w:rsidR="00C97554">
          <w:rPr>
            <w:noProof/>
            <w:webHidden/>
          </w:rPr>
          <w:fldChar w:fldCharType="separate"/>
        </w:r>
        <w:r w:rsidR="00C10708">
          <w:rPr>
            <w:noProof/>
            <w:webHidden/>
          </w:rPr>
          <w:t>95</w:t>
        </w:r>
        <w:r w:rsidR="00C97554">
          <w:rPr>
            <w:noProof/>
            <w:webHidden/>
          </w:rPr>
          <w:fldChar w:fldCharType="end"/>
        </w:r>
      </w:hyperlink>
    </w:p>
    <w:p w14:paraId="279B5E65"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7" w:history="1">
        <w:r w:rsidR="00C97554" w:rsidRPr="008451FF">
          <w:rPr>
            <w:rStyle w:val="Hipervnculo"/>
            <w:b/>
            <w:bCs/>
            <w:noProof/>
            <w:lang w:eastAsia="es-ES"/>
          </w:rPr>
          <w:t>Tabla 11:</w:t>
        </w:r>
        <w:r w:rsidR="00C97554">
          <w:rPr>
            <w:noProof/>
            <w:webHidden/>
          </w:rPr>
          <w:tab/>
        </w:r>
        <w:r w:rsidR="00C97554">
          <w:rPr>
            <w:noProof/>
            <w:webHidden/>
          </w:rPr>
          <w:fldChar w:fldCharType="begin"/>
        </w:r>
        <w:r w:rsidR="00C97554">
          <w:rPr>
            <w:noProof/>
            <w:webHidden/>
          </w:rPr>
          <w:instrText xml:space="preserve"> PAGEREF _Toc183783087 \h </w:instrText>
        </w:r>
        <w:r w:rsidR="00C97554">
          <w:rPr>
            <w:noProof/>
            <w:webHidden/>
          </w:rPr>
        </w:r>
        <w:r w:rsidR="00C97554">
          <w:rPr>
            <w:noProof/>
            <w:webHidden/>
          </w:rPr>
          <w:fldChar w:fldCharType="separate"/>
        </w:r>
        <w:r w:rsidR="00C10708">
          <w:rPr>
            <w:noProof/>
            <w:webHidden/>
          </w:rPr>
          <w:t>97</w:t>
        </w:r>
        <w:r w:rsidR="00C97554">
          <w:rPr>
            <w:noProof/>
            <w:webHidden/>
          </w:rPr>
          <w:fldChar w:fldCharType="end"/>
        </w:r>
      </w:hyperlink>
    </w:p>
    <w:p w14:paraId="0E811DF7"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8" w:history="1">
        <w:r w:rsidR="00C97554" w:rsidRPr="008451FF">
          <w:rPr>
            <w:rStyle w:val="Hipervnculo"/>
            <w:noProof/>
            <w:lang w:eastAsia="es-ES"/>
          </w:rPr>
          <w:t>Exportaciones - Importaciones y Balanza Comercial según Zonas Francas - Miles de dólares FOB 2023 - 2024 (junio)</w:t>
        </w:r>
        <w:r w:rsidR="00C97554">
          <w:rPr>
            <w:noProof/>
            <w:webHidden/>
          </w:rPr>
          <w:tab/>
        </w:r>
        <w:r w:rsidR="00C97554">
          <w:rPr>
            <w:noProof/>
            <w:webHidden/>
          </w:rPr>
          <w:fldChar w:fldCharType="begin"/>
        </w:r>
        <w:r w:rsidR="00C97554">
          <w:rPr>
            <w:noProof/>
            <w:webHidden/>
          </w:rPr>
          <w:instrText xml:space="preserve"> PAGEREF _Toc183783088 \h </w:instrText>
        </w:r>
        <w:r w:rsidR="00C97554">
          <w:rPr>
            <w:noProof/>
            <w:webHidden/>
          </w:rPr>
        </w:r>
        <w:r w:rsidR="00C97554">
          <w:rPr>
            <w:noProof/>
            <w:webHidden/>
          </w:rPr>
          <w:fldChar w:fldCharType="separate"/>
        </w:r>
        <w:r w:rsidR="00C10708">
          <w:rPr>
            <w:noProof/>
            <w:webHidden/>
          </w:rPr>
          <w:t>97</w:t>
        </w:r>
        <w:r w:rsidR="00C97554">
          <w:rPr>
            <w:noProof/>
            <w:webHidden/>
          </w:rPr>
          <w:fldChar w:fldCharType="end"/>
        </w:r>
      </w:hyperlink>
    </w:p>
    <w:p w14:paraId="0A6734F8"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89" w:history="1">
        <w:r w:rsidR="00C97554" w:rsidRPr="008451FF">
          <w:rPr>
            <w:rStyle w:val="Hipervnculo"/>
            <w:b/>
            <w:bCs/>
            <w:noProof/>
            <w:lang w:eastAsia="es-ES"/>
          </w:rPr>
          <w:t>Gráfico 1:</w:t>
        </w:r>
        <w:r w:rsidR="00C97554">
          <w:rPr>
            <w:noProof/>
            <w:webHidden/>
          </w:rPr>
          <w:tab/>
        </w:r>
        <w:r w:rsidR="00C97554">
          <w:rPr>
            <w:noProof/>
            <w:webHidden/>
          </w:rPr>
          <w:fldChar w:fldCharType="begin"/>
        </w:r>
        <w:r w:rsidR="00C97554">
          <w:rPr>
            <w:noProof/>
            <w:webHidden/>
          </w:rPr>
          <w:instrText xml:space="preserve"> PAGEREF _Toc183783089 \h </w:instrText>
        </w:r>
        <w:r w:rsidR="00C97554">
          <w:rPr>
            <w:noProof/>
            <w:webHidden/>
          </w:rPr>
        </w:r>
        <w:r w:rsidR="00C97554">
          <w:rPr>
            <w:noProof/>
            <w:webHidden/>
          </w:rPr>
          <w:fldChar w:fldCharType="separate"/>
        </w:r>
        <w:r w:rsidR="00C10708">
          <w:rPr>
            <w:noProof/>
            <w:webHidden/>
          </w:rPr>
          <w:t>99</w:t>
        </w:r>
        <w:r w:rsidR="00C97554">
          <w:rPr>
            <w:noProof/>
            <w:webHidden/>
          </w:rPr>
          <w:fldChar w:fldCharType="end"/>
        </w:r>
      </w:hyperlink>
    </w:p>
    <w:p w14:paraId="3467D653"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0" w:history="1">
        <w:r w:rsidR="00C97554" w:rsidRPr="008451FF">
          <w:rPr>
            <w:rStyle w:val="Hipervnculo"/>
            <w:noProof/>
            <w:lang w:eastAsia="es-ES"/>
          </w:rPr>
          <w:t>Exportaciones 2023 vs 2024</w:t>
        </w:r>
        <w:r w:rsidR="00C97554">
          <w:rPr>
            <w:noProof/>
            <w:webHidden/>
          </w:rPr>
          <w:tab/>
        </w:r>
        <w:r w:rsidR="00C97554">
          <w:rPr>
            <w:noProof/>
            <w:webHidden/>
          </w:rPr>
          <w:fldChar w:fldCharType="begin"/>
        </w:r>
        <w:r w:rsidR="00C97554">
          <w:rPr>
            <w:noProof/>
            <w:webHidden/>
          </w:rPr>
          <w:instrText xml:space="preserve"> PAGEREF _Toc183783090 \h </w:instrText>
        </w:r>
        <w:r w:rsidR="00C97554">
          <w:rPr>
            <w:noProof/>
            <w:webHidden/>
          </w:rPr>
        </w:r>
        <w:r w:rsidR="00C97554">
          <w:rPr>
            <w:noProof/>
            <w:webHidden/>
          </w:rPr>
          <w:fldChar w:fldCharType="separate"/>
        </w:r>
        <w:r w:rsidR="00C10708">
          <w:rPr>
            <w:noProof/>
            <w:webHidden/>
          </w:rPr>
          <w:t>99</w:t>
        </w:r>
        <w:r w:rsidR="00C97554">
          <w:rPr>
            <w:noProof/>
            <w:webHidden/>
          </w:rPr>
          <w:fldChar w:fldCharType="end"/>
        </w:r>
      </w:hyperlink>
    </w:p>
    <w:p w14:paraId="0E960BE4"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1" w:history="1">
        <w:r w:rsidR="00C97554" w:rsidRPr="008451FF">
          <w:rPr>
            <w:rStyle w:val="Hipervnculo"/>
            <w:b/>
            <w:bCs/>
            <w:noProof/>
            <w:lang w:eastAsia="es-CO"/>
          </w:rPr>
          <w:t>Grafico 2:</w:t>
        </w:r>
        <w:r w:rsidR="00C97554">
          <w:rPr>
            <w:noProof/>
            <w:webHidden/>
          </w:rPr>
          <w:tab/>
        </w:r>
        <w:r w:rsidR="00C97554">
          <w:rPr>
            <w:noProof/>
            <w:webHidden/>
          </w:rPr>
          <w:fldChar w:fldCharType="begin"/>
        </w:r>
        <w:r w:rsidR="00C97554">
          <w:rPr>
            <w:noProof/>
            <w:webHidden/>
          </w:rPr>
          <w:instrText xml:space="preserve"> PAGEREF _Toc183783091 \h </w:instrText>
        </w:r>
        <w:r w:rsidR="00C97554">
          <w:rPr>
            <w:noProof/>
            <w:webHidden/>
          </w:rPr>
        </w:r>
        <w:r w:rsidR="00C97554">
          <w:rPr>
            <w:noProof/>
            <w:webHidden/>
          </w:rPr>
          <w:fldChar w:fldCharType="separate"/>
        </w:r>
        <w:r w:rsidR="00C10708">
          <w:rPr>
            <w:noProof/>
            <w:webHidden/>
          </w:rPr>
          <w:t>101</w:t>
        </w:r>
        <w:r w:rsidR="00C97554">
          <w:rPr>
            <w:noProof/>
            <w:webHidden/>
          </w:rPr>
          <w:fldChar w:fldCharType="end"/>
        </w:r>
      </w:hyperlink>
    </w:p>
    <w:p w14:paraId="2D52E639"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2" w:history="1">
        <w:r w:rsidR="00C97554" w:rsidRPr="008451FF">
          <w:rPr>
            <w:rStyle w:val="Hipervnculo"/>
            <w:noProof/>
            <w:lang w:eastAsia="es-CO"/>
          </w:rPr>
          <w:t>Importaciones 2023 vs 2024</w:t>
        </w:r>
        <w:r w:rsidR="00C97554">
          <w:rPr>
            <w:noProof/>
            <w:webHidden/>
          </w:rPr>
          <w:tab/>
        </w:r>
        <w:r w:rsidR="00C97554">
          <w:rPr>
            <w:noProof/>
            <w:webHidden/>
          </w:rPr>
          <w:fldChar w:fldCharType="begin"/>
        </w:r>
        <w:r w:rsidR="00C97554">
          <w:rPr>
            <w:noProof/>
            <w:webHidden/>
          </w:rPr>
          <w:instrText xml:space="preserve"> PAGEREF _Toc183783092 \h </w:instrText>
        </w:r>
        <w:r w:rsidR="00C97554">
          <w:rPr>
            <w:noProof/>
            <w:webHidden/>
          </w:rPr>
        </w:r>
        <w:r w:rsidR="00C97554">
          <w:rPr>
            <w:noProof/>
            <w:webHidden/>
          </w:rPr>
          <w:fldChar w:fldCharType="separate"/>
        </w:r>
        <w:r w:rsidR="00C10708">
          <w:rPr>
            <w:noProof/>
            <w:webHidden/>
          </w:rPr>
          <w:t>101</w:t>
        </w:r>
        <w:r w:rsidR="00C97554">
          <w:rPr>
            <w:noProof/>
            <w:webHidden/>
          </w:rPr>
          <w:fldChar w:fldCharType="end"/>
        </w:r>
      </w:hyperlink>
    </w:p>
    <w:p w14:paraId="6056DB9E"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3" w:history="1">
        <w:r w:rsidR="00C97554" w:rsidRPr="008451FF">
          <w:rPr>
            <w:rStyle w:val="Hipervnculo"/>
            <w:b/>
            <w:bCs/>
            <w:noProof/>
            <w:lang w:eastAsia="es-CO"/>
          </w:rPr>
          <w:t>Grafico 3:</w:t>
        </w:r>
        <w:r w:rsidR="00C97554">
          <w:rPr>
            <w:noProof/>
            <w:webHidden/>
          </w:rPr>
          <w:tab/>
        </w:r>
        <w:r w:rsidR="00C97554">
          <w:rPr>
            <w:noProof/>
            <w:webHidden/>
          </w:rPr>
          <w:fldChar w:fldCharType="begin"/>
        </w:r>
        <w:r w:rsidR="00C97554">
          <w:rPr>
            <w:noProof/>
            <w:webHidden/>
          </w:rPr>
          <w:instrText xml:space="preserve"> PAGEREF _Toc183783093 \h </w:instrText>
        </w:r>
        <w:r w:rsidR="00C97554">
          <w:rPr>
            <w:noProof/>
            <w:webHidden/>
          </w:rPr>
        </w:r>
        <w:r w:rsidR="00C97554">
          <w:rPr>
            <w:noProof/>
            <w:webHidden/>
          </w:rPr>
          <w:fldChar w:fldCharType="separate"/>
        </w:r>
        <w:r w:rsidR="00C10708">
          <w:rPr>
            <w:noProof/>
            <w:webHidden/>
          </w:rPr>
          <w:t>103</w:t>
        </w:r>
        <w:r w:rsidR="00C97554">
          <w:rPr>
            <w:noProof/>
            <w:webHidden/>
          </w:rPr>
          <w:fldChar w:fldCharType="end"/>
        </w:r>
      </w:hyperlink>
    </w:p>
    <w:p w14:paraId="7F341E1A"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4" w:history="1">
        <w:r w:rsidR="00C97554" w:rsidRPr="008451FF">
          <w:rPr>
            <w:rStyle w:val="Hipervnculo"/>
            <w:noProof/>
            <w:lang w:eastAsia="es-CO"/>
          </w:rPr>
          <w:t>Distribución de Importaciones de todas las zonas francas de la region caribe 2023 vs 2024</w:t>
        </w:r>
        <w:r w:rsidR="00C97554">
          <w:rPr>
            <w:noProof/>
            <w:webHidden/>
          </w:rPr>
          <w:tab/>
        </w:r>
        <w:r w:rsidR="00C97554">
          <w:rPr>
            <w:noProof/>
            <w:webHidden/>
          </w:rPr>
          <w:fldChar w:fldCharType="begin"/>
        </w:r>
        <w:r w:rsidR="00C97554">
          <w:rPr>
            <w:noProof/>
            <w:webHidden/>
          </w:rPr>
          <w:instrText xml:space="preserve"> PAGEREF _Toc183783094 \h </w:instrText>
        </w:r>
        <w:r w:rsidR="00C97554">
          <w:rPr>
            <w:noProof/>
            <w:webHidden/>
          </w:rPr>
        </w:r>
        <w:r w:rsidR="00C97554">
          <w:rPr>
            <w:noProof/>
            <w:webHidden/>
          </w:rPr>
          <w:fldChar w:fldCharType="separate"/>
        </w:r>
        <w:r w:rsidR="00C10708">
          <w:rPr>
            <w:noProof/>
            <w:webHidden/>
          </w:rPr>
          <w:t>103</w:t>
        </w:r>
        <w:r w:rsidR="00C97554">
          <w:rPr>
            <w:noProof/>
            <w:webHidden/>
          </w:rPr>
          <w:fldChar w:fldCharType="end"/>
        </w:r>
      </w:hyperlink>
    </w:p>
    <w:p w14:paraId="0D73C642"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5" w:history="1">
        <w:r w:rsidR="00C97554" w:rsidRPr="008451FF">
          <w:rPr>
            <w:rStyle w:val="Hipervnculo"/>
            <w:b/>
            <w:bCs/>
            <w:noProof/>
            <w:lang w:eastAsia="es-CO"/>
          </w:rPr>
          <w:t>Grafico 4:</w:t>
        </w:r>
        <w:r w:rsidR="00C97554">
          <w:rPr>
            <w:noProof/>
            <w:webHidden/>
          </w:rPr>
          <w:tab/>
        </w:r>
        <w:r w:rsidR="00C97554">
          <w:rPr>
            <w:noProof/>
            <w:webHidden/>
          </w:rPr>
          <w:fldChar w:fldCharType="begin"/>
        </w:r>
        <w:r w:rsidR="00C97554">
          <w:rPr>
            <w:noProof/>
            <w:webHidden/>
          </w:rPr>
          <w:instrText xml:space="preserve"> PAGEREF _Toc183783095 \h </w:instrText>
        </w:r>
        <w:r w:rsidR="00C97554">
          <w:rPr>
            <w:noProof/>
            <w:webHidden/>
          </w:rPr>
        </w:r>
        <w:r w:rsidR="00C97554">
          <w:rPr>
            <w:noProof/>
            <w:webHidden/>
          </w:rPr>
          <w:fldChar w:fldCharType="separate"/>
        </w:r>
        <w:r w:rsidR="00C10708">
          <w:rPr>
            <w:noProof/>
            <w:webHidden/>
          </w:rPr>
          <w:t>105</w:t>
        </w:r>
        <w:r w:rsidR="00C97554">
          <w:rPr>
            <w:noProof/>
            <w:webHidden/>
          </w:rPr>
          <w:fldChar w:fldCharType="end"/>
        </w:r>
      </w:hyperlink>
    </w:p>
    <w:p w14:paraId="2D897A5D"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6" w:history="1">
        <w:r w:rsidR="00C97554" w:rsidRPr="008451FF">
          <w:rPr>
            <w:rStyle w:val="Hipervnculo"/>
            <w:noProof/>
            <w:lang w:eastAsia="es-CO"/>
          </w:rPr>
          <w:t>Distribución de Exportaciones de todas las zonas francas de la region caribe 2023 vs 2024</w:t>
        </w:r>
        <w:r w:rsidR="00C97554">
          <w:rPr>
            <w:noProof/>
            <w:webHidden/>
          </w:rPr>
          <w:tab/>
        </w:r>
        <w:r w:rsidR="00C97554">
          <w:rPr>
            <w:noProof/>
            <w:webHidden/>
          </w:rPr>
          <w:fldChar w:fldCharType="begin"/>
        </w:r>
        <w:r w:rsidR="00C97554">
          <w:rPr>
            <w:noProof/>
            <w:webHidden/>
          </w:rPr>
          <w:instrText xml:space="preserve"> PAGEREF _Toc183783096 \h </w:instrText>
        </w:r>
        <w:r w:rsidR="00C97554">
          <w:rPr>
            <w:noProof/>
            <w:webHidden/>
          </w:rPr>
        </w:r>
        <w:r w:rsidR="00C97554">
          <w:rPr>
            <w:noProof/>
            <w:webHidden/>
          </w:rPr>
          <w:fldChar w:fldCharType="separate"/>
        </w:r>
        <w:r w:rsidR="00C10708">
          <w:rPr>
            <w:noProof/>
            <w:webHidden/>
          </w:rPr>
          <w:t>105</w:t>
        </w:r>
        <w:r w:rsidR="00C97554">
          <w:rPr>
            <w:noProof/>
            <w:webHidden/>
          </w:rPr>
          <w:fldChar w:fldCharType="end"/>
        </w:r>
      </w:hyperlink>
    </w:p>
    <w:p w14:paraId="0E2817F5"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7" w:history="1">
        <w:r w:rsidR="00C97554" w:rsidRPr="008451FF">
          <w:rPr>
            <w:rStyle w:val="Hipervnculo"/>
            <w:b/>
            <w:bCs/>
            <w:noProof/>
            <w:lang w:eastAsia="es-ES"/>
          </w:rPr>
          <w:t>Tabla 12:</w:t>
        </w:r>
        <w:r w:rsidR="00C97554">
          <w:rPr>
            <w:noProof/>
            <w:webHidden/>
          </w:rPr>
          <w:tab/>
        </w:r>
        <w:r w:rsidR="00C97554">
          <w:rPr>
            <w:noProof/>
            <w:webHidden/>
          </w:rPr>
          <w:fldChar w:fldCharType="begin"/>
        </w:r>
        <w:r w:rsidR="00C97554">
          <w:rPr>
            <w:noProof/>
            <w:webHidden/>
          </w:rPr>
          <w:instrText xml:space="preserve"> PAGEREF _Toc183783097 \h </w:instrText>
        </w:r>
        <w:r w:rsidR="00C97554">
          <w:rPr>
            <w:noProof/>
            <w:webHidden/>
          </w:rPr>
        </w:r>
        <w:r w:rsidR="00C97554">
          <w:rPr>
            <w:noProof/>
            <w:webHidden/>
          </w:rPr>
          <w:fldChar w:fldCharType="separate"/>
        </w:r>
        <w:r w:rsidR="00C10708">
          <w:rPr>
            <w:noProof/>
            <w:webHidden/>
          </w:rPr>
          <w:t>112</w:t>
        </w:r>
        <w:r w:rsidR="00C97554">
          <w:rPr>
            <w:noProof/>
            <w:webHidden/>
          </w:rPr>
          <w:fldChar w:fldCharType="end"/>
        </w:r>
      </w:hyperlink>
    </w:p>
    <w:p w14:paraId="332BC123"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8" w:history="1">
        <w:r w:rsidR="00C97554" w:rsidRPr="008451FF">
          <w:rPr>
            <w:rStyle w:val="Hipervnculo"/>
            <w:noProof/>
            <w:lang w:eastAsia="es-ES"/>
          </w:rPr>
          <w:t>Evaluación de las condiciones de mercado para la creación de una Zona Franca.</w:t>
        </w:r>
        <w:r w:rsidR="00C97554">
          <w:rPr>
            <w:noProof/>
            <w:webHidden/>
          </w:rPr>
          <w:tab/>
        </w:r>
        <w:r w:rsidR="00C97554">
          <w:rPr>
            <w:noProof/>
            <w:webHidden/>
          </w:rPr>
          <w:fldChar w:fldCharType="begin"/>
        </w:r>
        <w:r w:rsidR="00C97554">
          <w:rPr>
            <w:noProof/>
            <w:webHidden/>
          </w:rPr>
          <w:instrText xml:space="preserve"> PAGEREF _Toc183783098 \h </w:instrText>
        </w:r>
        <w:r w:rsidR="00C97554">
          <w:rPr>
            <w:noProof/>
            <w:webHidden/>
          </w:rPr>
        </w:r>
        <w:r w:rsidR="00C97554">
          <w:rPr>
            <w:noProof/>
            <w:webHidden/>
          </w:rPr>
          <w:fldChar w:fldCharType="separate"/>
        </w:r>
        <w:r w:rsidR="00C10708">
          <w:rPr>
            <w:noProof/>
            <w:webHidden/>
          </w:rPr>
          <w:t>112</w:t>
        </w:r>
        <w:r w:rsidR="00C97554">
          <w:rPr>
            <w:noProof/>
            <w:webHidden/>
          </w:rPr>
          <w:fldChar w:fldCharType="end"/>
        </w:r>
      </w:hyperlink>
    </w:p>
    <w:p w14:paraId="309D18DC"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099" w:history="1">
        <w:r w:rsidR="00C97554" w:rsidRPr="008451FF">
          <w:rPr>
            <w:rStyle w:val="Hipervnculo"/>
            <w:b/>
            <w:bCs/>
            <w:noProof/>
            <w:lang w:eastAsia="es-ES"/>
          </w:rPr>
          <w:t>Tabla 13:</w:t>
        </w:r>
        <w:r w:rsidR="00C97554">
          <w:rPr>
            <w:noProof/>
            <w:webHidden/>
          </w:rPr>
          <w:tab/>
        </w:r>
        <w:r w:rsidR="00C97554">
          <w:rPr>
            <w:noProof/>
            <w:webHidden/>
          </w:rPr>
          <w:fldChar w:fldCharType="begin"/>
        </w:r>
        <w:r w:rsidR="00C97554">
          <w:rPr>
            <w:noProof/>
            <w:webHidden/>
          </w:rPr>
          <w:instrText xml:space="preserve"> PAGEREF _Toc183783099 \h </w:instrText>
        </w:r>
        <w:r w:rsidR="00C97554">
          <w:rPr>
            <w:noProof/>
            <w:webHidden/>
          </w:rPr>
        </w:r>
        <w:r w:rsidR="00C97554">
          <w:rPr>
            <w:noProof/>
            <w:webHidden/>
          </w:rPr>
          <w:fldChar w:fldCharType="separate"/>
        </w:r>
        <w:r w:rsidR="00C10708">
          <w:rPr>
            <w:noProof/>
            <w:webHidden/>
          </w:rPr>
          <w:t>132</w:t>
        </w:r>
        <w:r w:rsidR="00C97554">
          <w:rPr>
            <w:noProof/>
            <w:webHidden/>
          </w:rPr>
          <w:fldChar w:fldCharType="end"/>
        </w:r>
      </w:hyperlink>
    </w:p>
    <w:p w14:paraId="15CF6BCB"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100" w:history="1">
        <w:r w:rsidR="00C97554" w:rsidRPr="008451FF">
          <w:rPr>
            <w:rStyle w:val="Hipervnculo"/>
            <w:noProof/>
            <w:lang w:eastAsia="es-ES"/>
          </w:rPr>
          <w:t>valor agregado por actividades económicas en el departamento</w:t>
        </w:r>
        <w:r w:rsidR="00C97554">
          <w:rPr>
            <w:noProof/>
            <w:webHidden/>
          </w:rPr>
          <w:tab/>
        </w:r>
        <w:r w:rsidR="00C97554">
          <w:rPr>
            <w:noProof/>
            <w:webHidden/>
          </w:rPr>
          <w:fldChar w:fldCharType="begin"/>
        </w:r>
        <w:r w:rsidR="00C97554">
          <w:rPr>
            <w:noProof/>
            <w:webHidden/>
          </w:rPr>
          <w:instrText xml:space="preserve"> PAGEREF _Toc183783100 \h </w:instrText>
        </w:r>
        <w:r w:rsidR="00C97554">
          <w:rPr>
            <w:noProof/>
            <w:webHidden/>
          </w:rPr>
        </w:r>
        <w:r w:rsidR="00C97554">
          <w:rPr>
            <w:noProof/>
            <w:webHidden/>
          </w:rPr>
          <w:fldChar w:fldCharType="separate"/>
        </w:r>
        <w:r w:rsidR="00C10708">
          <w:rPr>
            <w:noProof/>
            <w:webHidden/>
          </w:rPr>
          <w:t>132</w:t>
        </w:r>
        <w:r w:rsidR="00C97554">
          <w:rPr>
            <w:noProof/>
            <w:webHidden/>
          </w:rPr>
          <w:fldChar w:fldCharType="end"/>
        </w:r>
      </w:hyperlink>
    </w:p>
    <w:p w14:paraId="5167033E"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101" w:history="1">
        <w:r w:rsidR="00C97554" w:rsidRPr="008451FF">
          <w:rPr>
            <w:rStyle w:val="Hipervnculo"/>
            <w:b/>
            <w:bCs/>
            <w:noProof/>
            <w:lang w:eastAsia="es-ES"/>
          </w:rPr>
          <w:t>Tabla 14:</w:t>
        </w:r>
        <w:r w:rsidR="00C97554">
          <w:rPr>
            <w:noProof/>
            <w:webHidden/>
          </w:rPr>
          <w:tab/>
        </w:r>
        <w:r w:rsidR="00C97554">
          <w:rPr>
            <w:noProof/>
            <w:webHidden/>
          </w:rPr>
          <w:fldChar w:fldCharType="begin"/>
        </w:r>
        <w:r w:rsidR="00C97554">
          <w:rPr>
            <w:noProof/>
            <w:webHidden/>
          </w:rPr>
          <w:instrText xml:space="preserve"> PAGEREF _Toc183783101 \h </w:instrText>
        </w:r>
        <w:r w:rsidR="00C97554">
          <w:rPr>
            <w:noProof/>
            <w:webHidden/>
          </w:rPr>
        </w:r>
        <w:r w:rsidR="00C97554">
          <w:rPr>
            <w:noProof/>
            <w:webHidden/>
          </w:rPr>
          <w:fldChar w:fldCharType="separate"/>
        </w:r>
        <w:r w:rsidR="00C10708">
          <w:rPr>
            <w:noProof/>
            <w:webHidden/>
          </w:rPr>
          <w:t>134</w:t>
        </w:r>
        <w:r w:rsidR="00C97554">
          <w:rPr>
            <w:noProof/>
            <w:webHidden/>
          </w:rPr>
          <w:fldChar w:fldCharType="end"/>
        </w:r>
      </w:hyperlink>
    </w:p>
    <w:p w14:paraId="77F439B6"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102" w:history="1">
        <w:r w:rsidR="00C97554" w:rsidRPr="008451FF">
          <w:rPr>
            <w:rStyle w:val="Hipervnculo"/>
            <w:noProof/>
            <w:lang w:eastAsia="es-ES"/>
          </w:rPr>
          <w:t>Porcentaje del Valor Agregado por Actividades Económicas</w:t>
        </w:r>
        <w:r w:rsidR="00C97554">
          <w:rPr>
            <w:noProof/>
            <w:webHidden/>
          </w:rPr>
          <w:tab/>
        </w:r>
        <w:r w:rsidR="00C97554">
          <w:rPr>
            <w:noProof/>
            <w:webHidden/>
          </w:rPr>
          <w:fldChar w:fldCharType="begin"/>
        </w:r>
        <w:r w:rsidR="00C97554">
          <w:rPr>
            <w:noProof/>
            <w:webHidden/>
          </w:rPr>
          <w:instrText xml:space="preserve"> PAGEREF _Toc183783102 \h </w:instrText>
        </w:r>
        <w:r w:rsidR="00C97554">
          <w:rPr>
            <w:noProof/>
            <w:webHidden/>
          </w:rPr>
        </w:r>
        <w:r w:rsidR="00C97554">
          <w:rPr>
            <w:noProof/>
            <w:webHidden/>
          </w:rPr>
          <w:fldChar w:fldCharType="separate"/>
        </w:r>
        <w:r w:rsidR="00C10708">
          <w:rPr>
            <w:noProof/>
            <w:webHidden/>
          </w:rPr>
          <w:t>134</w:t>
        </w:r>
        <w:r w:rsidR="00C97554">
          <w:rPr>
            <w:noProof/>
            <w:webHidden/>
          </w:rPr>
          <w:fldChar w:fldCharType="end"/>
        </w:r>
      </w:hyperlink>
    </w:p>
    <w:p w14:paraId="6F56F34D"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103" w:history="1">
        <w:r w:rsidR="00C97554" w:rsidRPr="008451FF">
          <w:rPr>
            <w:rStyle w:val="Hipervnculo"/>
            <w:b/>
            <w:bCs/>
            <w:noProof/>
          </w:rPr>
          <w:t>Tabla 15:</w:t>
        </w:r>
        <w:r w:rsidR="00C97554">
          <w:rPr>
            <w:noProof/>
            <w:webHidden/>
          </w:rPr>
          <w:tab/>
        </w:r>
        <w:r w:rsidR="00C97554">
          <w:rPr>
            <w:noProof/>
            <w:webHidden/>
          </w:rPr>
          <w:fldChar w:fldCharType="begin"/>
        </w:r>
        <w:r w:rsidR="00C97554">
          <w:rPr>
            <w:noProof/>
            <w:webHidden/>
          </w:rPr>
          <w:instrText xml:space="preserve"> PAGEREF _Toc183783103 \h </w:instrText>
        </w:r>
        <w:r w:rsidR="00C97554">
          <w:rPr>
            <w:noProof/>
            <w:webHidden/>
          </w:rPr>
        </w:r>
        <w:r w:rsidR="00C97554">
          <w:rPr>
            <w:noProof/>
            <w:webHidden/>
          </w:rPr>
          <w:fldChar w:fldCharType="separate"/>
        </w:r>
        <w:r w:rsidR="00C10708">
          <w:rPr>
            <w:noProof/>
            <w:webHidden/>
          </w:rPr>
          <w:t>169</w:t>
        </w:r>
        <w:r w:rsidR="00C97554">
          <w:rPr>
            <w:noProof/>
            <w:webHidden/>
          </w:rPr>
          <w:fldChar w:fldCharType="end"/>
        </w:r>
      </w:hyperlink>
    </w:p>
    <w:p w14:paraId="75C0B84C"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104" w:history="1">
        <w:r w:rsidR="00C97554" w:rsidRPr="008451FF">
          <w:rPr>
            <w:rStyle w:val="Hipervnculo"/>
            <w:noProof/>
          </w:rPr>
          <w:t>Matriz de factores internos</w:t>
        </w:r>
        <w:r w:rsidR="00C97554">
          <w:rPr>
            <w:noProof/>
            <w:webHidden/>
          </w:rPr>
          <w:tab/>
        </w:r>
        <w:r w:rsidR="00C97554">
          <w:rPr>
            <w:noProof/>
            <w:webHidden/>
          </w:rPr>
          <w:fldChar w:fldCharType="begin"/>
        </w:r>
        <w:r w:rsidR="00C97554">
          <w:rPr>
            <w:noProof/>
            <w:webHidden/>
          </w:rPr>
          <w:instrText xml:space="preserve"> PAGEREF _Toc183783104 \h </w:instrText>
        </w:r>
        <w:r w:rsidR="00C97554">
          <w:rPr>
            <w:noProof/>
            <w:webHidden/>
          </w:rPr>
        </w:r>
        <w:r w:rsidR="00C97554">
          <w:rPr>
            <w:noProof/>
            <w:webHidden/>
          </w:rPr>
          <w:fldChar w:fldCharType="separate"/>
        </w:r>
        <w:r w:rsidR="00C10708">
          <w:rPr>
            <w:noProof/>
            <w:webHidden/>
          </w:rPr>
          <w:t>169</w:t>
        </w:r>
        <w:r w:rsidR="00C97554">
          <w:rPr>
            <w:noProof/>
            <w:webHidden/>
          </w:rPr>
          <w:fldChar w:fldCharType="end"/>
        </w:r>
      </w:hyperlink>
    </w:p>
    <w:p w14:paraId="7D6B2807"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105" w:history="1">
        <w:r w:rsidR="00C97554" w:rsidRPr="008451FF">
          <w:rPr>
            <w:rStyle w:val="Hipervnculo"/>
            <w:b/>
            <w:bCs/>
            <w:noProof/>
          </w:rPr>
          <w:t>Tabla 16:</w:t>
        </w:r>
        <w:r w:rsidR="00C97554">
          <w:rPr>
            <w:noProof/>
            <w:webHidden/>
          </w:rPr>
          <w:tab/>
        </w:r>
        <w:r w:rsidR="00C97554">
          <w:rPr>
            <w:noProof/>
            <w:webHidden/>
          </w:rPr>
          <w:fldChar w:fldCharType="begin"/>
        </w:r>
        <w:r w:rsidR="00C97554">
          <w:rPr>
            <w:noProof/>
            <w:webHidden/>
          </w:rPr>
          <w:instrText xml:space="preserve"> PAGEREF _Toc183783105 \h </w:instrText>
        </w:r>
        <w:r w:rsidR="00C97554">
          <w:rPr>
            <w:noProof/>
            <w:webHidden/>
          </w:rPr>
        </w:r>
        <w:r w:rsidR="00C97554">
          <w:rPr>
            <w:noProof/>
            <w:webHidden/>
          </w:rPr>
          <w:fldChar w:fldCharType="separate"/>
        </w:r>
        <w:r w:rsidR="00C10708">
          <w:rPr>
            <w:noProof/>
            <w:webHidden/>
          </w:rPr>
          <w:t>170</w:t>
        </w:r>
        <w:r w:rsidR="00C97554">
          <w:rPr>
            <w:noProof/>
            <w:webHidden/>
          </w:rPr>
          <w:fldChar w:fldCharType="end"/>
        </w:r>
      </w:hyperlink>
    </w:p>
    <w:p w14:paraId="12EB8E74"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106" w:history="1">
        <w:r w:rsidR="00C97554" w:rsidRPr="008451FF">
          <w:rPr>
            <w:rStyle w:val="Hipervnculo"/>
            <w:noProof/>
          </w:rPr>
          <w:t>Matriz de factores externos</w:t>
        </w:r>
        <w:r w:rsidR="00C97554">
          <w:rPr>
            <w:noProof/>
            <w:webHidden/>
          </w:rPr>
          <w:tab/>
        </w:r>
        <w:r w:rsidR="00C97554">
          <w:rPr>
            <w:noProof/>
            <w:webHidden/>
          </w:rPr>
          <w:fldChar w:fldCharType="begin"/>
        </w:r>
        <w:r w:rsidR="00C97554">
          <w:rPr>
            <w:noProof/>
            <w:webHidden/>
          </w:rPr>
          <w:instrText xml:space="preserve"> PAGEREF _Toc183783106 \h </w:instrText>
        </w:r>
        <w:r w:rsidR="00C97554">
          <w:rPr>
            <w:noProof/>
            <w:webHidden/>
          </w:rPr>
        </w:r>
        <w:r w:rsidR="00C97554">
          <w:rPr>
            <w:noProof/>
            <w:webHidden/>
          </w:rPr>
          <w:fldChar w:fldCharType="separate"/>
        </w:r>
        <w:r w:rsidR="00C10708">
          <w:rPr>
            <w:noProof/>
            <w:webHidden/>
          </w:rPr>
          <w:t>170</w:t>
        </w:r>
        <w:r w:rsidR="00C97554">
          <w:rPr>
            <w:noProof/>
            <w:webHidden/>
          </w:rPr>
          <w:fldChar w:fldCharType="end"/>
        </w:r>
      </w:hyperlink>
    </w:p>
    <w:p w14:paraId="71C4BFFF"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107" w:history="1">
        <w:r w:rsidR="00C97554" w:rsidRPr="008451FF">
          <w:rPr>
            <w:rStyle w:val="Hipervnculo"/>
            <w:b/>
            <w:bCs/>
            <w:noProof/>
          </w:rPr>
          <w:t>Tabla 17:</w:t>
        </w:r>
        <w:r w:rsidR="00C97554">
          <w:rPr>
            <w:noProof/>
            <w:webHidden/>
          </w:rPr>
          <w:tab/>
        </w:r>
        <w:r w:rsidR="00C97554">
          <w:rPr>
            <w:noProof/>
            <w:webHidden/>
          </w:rPr>
          <w:fldChar w:fldCharType="begin"/>
        </w:r>
        <w:r w:rsidR="00C97554">
          <w:rPr>
            <w:noProof/>
            <w:webHidden/>
          </w:rPr>
          <w:instrText xml:space="preserve"> PAGEREF _Toc183783107 \h </w:instrText>
        </w:r>
        <w:r w:rsidR="00C97554">
          <w:rPr>
            <w:noProof/>
            <w:webHidden/>
          </w:rPr>
        </w:r>
        <w:r w:rsidR="00C97554">
          <w:rPr>
            <w:noProof/>
            <w:webHidden/>
          </w:rPr>
          <w:fldChar w:fldCharType="separate"/>
        </w:r>
        <w:r w:rsidR="00C10708">
          <w:rPr>
            <w:noProof/>
            <w:webHidden/>
          </w:rPr>
          <w:t>171</w:t>
        </w:r>
        <w:r w:rsidR="00C97554">
          <w:rPr>
            <w:noProof/>
            <w:webHidden/>
          </w:rPr>
          <w:fldChar w:fldCharType="end"/>
        </w:r>
      </w:hyperlink>
    </w:p>
    <w:p w14:paraId="24067AE5" w14:textId="77777777" w:rsidR="00C97554" w:rsidRDefault="00E23E2B">
      <w:pPr>
        <w:pStyle w:val="Tabladeilustraciones"/>
        <w:tabs>
          <w:tab w:val="right" w:leader="dot" w:pos="9394"/>
        </w:tabs>
        <w:rPr>
          <w:rFonts w:asciiTheme="minorHAnsi" w:eastAsiaTheme="minorEastAsia" w:hAnsiTheme="minorHAnsi"/>
          <w:noProof/>
          <w:kern w:val="0"/>
          <w:sz w:val="22"/>
          <w:lang w:eastAsia="es-CO"/>
          <w14:ligatures w14:val="none"/>
        </w:rPr>
      </w:pPr>
      <w:hyperlink w:anchor="_Toc183783108" w:history="1">
        <w:r w:rsidR="00C97554" w:rsidRPr="008451FF">
          <w:rPr>
            <w:rStyle w:val="Hipervnculo"/>
            <w:noProof/>
          </w:rPr>
          <w:t>Matriz de evaluación de factores</w:t>
        </w:r>
        <w:r w:rsidR="00C97554">
          <w:rPr>
            <w:noProof/>
            <w:webHidden/>
          </w:rPr>
          <w:tab/>
        </w:r>
        <w:r w:rsidR="00C97554">
          <w:rPr>
            <w:noProof/>
            <w:webHidden/>
          </w:rPr>
          <w:fldChar w:fldCharType="begin"/>
        </w:r>
        <w:r w:rsidR="00C97554">
          <w:rPr>
            <w:noProof/>
            <w:webHidden/>
          </w:rPr>
          <w:instrText xml:space="preserve"> PAGEREF _Toc183783108 \h </w:instrText>
        </w:r>
        <w:r w:rsidR="00C97554">
          <w:rPr>
            <w:noProof/>
            <w:webHidden/>
          </w:rPr>
        </w:r>
        <w:r w:rsidR="00C97554">
          <w:rPr>
            <w:noProof/>
            <w:webHidden/>
          </w:rPr>
          <w:fldChar w:fldCharType="separate"/>
        </w:r>
        <w:r w:rsidR="00C10708">
          <w:rPr>
            <w:noProof/>
            <w:webHidden/>
          </w:rPr>
          <w:t>171</w:t>
        </w:r>
        <w:r w:rsidR="00C97554">
          <w:rPr>
            <w:noProof/>
            <w:webHidden/>
          </w:rPr>
          <w:fldChar w:fldCharType="end"/>
        </w:r>
      </w:hyperlink>
    </w:p>
    <w:p w14:paraId="65A0B2AD" w14:textId="099E41D4" w:rsidR="00B214AA" w:rsidRDefault="003F7549" w:rsidP="0015136C">
      <w:pPr>
        <w:tabs>
          <w:tab w:val="left" w:pos="3795"/>
        </w:tabs>
        <w:spacing w:line="480" w:lineRule="auto"/>
        <w:ind w:firstLine="0"/>
        <w:rPr>
          <w:rFonts w:cs="Times New Roman"/>
          <w:b/>
          <w:bCs/>
        </w:rPr>
      </w:pPr>
      <w:r>
        <w:rPr>
          <w:rFonts w:cs="Times New Roman"/>
          <w:b/>
          <w:bCs/>
        </w:rPr>
        <w:fldChar w:fldCharType="end"/>
      </w:r>
    </w:p>
    <w:p w14:paraId="175015B8" w14:textId="044707AC" w:rsidR="003F7549" w:rsidRDefault="003F7549" w:rsidP="0015136C">
      <w:pPr>
        <w:tabs>
          <w:tab w:val="left" w:pos="3795"/>
        </w:tabs>
        <w:spacing w:line="480" w:lineRule="auto"/>
        <w:ind w:firstLine="0"/>
        <w:rPr>
          <w:rFonts w:cs="Times New Roman"/>
          <w:b/>
          <w:bCs/>
        </w:rPr>
      </w:pPr>
    </w:p>
    <w:p w14:paraId="33FE12AC" w14:textId="4852D983" w:rsidR="003F7549" w:rsidRDefault="003F7549" w:rsidP="0015136C">
      <w:pPr>
        <w:tabs>
          <w:tab w:val="left" w:pos="3795"/>
        </w:tabs>
        <w:spacing w:line="480" w:lineRule="auto"/>
        <w:ind w:firstLine="0"/>
        <w:rPr>
          <w:rFonts w:cs="Times New Roman"/>
          <w:b/>
          <w:bCs/>
        </w:rPr>
      </w:pPr>
    </w:p>
    <w:p w14:paraId="2D6F4A10" w14:textId="0A831C84" w:rsidR="003F7549" w:rsidRDefault="003F7549" w:rsidP="0015136C">
      <w:pPr>
        <w:tabs>
          <w:tab w:val="left" w:pos="3795"/>
        </w:tabs>
        <w:spacing w:line="480" w:lineRule="auto"/>
        <w:ind w:firstLine="0"/>
        <w:rPr>
          <w:rFonts w:cs="Times New Roman"/>
          <w:b/>
          <w:bCs/>
        </w:rPr>
      </w:pPr>
    </w:p>
    <w:p w14:paraId="62E9B823" w14:textId="56AF4DF7" w:rsidR="003F7549" w:rsidRDefault="003F7549" w:rsidP="0015136C">
      <w:pPr>
        <w:tabs>
          <w:tab w:val="left" w:pos="3795"/>
        </w:tabs>
        <w:spacing w:line="480" w:lineRule="auto"/>
        <w:ind w:firstLine="0"/>
        <w:rPr>
          <w:rFonts w:cs="Times New Roman"/>
          <w:b/>
          <w:bCs/>
        </w:rPr>
      </w:pPr>
    </w:p>
    <w:p w14:paraId="1E4EDCCA" w14:textId="496D7D48" w:rsidR="003F7549" w:rsidRDefault="003F7549" w:rsidP="0015136C">
      <w:pPr>
        <w:tabs>
          <w:tab w:val="left" w:pos="3795"/>
        </w:tabs>
        <w:spacing w:line="480" w:lineRule="auto"/>
        <w:ind w:firstLine="0"/>
        <w:rPr>
          <w:rFonts w:cs="Times New Roman"/>
          <w:b/>
          <w:bCs/>
        </w:rPr>
      </w:pPr>
    </w:p>
    <w:p w14:paraId="086C0D86" w14:textId="2BB3E600" w:rsidR="003F7549" w:rsidRDefault="003F7549" w:rsidP="0015136C">
      <w:pPr>
        <w:tabs>
          <w:tab w:val="left" w:pos="3795"/>
        </w:tabs>
        <w:spacing w:line="480" w:lineRule="auto"/>
        <w:ind w:firstLine="0"/>
        <w:rPr>
          <w:rFonts w:cs="Times New Roman"/>
          <w:b/>
          <w:bCs/>
        </w:rPr>
      </w:pPr>
    </w:p>
    <w:p w14:paraId="2F8B6777" w14:textId="46BDA9C9" w:rsidR="003F7549" w:rsidRDefault="003F7549" w:rsidP="0015136C">
      <w:pPr>
        <w:tabs>
          <w:tab w:val="left" w:pos="3795"/>
        </w:tabs>
        <w:spacing w:line="480" w:lineRule="auto"/>
        <w:ind w:firstLine="0"/>
        <w:rPr>
          <w:rFonts w:cs="Times New Roman"/>
          <w:b/>
          <w:bCs/>
        </w:rPr>
      </w:pPr>
    </w:p>
    <w:p w14:paraId="75276161" w14:textId="289F8A4D" w:rsidR="003F7549" w:rsidRDefault="003F7549" w:rsidP="0015136C">
      <w:pPr>
        <w:tabs>
          <w:tab w:val="left" w:pos="3795"/>
        </w:tabs>
        <w:spacing w:line="480" w:lineRule="auto"/>
        <w:ind w:firstLine="0"/>
        <w:rPr>
          <w:rFonts w:cs="Times New Roman"/>
          <w:b/>
          <w:bCs/>
        </w:rPr>
      </w:pPr>
    </w:p>
    <w:p w14:paraId="0B897E9F" w14:textId="4E394532" w:rsidR="003F7549" w:rsidRDefault="003F7549" w:rsidP="0015136C">
      <w:pPr>
        <w:tabs>
          <w:tab w:val="left" w:pos="3795"/>
        </w:tabs>
        <w:spacing w:line="480" w:lineRule="auto"/>
        <w:ind w:firstLine="0"/>
        <w:rPr>
          <w:rFonts w:cs="Times New Roman"/>
          <w:b/>
          <w:bCs/>
        </w:rPr>
      </w:pPr>
    </w:p>
    <w:p w14:paraId="06207A17" w14:textId="4EA27EDA" w:rsidR="003F7549" w:rsidRDefault="003F7549" w:rsidP="0015136C">
      <w:pPr>
        <w:tabs>
          <w:tab w:val="left" w:pos="3795"/>
        </w:tabs>
        <w:spacing w:line="480" w:lineRule="auto"/>
        <w:ind w:firstLine="0"/>
        <w:rPr>
          <w:rFonts w:cs="Times New Roman"/>
          <w:b/>
          <w:bCs/>
        </w:rPr>
      </w:pPr>
    </w:p>
    <w:p w14:paraId="4AE93FA5" w14:textId="5E761C07" w:rsidR="003F7549" w:rsidRDefault="003F7549" w:rsidP="0015136C">
      <w:pPr>
        <w:tabs>
          <w:tab w:val="left" w:pos="3795"/>
        </w:tabs>
        <w:spacing w:line="480" w:lineRule="auto"/>
        <w:ind w:firstLine="0"/>
        <w:rPr>
          <w:rFonts w:cs="Times New Roman"/>
          <w:b/>
          <w:bCs/>
        </w:rPr>
      </w:pPr>
    </w:p>
    <w:p w14:paraId="4EB7C89C" w14:textId="77777777" w:rsidR="003F7549" w:rsidRDefault="003F7549" w:rsidP="0015136C">
      <w:pPr>
        <w:tabs>
          <w:tab w:val="left" w:pos="3795"/>
        </w:tabs>
        <w:spacing w:line="480" w:lineRule="auto"/>
        <w:ind w:firstLine="0"/>
        <w:rPr>
          <w:rFonts w:cs="Times New Roman"/>
          <w:b/>
          <w:bCs/>
        </w:rPr>
      </w:pPr>
    </w:p>
    <w:p w14:paraId="27A57457" w14:textId="77777777" w:rsidR="00C97554" w:rsidRDefault="00C97554" w:rsidP="0015136C">
      <w:pPr>
        <w:tabs>
          <w:tab w:val="left" w:pos="3795"/>
        </w:tabs>
        <w:spacing w:line="480" w:lineRule="auto"/>
        <w:ind w:firstLine="0"/>
        <w:rPr>
          <w:rFonts w:cs="Times New Roman"/>
          <w:b/>
          <w:bCs/>
        </w:rPr>
      </w:pPr>
    </w:p>
    <w:p w14:paraId="551A953C" w14:textId="77777777" w:rsidR="00C97554" w:rsidRDefault="00C97554" w:rsidP="0015136C">
      <w:pPr>
        <w:tabs>
          <w:tab w:val="left" w:pos="3795"/>
        </w:tabs>
        <w:spacing w:line="480" w:lineRule="auto"/>
        <w:ind w:firstLine="0"/>
        <w:rPr>
          <w:rFonts w:cs="Times New Roman"/>
          <w:b/>
          <w:bCs/>
        </w:rPr>
      </w:pPr>
    </w:p>
    <w:p w14:paraId="57709DA4" w14:textId="4DC92942" w:rsidR="00B214AA" w:rsidRDefault="00B214AA" w:rsidP="0015136C">
      <w:pPr>
        <w:pStyle w:val="Ttulo1"/>
        <w:numPr>
          <w:ilvl w:val="0"/>
          <w:numId w:val="0"/>
        </w:numPr>
        <w:spacing w:line="480" w:lineRule="auto"/>
      </w:pPr>
      <w:bookmarkStart w:id="1" w:name="_Toc183783007"/>
      <w:r>
        <w:t>RESUMEN</w:t>
      </w:r>
      <w:bookmarkEnd w:id="1"/>
      <w:r>
        <w:t xml:space="preserve"> </w:t>
      </w:r>
    </w:p>
    <w:p w14:paraId="06B80B4D" w14:textId="255DA91E" w:rsidR="00B214AA" w:rsidRPr="0015136C" w:rsidRDefault="00F07B73" w:rsidP="0015136C">
      <w:pPr>
        <w:spacing w:line="480" w:lineRule="auto"/>
      </w:pPr>
      <w:r w:rsidRPr="00F07B73">
        <w:t>Este trabajo tiene como objetivo evaluar las condiciones fundamentales para la creación de una Zona Franca en Aguachica, municipio del departamento del Cesar, Colombia. Las Zonas Francas (ZF) son áreas geográficas con régimen especial que ofrecen beneficios aduaneros y tributarios, promoviendo la inversión extranjera directa y el desarrollo económico. La investigación examina la normativa tributaria, aduanera y de comercio exterior vigente en Colombia, y su aplicabilidad en Aguachica, así como las características socioeconómicas y geográficas de la región. A través de un enfoque metodológico mixto, el estudio identifica los factores internos y externos que podrían facilitar la creación de una ZF en Aguachica, incluyendo infraestructura, capital humano y entorno económico. Se analiza también la experiencia de otras ZF en la región Caribe colombiana, evaluando su impacto en el comercio exterior y la competitividad. Se concluye que la creación de una ZF en Aguachica tiene un potencial significativo para dinamizar la economía local, generar empleo, y atraer nuevas inversiones, especialmente si se aplican adecuadamente los incentivos fiscales y aduaneros previstos en la normativa colombiana. El estudio sugiere además la importancia de un monitoreo continuo de los indicadores económicos para ajustar las estrategias y asegurar el éxito del proyecto.</w:t>
      </w:r>
    </w:p>
    <w:p w14:paraId="61A50392" w14:textId="51F408CB" w:rsidR="00B214AA" w:rsidRPr="00F07B73" w:rsidRDefault="00B214AA" w:rsidP="0015136C">
      <w:pPr>
        <w:tabs>
          <w:tab w:val="left" w:pos="3795"/>
        </w:tabs>
        <w:spacing w:line="480" w:lineRule="auto"/>
        <w:rPr>
          <w:rFonts w:cs="Times New Roman"/>
          <w:bCs/>
        </w:rPr>
      </w:pPr>
      <w:r>
        <w:rPr>
          <w:rFonts w:cs="Times New Roman"/>
          <w:b/>
          <w:bCs/>
        </w:rPr>
        <w:t>PALABRAS CLAVES</w:t>
      </w:r>
      <w:r w:rsidR="00F07B73">
        <w:rPr>
          <w:rFonts w:cs="Times New Roman"/>
          <w:b/>
          <w:bCs/>
        </w:rPr>
        <w:t xml:space="preserve">: </w:t>
      </w:r>
      <w:r w:rsidR="00F07B73" w:rsidRPr="00F07B73">
        <w:rPr>
          <w:rFonts w:cs="Times New Roman"/>
          <w:bCs/>
        </w:rPr>
        <w:t>Zona Franca</w:t>
      </w:r>
      <w:r w:rsidR="00F07B73">
        <w:rPr>
          <w:rFonts w:cs="Times New Roman"/>
          <w:bCs/>
        </w:rPr>
        <w:t xml:space="preserve">, </w:t>
      </w:r>
      <w:r w:rsidR="00F07B73" w:rsidRPr="00F07B73">
        <w:rPr>
          <w:rFonts w:cs="Times New Roman"/>
          <w:bCs/>
        </w:rPr>
        <w:t>Aguachica</w:t>
      </w:r>
      <w:r w:rsidR="00F07B73">
        <w:rPr>
          <w:rFonts w:cs="Times New Roman"/>
          <w:bCs/>
        </w:rPr>
        <w:t xml:space="preserve">, </w:t>
      </w:r>
      <w:r w:rsidR="00F07B73" w:rsidRPr="00F07B73">
        <w:rPr>
          <w:rFonts w:cs="Times New Roman"/>
          <w:bCs/>
        </w:rPr>
        <w:t>Inversión extranjera</w:t>
      </w:r>
      <w:r w:rsidR="00F07B73">
        <w:rPr>
          <w:rFonts w:cs="Times New Roman"/>
          <w:bCs/>
        </w:rPr>
        <w:t xml:space="preserve">, </w:t>
      </w:r>
      <w:r w:rsidR="00F07B73" w:rsidRPr="00F07B73">
        <w:rPr>
          <w:rFonts w:cs="Times New Roman"/>
          <w:bCs/>
        </w:rPr>
        <w:t>Desarrollo regional</w:t>
      </w:r>
      <w:r w:rsidR="00F07B73">
        <w:rPr>
          <w:rFonts w:cs="Times New Roman"/>
          <w:bCs/>
        </w:rPr>
        <w:t xml:space="preserve">, </w:t>
      </w:r>
      <w:r w:rsidR="00F07B73" w:rsidRPr="00F07B73">
        <w:rPr>
          <w:rFonts w:cs="Times New Roman"/>
          <w:bCs/>
        </w:rPr>
        <w:t>Competitividad</w:t>
      </w:r>
    </w:p>
    <w:p w14:paraId="2D33D8C0" w14:textId="77777777" w:rsidR="00B214AA" w:rsidRDefault="00B214AA" w:rsidP="0015136C">
      <w:pPr>
        <w:tabs>
          <w:tab w:val="left" w:pos="3795"/>
        </w:tabs>
        <w:spacing w:line="480" w:lineRule="auto"/>
        <w:jc w:val="center"/>
        <w:rPr>
          <w:rFonts w:cs="Times New Roman"/>
          <w:b/>
          <w:bCs/>
        </w:rPr>
      </w:pPr>
    </w:p>
    <w:p w14:paraId="1109248D" w14:textId="77777777" w:rsidR="00B214AA" w:rsidRDefault="00B214AA" w:rsidP="0015136C">
      <w:pPr>
        <w:tabs>
          <w:tab w:val="left" w:pos="3795"/>
        </w:tabs>
        <w:spacing w:line="480" w:lineRule="auto"/>
        <w:jc w:val="center"/>
        <w:rPr>
          <w:rFonts w:cs="Times New Roman"/>
          <w:b/>
          <w:bCs/>
        </w:rPr>
      </w:pPr>
    </w:p>
    <w:p w14:paraId="113D4DBD" w14:textId="04D42691" w:rsidR="0015136C" w:rsidRDefault="0015136C" w:rsidP="0015136C">
      <w:pPr>
        <w:tabs>
          <w:tab w:val="left" w:pos="3795"/>
        </w:tabs>
        <w:spacing w:line="480" w:lineRule="auto"/>
        <w:ind w:firstLine="0"/>
        <w:rPr>
          <w:rFonts w:cs="Times New Roman"/>
          <w:b/>
          <w:bCs/>
        </w:rPr>
      </w:pPr>
    </w:p>
    <w:p w14:paraId="59D84D9C" w14:textId="77777777" w:rsidR="0015136C" w:rsidRDefault="0015136C" w:rsidP="0015136C">
      <w:pPr>
        <w:tabs>
          <w:tab w:val="left" w:pos="3795"/>
        </w:tabs>
        <w:spacing w:line="480" w:lineRule="auto"/>
        <w:ind w:firstLine="0"/>
        <w:rPr>
          <w:rFonts w:cs="Times New Roman"/>
          <w:b/>
          <w:bCs/>
        </w:rPr>
      </w:pPr>
    </w:p>
    <w:p w14:paraId="76365CBB" w14:textId="0B072A23" w:rsidR="00B214AA" w:rsidRPr="0015136C" w:rsidRDefault="00B214AA" w:rsidP="0015136C">
      <w:pPr>
        <w:tabs>
          <w:tab w:val="left" w:pos="3795"/>
        </w:tabs>
        <w:spacing w:line="480" w:lineRule="auto"/>
        <w:jc w:val="center"/>
        <w:rPr>
          <w:rFonts w:cs="Times New Roman"/>
          <w:b/>
          <w:bCs/>
          <w:lang w:val="en-US"/>
        </w:rPr>
      </w:pPr>
      <w:r w:rsidRPr="0015136C">
        <w:rPr>
          <w:rFonts w:cs="Times New Roman"/>
          <w:b/>
          <w:bCs/>
          <w:lang w:val="en-US"/>
        </w:rPr>
        <w:t>ABSTRACT</w:t>
      </w:r>
    </w:p>
    <w:p w14:paraId="1953F2B7" w14:textId="5A2637B5" w:rsidR="00B214AA" w:rsidRPr="0015136C" w:rsidRDefault="00F07B73" w:rsidP="0015136C">
      <w:pPr>
        <w:spacing w:line="480" w:lineRule="auto"/>
        <w:rPr>
          <w:lang w:val="en-US"/>
        </w:rPr>
      </w:pPr>
      <w:r w:rsidRPr="0015136C">
        <w:rPr>
          <w:lang w:val="en-US"/>
        </w:rPr>
        <w:t>This paper aims to evaluate the fundamental conditions for the creation of a Free Trade Zone (FTZ) in Aguachica, a municipality in the department of Cesar, Colombia. Free Trade Zones (FTZs) are geographic areas with special regimes that offer customs and tax benefits, promoting foreign direct investment and economic development. The research examines the current tax, customs, and foreign trade regulations in Colombia and their applicability in Aguachica, as well as the socio-economic and geographical characteristics of the region. Through a mixed-method approach, the study identifies the internal and external factors that could facilitate the creation of an FTZ in Aguachica, including infrastructure, human capital, and the economic environment. The experience of other FTZs in the Colombian Caribbean region is also analyzed, assessing their impact on foreign trade and competitiveness. The study concludes that the creation of an FTZ in Aguachica has significant potential to boost the local economy, generate employment, and attract new investments, especially if the tax and customs incentives provided by Colombian regulations are properly implemented. The study also highlights the importance of continuous monitoring of economic indicators to adjust strategies and ensure the project's success.</w:t>
      </w:r>
    </w:p>
    <w:p w14:paraId="7EA136F4" w14:textId="2913C411" w:rsidR="00F07B73" w:rsidRPr="0015136C" w:rsidRDefault="00F07B73" w:rsidP="0015136C">
      <w:pPr>
        <w:tabs>
          <w:tab w:val="left" w:pos="3795"/>
        </w:tabs>
        <w:spacing w:line="480" w:lineRule="auto"/>
        <w:rPr>
          <w:rFonts w:cs="Times New Roman"/>
          <w:bCs/>
          <w:lang w:val="en-US"/>
        </w:rPr>
      </w:pPr>
      <w:r w:rsidRPr="0015136C">
        <w:rPr>
          <w:rFonts w:cs="Times New Roman"/>
          <w:b/>
          <w:bCs/>
          <w:lang w:val="en-US"/>
        </w:rPr>
        <w:t xml:space="preserve">KEY WORDS: </w:t>
      </w:r>
      <w:r w:rsidRPr="0015136C">
        <w:rPr>
          <w:rFonts w:cs="Times New Roman"/>
          <w:bCs/>
          <w:lang w:val="en-US"/>
        </w:rPr>
        <w:t>Free Trade Zone, Aguachica, Foreign investment, Regional development</w:t>
      </w:r>
    </w:p>
    <w:p w14:paraId="65D101E9" w14:textId="09C6221C" w:rsidR="00F07B73" w:rsidRPr="00F07B73" w:rsidRDefault="00F07B73" w:rsidP="0015136C">
      <w:pPr>
        <w:tabs>
          <w:tab w:val="left" w:pos="3795"/>
        </w:tabs>
        <w:spacing w:line="480" w:lineRule="auto"/>
        <w:rPr>
          <w:rFonts w:cs="Times New Roman"/>
          <w:bCs/>
        </w:rPr>
      </w:pPr>
      <w:r w:rsidRPr="00F07B73">
        <w:rPr>
          <w:rFonts w:cs="Times New Roman"/>
          <w:bCs/>
        </w:rPr>
        <w:t>Competitiveness</w:t>
      </w:r>
    </w:p>
    <w:p w14:paraId="5C80D92B" w14:textId="77777777" w:rsidR="00B214AA" w:rsidRDefault="00B214AA" w:rsidP="0015136C">
      <w:pPr>
        <w:tabs>
          <w:tab w:val="left" w:pos="3795"/>
        </w:tabs>
        <w:spacing w:line="480" w:lineRule="auto"/>
        <w:jc w:val="center"/>
        <w:rPr>
          <w:rFonts w:cs="Times New Roman"/>
          <w:b/>
          <w:bCs/>
        </w:rPr>
      </w:pPr>
    </w:p>
    <w:p w14:paraId="78CA07B5" w14:textId="77777777" w:rsidR="00B214AA" w:rsidRDefault="00B214AA" w:rsidP="0015136C">
      <w:pPr>
        <w:tabs>
          <w:tab w:val="left" w:pos="3795"/>
        </w:tabs>
        <w:spacing w:line="480" w:lineRule="auto"/>
        <w:jc w:val="center"/>
        <w:rPr>
          <w:rFonts w:cs="Times New Roman"/>
          <w:b/>
          <w:bCs/>
        </w:rPr>
      </w:pPr>
    </w:p>
    <w:p w14:paraId="208034EA" w14:textId="77777777" w:rsidR="00B214AA" w:rsidRDefault="00B214AA" w:rsidP="0015136C">
      <w:pPr>
        <w:tabs>
          <w:tab w:val="left" w:pos="3795"/>
        </w:tabs>
        <w:spacing w:line="480" w:lineRule="auto"/>
        <w:jc w:val="center"/>
        <w:rPr>
          <w:rFonts w:cs="Times New Roman"/>
          <w:b/>
          <w:bCs/>
        </w:rPr>
      </w:pPr>
    </w:p>
    <w:p w14:paraId="6EFEDF9B" w14:textId="77777777" w:rsidR="0015136C" w:rsidRDefault="0015136C" w:rsidP="0015136C">
      <w:pPr>
        <w:tabs>
          <w:tab w:val="left" w:pos="3795"/>
        </w:tabs>
        <w:spacing w:line="480" w:lineRule="auto"/>
        <w:rPr>
          <w:rFonts w:cs="Times New Roman"/>
          <w:b/>
          <w:bCs/>
        </w:rPr>
      </w:pPr>
    </w:p>
    <w:p w14:paraId="27561FAF" w14:textId="0733F306" w:rsidR="00B214AA" w:rsidRDefault="00B214AA" w:rsidP="0015136C">
      <w:pPr>
        <w:pStyle w:val="Ttulo1"/>
        <w:numPr>
          <w:ilvl w:val="0"/>
          <w:numId w:val="0"/>
        </w:numPr>
      </w:pPr>
      <w:bookmarkStart w:id="2" w:name="_Toc183783008"/>
      <w:r>
        <w:t>INTRODUCCION</w:t>
      </w:r>
      <w:bookmarkEnd w:id="2"/>
      <w:r>
        <w:t xml:space="preserve"> </w:t>
      </w:r>
    </w:p>
    <w:p w14:paraId="00811AEB" w14:textId="77777777" w:rsidR="00C97554" w:rsidRPr="00C97554" w:rsidRDefault="00C97554" w:rsidP="00C97554">
      <w:pPr>
        <w:rPr>
          <w:lang w:val="x-none" w:eastAsia="es-ES"/>
        </w:rPr>
      </w:pPr>
    </w:p>
    <w:p w14:paraId="20B12D7E" w14:textId="682533C8" w:rsidR="0026375D" w:rsidRPr="0026375D" w:rsidRDefault="0026375D" w:rsidP="0015136C">
      <w:pPr>
        <w:tabs>
          <w:tab w:val="left" w:pos="3795"/>
        </w:tabs>
        <w:spacing w:line="480" w:lineRule="auto"/>
        <w:rPr>
          <w:rFonts w:cs="Times New Roman"/>
          <w:bCs/>
        </w:rPr>
      </w:pPr>
      <w:r w:rsidRPr="0026375D">
        <w:rPr>
          <w:rFonts w:cs="Times New Roman"/>
          <w:bCs/>
        </w:rPr>
        <w:t>La globalización y el crecimiento del comercio internacional han incentivado a los países a implementar políticas comerciales que fomenten el desarrollo económico a través de Zonas Francas (ZF). Estas áreas económicas especiales ofrecen incentivos aduaneros, tributarios y normativos a las empresas que deciden operar dentro de ellas, con el fin de potenciar la competitividad, atraer inversión extranjera y generar empleo. En Colombia, la implementación de Zonas Francas ha sido reconocida como una herramienta clave para promover el desarrollo regional, especialmente en áreas estratégicas como el Caribe colombiano.</w:t>
      </w:r>
    </w:p>
    <w:p w14:paraId="482B0D1F" w14:textId="77777777" w:rsidR="0026375D" w:rsidRPr="0026375D" w:rsidRDefault="0026375D" w:rsidP="0015136C">
      <w:pPr>
        <w:tabs>
          <w:tab w:val="left" w:pos="3795"/>
        </w:tabs>
        <w:spacing w:line="480" w:lineRule="auto"/>
        <w:rPr>
          <w:rFonts w:cs="Times New Roman"/>
          <w:bCs/>
        </w:rPr>
      </w:pPr>
      <w:r w:rsidRPr="0026375D">
        <w:rPr>
          <w:rFonts w:cs="Times New Roman"/>
          <w:bCs/>
        </w:rPr>
        <w:t>El municipio de Aguachica, ubicado en el departamento del Cesar, presenta características socioeconómicas y geográficas que lo convierten en un candidato atractivo para la creación de una nueva Zona Franca. A pesar de la existencia de una Zona Franca en el departamento, no se ha realizado un estudio que analice de manera detallada las condiciones fundamentales que Aguachica debe cumplir para establecer una nueva zona de este tipo. Este vacío de información plantea una oportunidad para investigar el potencial de Aguachica como polo de desarrollo industrial y comercial, lo cual podría impactar positivamente tanto a nivel local como regional.</w:t>
      </w:r>
    </w:p>
    <w:p w14:paraId="76B6F663" w14:textId="76406C00" w:rsidR="0026375D" w:rsidRPr="0026375D" w:rsidRDefault="0026375D" w:rsidP="0015136C">
      <w:pPr>
        <w:tabs>
          <w:tab w:val="left" w:pos="3795"/>
        </w:tabs>
        <w:spacing w:line="480" w:lineRule="auto"/>
        <w:rPr>
          <w:rFonts w:cs="Times New Roman"/>
          <w:bCs/>
        </w:rPr>
      </w:pPr>
      <w:r w:rsidRPr="0026375D">
        <w:rPr>
          <w:rFonts w:cs="Times New Roman"/>
          <w:bCs/>
        </w:rPr>
        <w:t>El presente trabajo tiene como objetivo evaluar las condiciones necesarias para la creación de una Zona Franca en Aguachica. A través de un enfoque metodológico que combina el análisis de la normativa vigente, la caracterización del mercado y el estudio de las condiciones socioeconómicas de la región, se busca determinar los factores clave que podrían hacer viable este proyecto. Asimismo, se propone un enfoque mixto que combina el análisis deductivo de las leyes y regulaciones con un enfoque inductivo basado en las particularidades del mercado local.</w:t>
      </w:r>
    </w:p>
    <w:p w14:paraId="25C69012" w14:textId="64172CF9" w:rsidR="00B214AA" w:rsidRPr="0026375D" w:rsidRDefault="0026375D" w:rsidP="0015136C">
      <w:pPr>
        <w:tabs>
          <w:tab w:val="left" w:pos="3795"/>
        </w:tabs>
        <w:spacing w:line="480" w:lineRule="auto"/>
        <w:rPr>
          <w:rFonts w:cs="Times New Roman"/>
          <w:bCs/>
        </w:rPr>
      </w:pPr>
      <w:r w:rsidRPr="0026375D">
        <w:rPr>
          <w:rFonts w:cs="Times New Roman"/>
          <w:bCs/>
        </w:rPr>
        <w:lastRenderedPageBreak/>
        <w:t>Este estudio no solo pretende contribuir al crecimiento económico de Aguachica, sino también proporcionar una base sólida para futuras investigaciones sobre la implementación de Zonas Francas en otras regiones de características similares. Se espera que los resultados de esta investigación impulsen el desarrollo de políticas públicas orientadas a mejorar la competitividad regional y a atraer inversión extranjera directa, beneficiando a la comunidad local a través de la creación de empleo y el fortalecimiento de la infraestructura económica.</w:t>
      </w:r>
    </w:p>
    <w:p w14:paraId="6AAA217E" w14:textId="054D2E51" w:rsidR="00B214AA" w:rsidRDefault="00B214AA" w:rsidP="0015136C">
      <w:pPr>
        <w:tabs>
          <w:tab w:val="left" w:pos="3795"/>
        </w:tabs>
        <w:spacing w:line="480" w:lineRule="auto"/>
        <w:jc w:val="center"/>
        <w:rPr>
          <w:rStyle w:val="nfasisintenso"/>
          <w:rFonts w:cs="Times New Roman"/>
          <w:b/>
          <w:bCs/>
          <w:i w:val="0"/>
          <w:iCs w:val="0"/>
        </w:rPr>
      </w:pPr>
    </w:p>
    <w:p w14:paraId="7CF67C0A" w14:textId="170188B1" w:rsidR="0015136C" w:rsidRDefault="0015136C" w:rsidP="0015136C">
      <w:pPr>
        <w:tabs>
          <w:tab w:val="left" w:pos="3795"/>
        </w:tabs>
        <w:spacing w:line="480" w:lineRule="auto"/>
        <w:jc w:val="center"/>
        <w:rPr>
          <w:rStyle w:val="nfasisintenso"/>
          <w:rFonts w:cs="Times New Roman"/>
          <w:b/>
          <w:bCs/>
          <w:i w:val="0"/>
          <w:iCs w:val="0"/>
        </w:rPr>
      </w:pPr>
    </w:p>
    <w:p w14:paraId="30E5A7EC" w14:textId="7567D65B" w:rsidR="0015136C" w:rsidRDefault="0015136C" w:rsidP="0015136C">
      <w:pPr>
        <w:tabs>
          <w:tab w:val="left" w:pos="3795"/>
        </w:tabs>
        <w:spacing w:line="480" w:lineRule="auto"/>
        <w:jc w:val="center"/>
        <w:rPr>
          <w:rStyle w:val="nfasisintenso"/>
          <w:rFonts w:cs="Times New Roman"/>
          <w:b/>
          <w:bCs/>
          <w:i w:val="0"/>
          <w:iCs w:val="0"/>
        </w:rPr>
      </w:pPr>
    </w:p>
    <w:p w14:paraId="2B976828" w14:textId="6A838D30" w:rsidR="0015136C" w:rsidRDefault="0015136C" w:rsidP="0015136C">
      <w:pPr>
        <w:tabs>
          <w:tab w:val="left" w:pos="3795"/>
        </w:tabs>
        <w:spacing w:line="480" w:lineRule="auto"/>
        <w:jc w:val="center"/>
        <w:rPr>
          <w:rStyle w:val="nfasisintenso"/>
          <w:rFonts w:cs="Times New Roman"/>
          <w:b/>
          <w:bCs/>
          <w:i w:val="0"/>
          <w:iCs w:val="0"/>
        </w:rPr>
      </w:pPr>
    </w:p>
    <w:p w14:paraId="53CC4F4A" w14:textId="600AB674" w:rsidR="0015136C" w:rsidRDefault="0015136C" w:rsidP="0015136C">
      <w:pPr>
        <w:tabs>
          <w:tab w:val="left" w:pos="3795"/>
        </w:tabs>
        <w:spacing w:line="480" w:lineRule="auto"/>
        <w:jc w:val="center"/>
        <w:rPr>
          <w:rStyle w:val="nfasisintenso"/>
          <w:rFonts w:cs="Times New Roman"/>
          <w:b/>
          <w:bCs/>
          <w:i w:val="0"/>
          <w:iCs w:val="0"/>
        </w:rPr>
      </w:pPr>
    </w:p>
    <w:p w14:paraId="1606618D" w14:textId="0DD916CC" w:rsidR="0015136C" w:rsidRDefault="0015136C" w:rsidP="0015136C">
      <w:pPr>
        <w:tabs>
          <w:tab w:val="left" w:pos="3795"/>
        </w:tabs>
        <w:spacing w:line="480" w:lineRule="auto"/>
        <w:jc w:val="center"/>
        <w:rPr>
          <w:rStyle w:val="nfasisintenso"/>
          <w:rFonts w:cs="Times New Roman"/>
          <w:b/>
          <w:bCs/>
          <w:i w:val="0"/>
          <w:iCs w:val="0"/>
        </w:rPr>
      </w:pPr>
    </w:p>
    <w:p w14:paraId="5C4C48E7" w14:textId="7595B9FB" w:rsidR="0015136C" w:rsidRDefault="0015136C" w:rsidP="0015136C">
      <w:pPr>
        <w:tabs>
          <w:tab w:val="left" w:pos="3795"/>
        </w:tabs>
        <w:spacing w:line="480" w:lineRule="auto"/>
        <w:jc w:val="center"/>
        <w:rPr>
          <w:rStyle w:val="nfasisintenso"/>
          <w:rFonts w:cs="Times New Roman"/>
          <w:b/>
          <w:bCs/>
          <w:i w:val="0"/>
          <w:iCs w:val="0"/>
        </w:rPr>
      </w:pPr>
    </w:p>
    <w:p w14:paraId="0C0CB9E3" w14:textId="5F43FBED" w:rsidR="0015136C" w:rsidRDefault="0015136C" w:rsidP="0015136C">
      <w:pPr>
        <w:tabs>
          <w:tab w:val="left" w:pos="3795"/>
        </w:tabs>
        <w:spacing w:line="480" w:lineRule="auto"/>
        <w:jc w:val="center"/>
        <w:rPr>
          <w:rStyle w:val="nfasisintenso"/>
          <w:rFonts w:cs="Times New Roman"/>
          <w:b/>
          <w:bCs/>
          <w:i w:val="0"/>
          <w:iCs w:val="0"/>
        </w:rPr>
      </w:pPr>
    </w:p>
    <w:p w14:paraId="4E24915B" w14:textId="6BE93D3A" w:rsidR="0015136C" w:rsidRDefault="0015136C" w:rsidP="0015136C">
      <w:pPr>
        <w:tabs>
          <w:tab w:val="left" w:pos="3795"/>
        </w:tabs>
        <w:spacing w:line="480" w:lineRule="auto"/>
        <w:jc w:val="center"/>
        <w:rPr>
          <w:rStyle w:val="nfasisintenso"/>
          <w:rFonts w:cs="Times New Roman"/>
          <w:b/>
          <w:bCs/>
          <w:i w:val="0"/>
          <w:iCs w:val="0"/>
        </w:rPr>
      </w:pPr>
    </w:p>
    <w:p w14:paraId="6DDECCDC" w14:textId="1765F841" w:rsidR="0015136C" w:rsidRDefault="0015136C" w:rsidP="0015136C">
      <w:pPr>
        <w:tabs>
          <w:tab w:val="left" w:pos="3795"/>
        </w:tabs>
        <w:spacing w:line="480" w:lineRule="auto"/>
        <w:jc w:val="center"/>
        <w:rPr>
          <w:rStyle w:val="nfasisintenso"/>
          <w:rFonts w:cs="Times New Roman"/>
          <w:b/>
          <w:bCs/>
          <w:i w:val="0"/>
          <w:iCs w:val="0"/>
        </w:rPr>
      </w:pPr>
    </w:p>
    <w:p w14:paraId="3DF1917B" w14:textId="7766FA8A" w:rsidR="0015136C" w:rsidRDefault="0015136C" w:rsidP="0015136C">
      <w:pPr>
        <w:tabs>
          <w:tab w:val="left" w:pos="3795"/>
        </w:tabs>
        <w:spacing w:line="480" w:lineRule="auto"/>
        <w:jc w:val="center"/>
        <w:rPr>
          <w:rStyle w:val="nfasisintenso"/>
          <w:rFonts w:cs="Times New Roman"/>
          <w:b/>
          <w:bCs/>
          <w:i w:val="0"/>
          <w:iCs w:val="0"/>
        </w:rPr>
      </w:pPr>
    </w:p>
    <w:p w14:paraId="44A67EB0" w14:textId="4256F7D6" w:rsidR="0015136C" w:rsidRDefault="0015136C" w:rsidP="0015136C">
      <w:pPr>
        <w:tabs>
          <w:tab w:val="left" w:pos="3795"/>
        </w:tabs>
        <w:spacing w:line="480" w:lineRule="auto"/>
        <w:jc w:val="center"/>
        <w:rPr>
          <w:rStyle w:val="nfasisintenso"/>
          <w:rFonts w:cs="Times New Roman"/>
          <w:b/>
          <w:bCs/>
          <w:i w:val="0"/>
          <w:iCs w:val="0"/>
        </w:rPr>
      </w:pPr>
    </w:p>
    <w:p w14:paraId="1D6E94AD" w14:textId="364A72B6" w:rsidR="0015136C" w:rsidRDefault="0015136C" w:rsidP="0015136C">
      <w:pPr>
        <w:tabs>
          <w:tab w:val="left" w:pos="3795"/>
        </w:tabs>
        <w:spacing w:line="480" w:lineRule="auto"/>
        <w:jc w:val="center"/>
        <w:rPr>
          <w:rStyle w:val="nfasisintenso"/>
          <w:rFonts w:cs="Times New Roman"/>
          <w:b/>
          <w:bCs/>
          <w:i w:val="0"/>
          <w:iCs w:val="0"/>
        </w:rPr>
      </w:pPr>
    </w:p>
    <w:p w14:paraId="611F7CFE" w14:textId="77777777" w:rsidR="0015136C" w:rsidRDefault="0015136C" w:rsidP="0015136C">
      <w:pPr>
        <w:tabs>
          <w:tab w:val="left" w:pos="3795"/>
        </w:tabs>
        <w:spacing w:line="480" w:lineRule="auto"/>
        <w:jc w:val="center"/>
        <w:rPr>
          <w:rStyle w:val="nfasisintenso"/>
          <w:rFonts w:cs="Times New Roman"/>
          <w:b/>
          <w:bCs/>
          <w:i w:val="0"/>
          <w:iCs w:val="0"/>
        </w:rPr>
      </w:pPr>
    </w:p>
    <w:p w14:paraId="5D6EEE1A" w14:textId="3E027A75" w:rsidR="00B214AA" w:rsidRDefault="00B214AA" w:rsidP="0015136C">
      <w:pPr>
        <w:pStyle w:val="Ttulo1"/>
        <w:rPr>
          <w:rStyle w:val="nfasisintenso"/>
          <w:i w:val="0"/>
          <w:iCs w:val="0"/>
          <w:color w:val="auto"/>
        </w:rPr>
      </w:pPr>
      <w:bookmarkStart w:id="3" w:name="_Toc183783009"/>
      <w:r w:rsidRPr="0015136C">
        <w:rPr>
          <w:rStyle w:val="nfasisintenso"/>
          <w:i w:val="0"/>
          <w:iCs w:val="0"/>
          <w:color w:val="auto"/>
        </w:rPr>
        <w:lastRenderedPageBreak/>
        <w:t>CAPITULO 1. PROPUESTA DE INVESTIGACION</w:t>
      </w:r>
      <w:bookmarkEnd w:id="3"/>
      <w:r w:rsidRPr="0015136C">
        <w:rPr>
          <w:rStyle w:val="nfasisintenso"/>
          <w:i w:val="0"/>
          <w:iCs w:val="0"/>
          <w:color w:val="auto"/>
        </w:rPr>
        <w:t xml:space="preserve"> </w:t>
      </w:r>
    </w:p>
    <w:p w14:paraId="46F60C5A" w14:textId="77777777" w:rsidR="002B2FBB" w:rsidRPr="002B2FBB" w:rsidRDefault="002B2FBB" w:rsidP="002B2FBB">
      <w:pPr>
        <w:rPr>
          <w:lang w:val="x-none" w:eastAsia="es-ES"/>
        </w:rPr>
      </w:pPr>
    </w:p>
    <w:p w14:paraId="10667DD5" w14:textId="77777777" w:rsidR="002B2FBB" w:rsidRPr="00834CA4" w:rsidRDefault="002B2FBB" w:rsidP="002B2FBB">
      <w:pPr>
        <w:spacing w:line="480" w:lineRule="auto"/>
        <w:rPr>
          <w:rFonts w:cs="Times New Roman"/>
          <w:bCs/>
          <w:lang w:eastAsia="zh-CN" w:bidi="hi-IN"/>
        </w:rPr>
      </w:pPr>
      <w:r w:rsidRPr="002B2FBB">
        <w:rPr>
          <w:rFonts w:cs="Times New Roman"/>
          <w:bCs/>
          <w:lang w:eastAsia="zh-CN" w:bidi="hi-IN"/>
        </w:rPr>
        <w:t>El presente capítulo ofrece una visión completa de la propuesta de investigación, detallando de manera específica el problema que se pretende abordar y formulando las preguntas clave que guiarán cada etapa del estudio. Asimismo, se exponen los objetivos generales y específicos que este trabajo busca alcanzar, los cuales son esenciales para evaluar las condiciones fundamentales necesarias para la creación de una Zona Franca en Aguachica. Además, se incluye una justificación que resalta la importancia del proyecto, tanto a nivel local como regional, y se presentan los límites geográficos y temporales que enmarcan la investigación. Este capítulo establece el propósito, el enfoque y los alcances del estudio, proporcionando al lector una introducción detallada a los aspectos esenciales que se analizarán a lo largo del trabajo.</w:t>
      </w:r>
    </w:p>
    <w:p w14:paraId="40CBDDE4" w14:textId="77777777" w:rsidR="00B214AA" w:rsidRDefault="00B214AA" w:rsidP="0015136C">
      <w:pPr>
        <w:pStyle w:val="Sinespaciado"/>
        <w:spacing w:line="480" w:lineRule="auto"/>
        <w:jc w:val="center"/>
        <w:rPr>
          <w:rStyle w:val="nfasisintenso"/>
          <w:rFonts w:ascii="Times New Roman" w:hAnsi="Times New Roman" w:cs="Times New Roman"/>
          <w:b/>
          <w:bCs/>
          <w:i w:val="0"/>
          <w:iCs w:val="0"/>
          <w:color w:val="000000" w:themeColor="text1"/>
        </w:rPr>
      </w:pPr>
    </w:p>
    <w:p w14:paraId="3D5DC2F9" w14:textId="37220BE0" w:rsidR="00B214AA" w:rsidRDefault="0015136C" w:rsidP="0015136C">
      <w:pPr>
        <w:pStyle w:val="Ttulo2"/>
        <w:rPr>
          <w:rStyle w:val="nfasisintenso"/>
          <w:i w:val="0"/>
          <w:iCs w:val="0"/>
          <w:color w:val="auto"/>
        </w:rPr>
      </w:pPr>
      <w:bookmarkStart w:id="4" w:name="_Toc183783010"/>
      <w:r w:rsidRPr="0015136C">
        <w:rPr>
          <w:rStyle w:val="nfasisintenso"/>
          <w:i w:val="0"/>
          <w:iCs w:val="0"/>
          <w:color w:val="auto"/>
        </w:rPr>
        <w:t>PLANTEAMIENTO DEL PROBLEMA</w:t>
      </w:r>
      <w:bookmarkEnd w:id="4"/>
    </w:p>
    <w:p w14:paraId="54843CEB" w14:textId="77777777" w:rsidR="008866D1" w:rsidRPr="008866D1" w:rsidRDefault="008866D1" w:rsidP="008866D1"/>
    <w:p w14:paraId="4C9716F2" w14:textId="64AD33FD" w:rsidR="00834CA4" w:rsidRDefault="00834CA4" w:rsidP="0015136C">
      <w:pPr>
        <w:spacing w:line="480" w:lineRule="auto"/>
        <w:rPr>
          <w:lang w:eastAsia="zh-CN" w:bidi="hi-IN"/>
        </w:rPr>
      </w:pPr>
      <w:r w:rsidRPr="00834CA4">
        <w:rPr>
          <w:lang w:eastAsia="zh-CN" w:bidi="hi-IN"/>
        </w:rPr>
        <w:t>Los países han respaldado sus políticas comerciales mediante la creación de incentivos para que las empresas se localicen en Zonas de Libre Comercio, con la esperanza de impulsar el crecimiento económico. La globalización ha contribuido significativamente al aumento progresivo de la productividad a través del intercambio de bienes y servicios, integrando aspectos culturales, económico</w:t>
      </w:r>
      <w:r w:rsidR="00493312">
        <w:rPr>
          <w:lang w:eastAsia="zh-CN" w:bidi="hi-IN"/>
        </w:rPr>
        <w:t>s, de innovación y tecnología, e</w:t>
      </w:r>
      <w:r w:rsidRPr="00834CA4">
        <w:rPr>
          <w:lang w:eastAsia="zh-CN" w:bidi="hi-IN"/>
        </w:rPr>
        <w:t>ste proceso ha resultado en un sistema económico interdependiente, donde las relaciones entre países se han vuelto más estrechas, construyendo una sociedad global en la que las fronteras entre lo nacional e internacional se difuminan</w:t>
      </w:r>
      <w:r w:rsidR="0015136C">
        <w:rPr>
          <w:lang w:eastAsia="zh-CN" w:bidi="hi-IN"/>
        </w:rPr>
        <w:t xml:space="preserve">, esto según </w:t>
      </w:r>
      <w:r w:rsidR="0015136C" w:rsidRPr="00834CA4">
        <w:rPr>
          <w:lang w:eastAsia="zh-CN" w:bidi="hi-IN"/>
        </w:rPr>
        <w:t>Aguilar</w:t>
      </w:r>
      <w:r w:rsidR="0015136C">
        <w:rPr>
          <w:noProof/>
          <w:lang w:val="es-ES" w:eastAsia="zh-CN" w:bidi="hi-IN"/>
        </w:rPr>
        <w:t xml:space="preserve"> </w:t>
      </w:r>
      <w:r w:rsidR="00087E32">
        <w:rPr>
          <w:noProof/>
          <w:lang w:val="es-ES" w:eastAsia="zh-CN" w:bidi="hi-IN"/>
        </w:rPr>
        <w:t>et al, (</w:t>
      </w:r>
      <w:r w:rsidR="00087E32" w:rsidRPr="00087E32">
        <w:rPr>
          <w:noProof/>
          <w:lang w:val="es-ES" w:eastAsia="zh-CN" w:bidi="hi-IN"/>
        </w:rPr>
        <w:t>2019)</w:t>
      </w:r>
      <w:r w:rsidR="00087E32">
        <w:rPr>
          <w:noProof/>
          <w:lang w:val="es-ES" w:eastAsia="zh-CN" w:bidi="hi-IN"/>
        </w:rPr>
        <w:t xml:space="preserve">. </w:t>
      </w:r>
    </w:p>
    <w:p w14:paraId="5B5825DE" w14:textId="59D1DDBD" w:rsidR="00834CA4" w:rsidRPr="00834CA4" w:rsidRDefault="007512C0" w:rsidP="0015136C">
      <w:pPr>
        <w:spacing w:line="480" w:lineRule="auto"/>
        <w:rPr>
          <w:lang w:eastAsia="zh-CN" w:bidi="hi-IN"/>
        </w:rPr>
      </w:pPr>
      <w:r w:rsidRPr="007512C0">
        <w:rPr>
          <w:lang w:eastAsia="zh-CN" w:bidi="hi-IN"/>
        </w:rPr>
        <w:lastRenderedPageBreak/>
        <w:t>En este contexto, según Alcázar (2023), las Zonas Francas (ZF) han emergido como herramientas cruciales en el comercio internacional, especialmente en el caso de municipios como Aguachica, ofreciendo beneficios aduaneros, tributarios y de comercio exterior. Estas zonas fomentan la creación de ciudadelas industriales que integran diversos sectores económicos, optimizando costos y aumentando la competitividad de los productos</w:t>
      </w:r>
      <w:r w:rsidR="00830388">
        <w:rPr>
          <w:lang w:eastAsia="zh-CN" w:bidi="hi-IN"/>
        </w:rPr>
        <w:t>, e</w:t>
      </w:r>
      <w:r w:rsidR="00834CA4" w:rsidRPr="00834CA4">
        <w:rPr>
          <w:lang w:eastAsia="zh-CN" w:bidi="hi-IN"/>
        </w:rPr>
        <w:t>n Colombia, la necesidad de estas zonas ha sido reconocida, lo que ha llevado a la implementación de una normativa especial para su funcionamiento.</w:t>
      </w:r>
    </w:p>
    <w:p w14:paraId="3BA0ABA6" w14:textId="77777777" w:rsidR="00834CA4" w:rsidRDefault="00834CA4" w:rsidP="0015136C">
      <w:pPr>
        <w:spacing w:line="480" w:lineRule="auto"/>
        <w:rPr>
          <w:lang w:eastAsia="zh-CN" w:bidi="hi-IN"/>
        </w:rPr>
      </w:pPr>
      <w:r w:rsidRPr="00834CA4">
        <w:rPr>
          <w:lang w:eastAsia="zh-CN" w:bidi="hi-IN"/>
        </w:rPr>
        <w:t>A pesar de la existencia de una Zona Franca permanente especial en el departamento del Cesar, es importante señalar que no se han encontrado investigaciones que analicen las condiciones fundamentales para implementar una nueva ZF en la región del Sur del Cesar, y en particular, en el municipio de Aguachica. Esta falta de estudios representa una oportunidad para evaluar las necesidades y condiciones que podrían sustentar la creación de una ZF en esta área, lo que podría convertirse en un motor de desarrollo económico y social para la región.</w:t>
      </w:r>
    </w:p>
    <w:p w14:paraId="2A966CEB" w14:textId="77777777" w:rsidR="002E1186" w:rsidRDefault="002E1186" w:rsidP="0015136C">
      <w:pPr>
        <w:spacing w:line="480" w:lineRule="auto"/>
        <w:rPr>
          <w:lang w:eastAsia="zh-CN" w:bidi="hi-IN"/>
        </w:rPr>
      </w:pPr>
      <w:r>
        <w:rPr>
          <w:lang w:eastAsia="zh-CN" w:bidi="hi-IN"/>
        </w:rPr>
        <w:t>Por otra parte, e</w:t>
      </w:r>
      <w:r w:rsidRPr="002E1186">
        <w:rPr>
          <w:lang w:eastAsia="zh-CN" w:bidi="hi-IN"/>
        </w:rPr>
        <w:t xml:space="preserve">n el contexto del desarrollo económico regional en Colombia, las experiencias de zonas francas en el Caribe colombiano han demostrado ser herramientas clave para fomentar la competitividad, atraer inversión extranjera directa y generar empleo. Ejemplos emblemáticos como las zonas francas de Barranquilla, Cartagena y Santa Marta se han consolidado gracias a factores como su infraestructura portuaria, la disponibilidad de recursos humanos capacitados, incentivos fiscales atractivos y su integración con cadenas globales de suministro. </w:t>
      </w:r>
    </w:p>
    <w:p w14:paraId="15DCAD43" w14:textId="77777777" w:rsidR="002E1186" w:rsidRDefault="002E1186" w:rsidP="0015136C">
      <w:pPr>
        <w:spacing w:line="480" w:lineRule="auto"/>
        <w:rPr>
          <w:lang w:eastAsia="zh-CN" w:bidi="hi-IN"/>
        </w:rPr>
      </w:pPr>
      <w:r w:rsidRPr="002E1186">
        <w:rPr>
          <w:lang w:eastAsia="zh-CN" w:bidi="hi-IN"/>
        </w:rPr>
        <w:t xml:space="preserve">Sin embargo, en el caso de Aguachica, Cesar, aunque comparte ciertas características favorables, como su ubicación estratégica en corredores logísticos nacionales y su potencial para el desarrollo agroindustrial, no se ha explorado suficientemente cómo estas experiencias pueden adaptarse a su contexto. Aguachica enfrenta desafíos específicos, como una infraestructura limitada </w:t>
      </w:r>
      <w:r w:rsidRPr="002E1186">
        <w:rPr>
          <w:lang w:eastAsia="zh-CN" w:bidi="hi-IN"/>
        </w:rPr>
        <w:lastRenderedPageBreak/>
        <w:t>y un desarrollo industrial incipiente, pero también cuenta con oportunidades únicas, como su proximidad a regiones agrícolas productivas y su capacidad para integrarse en redes comerciales.</w:t>
      </w:r>
    </w:p>
    <w:p w14:paraId="62CBE5A7" w14:textId="4DEFACC5" w:rsidR="002E1186" w:rsidRPr="00834CA4" w:rsidRDefault="002E1186" w:rsidP="0015136C">
      <w:pPr>
        <w:spacing w:line="480" w:lineRule="auto"/>
        <w:rPr>
          <w:lang w:eastAsia="zh-CN" w:bidi="hi-IN"/>
        </w:rPr>
      </w:pPr>
      <w:r w:rsidRPr="002E1186">
        <w:rPr>
          <w:lang w:eastAsia="zh-CN" w:bidi="hi-IN"/>
        </w:rPr>
        <w:t>Por ello, es fundamental analizar detalladamente las lecciones aprendidas de las zonas francas caribeñas e identificar los factores clave que podrían replicarse o ajustarse para el diseño e implementación de una zona franca en Aguachica. Este enfoque permitirá determinar cómo estas prácticas exitosas pueden contribuir al fortalecimiento de las condiciones locales y superar las limitaciones actuales, consolidando a Aguachica como un polo de desarrollo regional en el sur del Cesar.</w:t>
      </w:r>
    </w:p>
    <w:p w14:paraId="15DF3115" w14:textId="77777777" w:rsidR="00834CA4" w:rsidRPr="00834CA4" w:rsidRDefault="00834CA4" w:rsidP="0015136C">
      <w:pPr>
        <w:spacing w:line="480" w:lineRule="auto"/>
        <w:rPr>
          <w:lang w:eastAsia="zh-CN" w:bidi="hi-IN"/>
        </w:rPr>
      </w:pPr>
      <w:r w:rsidRPr="00834CA4">
        <w:rPr>
          <w:lang w:eastAsia="zh-CN" w:bidi="hi-IN"/>
        </w:rPr>
        <w:t>De ahí surge la necesidad de plantear una investigación con el objetivo de evaluar las condiciones fundamentales para la creación de una ZF en Aguachica, Cesar, considerando el desarrollo socioeconómico y geográfico del Sur del Cesar. Este análisis incluirá la revisión de la normatividad tributaria, aduanera y de comercio exterior vigente, con el fin de identificar los requisitos y beneficios potenciales que podrían facilitar la llegada de Inversión Extranjera Directa (IED) y contribuir a la reactivación económica de la región.</w:t>
      </w:r>
    </w:p>
    <w:p w14:paraId="4D30E2F2" w14:textId="43C77D42" w:rsidR="00834CA4" w:rsidRPr="00834CA4" w:rsidRDefault="00834CA4" w:rsidP="0015136C">
      <w:pPr>
        <w:spacing w:line="480" w:lineRule="auto"/>
        <w:rPr>
          <w:lang w:eastAsia="zh-CN" w:bidi="hi-IN"/>
        </w:rPr>
      </w:pPr>
      <w:r w:rsidRPr="00834CA4">
        <w:rPr>
          <w:lang w:eastAsia="zh-CN" w:bidi="hi-IN"/>
        </w:rPr>
        <w:t>Además, es relevante utilizar tanto un enfoque deductivo como i</w:t>
      </w:r>
      <w:r w:rsidR="00FE38C5">
        <w:rPr>
          <w:lang w:eastAsia="zh-CN" w:bidi="hi-IN"/>
        </w:rPr>
        <w:t xml:space="preserve">nductivo en esta investigación. </w:t>
      </w:r>
      <w:r w:rsidRPr="00834CA4">
        <w:rPr>
          <w:lang w:eastAsia="zh-CN" w:bidi="hi-IN"/>
        </w:rPr>
        <w:t>Por un lado, el enfoque deductivo permitirá analizar la normativa existente y su aplicabilidad en el contexto de Aguachica. Por otro lado, el enfoque inductivo será clave para extraer conclusiones a partir de las características particulares de la región y su potencial para albergar una ZF. La creación de una ZF en Aguachica podría ser un elemento clave en la dinamización de los mercados locales y globales, promoviendo el desarrollo económico regional y posicionando a Aguachica como un polo de atracción para la inversión extranjera. Esta iniciativa no solo beneficiaría a la ciudad, sino que también podría tener un impacto positivo en toda la región del Sur del Cesar.</w:t>
      </w:r>
    </w:p>
    <w:p w14:paraId="4F1B4E27" w14:textId="0C77B679" w:rsidR="0015136C" w:rsidRDefault="00834CA4" w:rsidP="00087E32">
      <w:pPr>
        <w:spacing w:line="480" w:lineRule="auto"/>
        <w:rPr>
          <w:lang w:eastAsia="zh-CN" w:bidi="hi-IN"/>
        </w:rPr>
      </w:pPr>
      <w:r w:rsidRPr="00834CA4">
        <w:rPr>
          <w:lang w:eastAsia="zh-CN" w:bidi="hi-IN"/>
        </w:rPr>
        <w:lastRenderedPageBreak/>
        <w:t xml:space="preserve">Finalmente, se anticipa que, si se cumplen las condiciones adecuadas y se logra implementar una ZF en Aguachica, </w:t>
      </w:r>
      <w:r w:rsidR="007512C0">
        <w:rPr>
          <w:lang w:eastAsia="zh-CN" w:bidi="hi-IN"/>
        </w:rPr>
        <w:t xml:space="preserve">no solo el municipio si no toda </w:t>
      </w:r>
      <w:r w:rsidRPr="00834CA4">
        <w:rPr>
          <w:lang w:eastAsia="zh-CN" w:bidi="hi-IN"/>
        </w:rPr>
        <w:t xml:space="preserve">la región </w:t>
      </w:r>
      <w:r w:rsidR="007512C0">
        <w:rPr>
          <w:lang w:eastAsia="zh-CN" w:bidi="hi-IN"/>
        </w:rPr>
        <w:t xml:space="preserve">del sur del Cesar </w:t>
      </w:r>
      <w:r w:rsidRPr="00834CA4">
        <w:rPr>
          <w:lang w:eastAsia="zh-CN" w:bidi="hi-IN"/>
        </w:rPr>
        <w:t>experimentará un crecimiento económico sostenido, con un aumento en la inversión y la creación de empleo. Para controlar este pronóstico, se llevará a cabo un monitoreo continuo de los indicadores económicos y de desarrollo, ajustando las estrategias según sea necesario para garantizar el éxito del proyecto</w:t>
      </w:r>
    </w:p>
    <w:p w14:paraId="7021E6B9" w14:textId="77777777" w:rsidR="008866D1" w:rsidRPr="0015136C" w:rsidRDefault="008866D1" w:rsidP="00087E32">
      <w:pPr>
        <w:spacing w:line="480" w:lineRule="auto"/>
        <w:rPr>
          <w:lang w:eastAsia="zh-CN" w:bidi="hi-IN"/>
        </w:rPr>
      </w:pPr>
    </w:p>
    <w:p w14:paraId="67D86C35" w14:textId="7CDEF1FB" w:rsidR="00461CFD" w:rsidRDefault="0015136C" w:rsidP="0015136C">
      <w:pPr>
        <w:pStyle w:val="Ttulo2"/>
      </w:pPr>
      <w:bookmarkStart w:id="5" w:name="_Toc183783011"/>
      <w:r w:rsidRPr="0015136C">
        <w:t>SISTEMATIZACIÓN DEL PROBLEMA DE INVESTIGACIÓN</w:t>
      </w:r>
      <w:bookmarkEnd w:id="5"/>
    </w:p>
    <w:p w14:paraId="55CBE389" w14:textId="77777777" w:rsidR="008866D1" w:rsidRPr="008866D1" w:rsidRDefault="008866D1" w:rsidP="008866D1"/>
    <w:p w14:paraId="03151235" w14:textId="0FE6C332" w:rsidR="00461CFD" w:rsidRDefault="007512C0" w:rsidP="0015136C">
      <w:pPr>
        <w:tabs>
          <w:tab w:val="left" w:pos="3795"/>
        </w:tabs>
        <w:spacing w:line="480" w:lineRule="auto"/>
        <w:rPr>
          <w:rFonts w:cs="Times New Roman"/>
          <w:color w:val="000000" w:themeColor="text1"/>
        </w:rPr>
      </w:pPr>
      <w:r w:rsidRPr="007512C0">
        <w:rPr>
          <w:rFonts w:cs="Times New Roman"/>
          <w:color w:val="000000" w:themeColor="text1"/>
        </w:rPr>
        <w:t>¿Cuáles son las condiciones fundamentales que debe cumplir el municipio de Aguachica, Cesar, para permitir la creación y so</w:t>
      </w:r>
      <w:r>
        <w:rPr>
          <w:rFonts w:cs="Times New Roman"/>
          <w:color w:val="000000" w:themeColor="text1"/>
        </w:rPr>
        <w:t>stenibilidad de una Zona Franca</w:t>
      </w:r>
      <w:r w:rsidR="00337D70" w:rsidRPr="00337D70">
        <w:rPr>
          <w:rFonts w:cs="Times New Roman"/>
          <w:color w:val="000000" w:themeColor="text1"/>
        </w:rPr>
        <w:t>?</w:t>
      </w:r>
    </w:p>
    <w:p w14:paraId="2DDA8D60" w14:textId="77777777" w:rsidR="008866D1" w:rsidRDefault="008866D1" w:rsidP="0015136C">
      <w:pPr>
        <w:tabs>
          <w:tab w:val="left" w:pos="3795"/>
        </w:tabs>
        <w:spacing w:line="480" w:lineRule="auto"/>
        <w:rPr>
          <w:rFonts w:cs="Times New Roman"/>
          <w:color w:val="000000" w:themeColor="text1"/>
        </w:rPr>
      </w:pPr>
    </w:p>
    <w:p w14:paraId="2E1F912C" w14:textId="70DEF40E" w:rsidR="00461CFD" w:rsidRDefault="0015136C" w:rsidP="0015136C">
      <w:pPr>
        <w:pStyle w:val="Ttulo2"/>
      </w:pPr>
      <w:bookmarkStart w:id="6" w:name="_Toc183783012"/>
      <w:r w:rsidRPr="0015136C">
        <w:t>OBJETIVOS</w:t>
      </w:r>
      <w:bookmarkEnd w:id="6"/>
      <w:r w:rsidRPr="0015136C">
        <w:t xml:space="preserve"> </w:t>
      </w:r>
    </w:p>
    <w:p w14:paraId="09E4E965" w14:textId="77777777" w:rsidR="008866D1" w:rsidRPr="008866D1" w:rsidRDefault="008866D1" w:rsidP="008866D1"/>
    <w:p w14:paraId="1D97091D" w14:textId="06E40152" w:rsidR="00B214AA" w:rsidRDefault="00461CFD" w:rsidP="0015136C">
      <w:pPr>
        <w:pStyle w:val="Ttulo3"/>
        <w:rPr>
          <w:lang w:eastAsia="es-CO"/>
        </w:rPr>
      </w:pPr>
      <w:r w:rsidRPr="00461CFD">
        <w:t xml:space="preserve">           </w:t>
      </w:r>
      <w:bookmarkStart w:id="7" w:name="_Toc183783013"/>
      <w:r w:rsidR="00B214AA" w:rsidRPr="00461CFD">
        <w:rPr>
          <w:lang w:eastAsia="es-CO"/>
        </w:rPr>
        <w:t>Objetivo General</w:t>
      </w:r>
      <w:bookmarkEnd w:id="7"/>
      <w:r w:rsidR="00B214AA" w:rsidRPr="00461CFD">
        <w:rPr>
          <w:lang w:eastAsia="es-CO"/>
        </w:rPr>
        <w:t xml:space="preserve"> </w:t>
      </w:r>
    </w:p>
    <w:p w14:paraId="44CD9878" w14:textId="77777777" w:rsidR="008866D1" w:rsidRPr="008866D1" w:rsidRDefault="008866D1" w:rsidP="008866D1">
      <w:pPr>
        <w:rPr>
          <w:lang w:eastAsia="es-CO"/>
        </w:rPr>
      </w:pPr>
    </w:p>
    <w:p w14:paraId="464553C8" w14:textId="6C68EE62" w:rsidR="00B214AA" w:rsidRPr="00B214AA" w:rsidRDefault="007512C0" w:rsidP="0015136C">
      <w:pPr>
        <w:spacing w:line="480" w:lineRule="auto"/>
        <w:rPr>
          <w:rFonts w:cs="Times New Roman"/>
          <w:bCs/>
          <w:color w:val="000000" w:themeColor="text1"/>
          <w:lang w:eastAsia="zh-CN" w:bidi="hi-IN"/>
        </w:rPr>
      </w:pPr>
      <w:r w:rsidRPr="007512C0">
        <w:rPr>
          <w:rFonts w:cs="Times New Roman"/>
          <w:bCs/>
          <w:color w:val="000000" w:themeColor="text1"/>
          <w:lang w:eastAsia="zh-CN" w:bidi="hi-IN"/>
        </w:rPr>
        <w:t>Evaluar las condiciones fundamentales para la creación de una Zona Franca en el municipio de Aguachica – Cesar, en función de sus características socioeconómicas y de su posición en la región del Sur del Cesar</w:t>
      </w:r>
    </w:p>
    <w:p w14:paraId="651DAC40" w14:textId="74135ED5" w:rsidR="00B214AA" w:rsidRDefault="00B214AA" w:rsidP="0015136C">
      <w:pPr>
        <w:pStyle w:val="Ttulo3"/>
        <w:rPr>
          <w:lang w:eastAsia="es-CO"/>
        </w:rPr>
      </w:pPr>
      <w:bookmarkStart w:id="8" w:name="_Toc183783014"/>
      <w:r w:rsidRPr="00461CFD">
        <w:rPr>
          <w:lang w:eastAsia="es-CO"/>
        </w:rPr>
        <w:t>Objetivos Específico</w:t>
      </w:r>
      <w:r w:rsidR="00461CFD" w:rsidRPr="00461CFD">
        <w:rPr>
          <w:lang w:eastAsia="es-CO"/>
        </w:rPr>
        <w:t>s</w:t>
      </w:r>
      <w:bookmarkEnd w:id="8"/>
    </w:p>
    <w:p w14:paraId="1E5F1215" w14:textId="77777777" w:rsidR="008866D1" w:rsidRPr="008866D1" w:rsidRDefault="008866D1" w:rsidP="008866D1">
      <w:pPr>
        <w:rPr>
          <w:lang w:eastAsia="es-CO"/>
        </w:rPr>
      </w:pPr>
    </w:p>
    <w:p w14:paraId="77EED7E8" w14:textId="780BC825" w:rsidR="00B214AA" w:rsidRPr="00B214AA" w:rsidRDefault="00086A5F" w:rsidP="00086A5F">
      <w:pPr>
        <w:pStyle w:val="Prrafodelista"/>
        <w:widowControl w:val="0"/>
        <w:numPr>
          <w:ilvl w:val="0"/>
          <w:numId w:val="7"/>
        </w:numPr>
        <w:spacing w:line="480" w:lineRule="auto"/>
        <w:rPr>
          <w:rFonts w:ascii="Times New Roman" w:eastAsia="Arial Narrow" w:hAnsi="Times New Roman"/>
          <w:b/>
          <w:bCs/>
          <w:color w:val="000000" w:themeColor="text1"/>
          <w:lang w:eastAsia="es-CO"/>
        </w:rPr>
      </w:pPr>
      <w:r>
        <w:rPr>
          <w:rFonts w:ascii="Times New Roman" w:eastAsia="Arial Narrow" w:hAnsi="Times New Roman"/>
          <w:color w:val="000000" w:themeColor="text1"/>
          <w:lang w:eastAsia="es-CO"/>
        </w:rPr>
        <w:t xml:space="preserve">Examinar </w:t>
      </w:r>
      <w:r w:rsidRPr="00086A5F">
        <w:rPr>
          <w:rFonts w:ascii="Times New Roman" w:eastAsia="Arial Narrow" w:hAnsi="Times New Roman"/>
          <w:color w:val="000000" w:themeColor="text1"/>
          <w:lang w:eastAsia="es-CO"/>
        </w:rPr>
        <w:t xml:space="preserve">la normativa tributaria, aduanera y de comercio exterior que regula el funcionamiento de las zonas francas en Colombia, identificando oportunidades y limitaciones clave que podrían </w:t>
      </w:r>
      <w:r w:rsidRPr="00086A5F">
        <w:rPr>
          <w:rFonts w:ascii="Times New Roman" w:eastAsia="Arial Narrow" w:hAnsi="Times New Roman"/>
          <w:color w:val="000000" w:themeColor="text1"/>
          <w:lang w:eastAsia="es-CO"/>
        </w:rPr>
        <w:lastRenderedPageBreak/>
        <w:t>influir en la competitividad de una Zona Franca en Aguachica, Cesar.</w:t>
      </w:r>
      <w:r w:rsidR="00B214AA">
        <w:rPr>
          <w:rFonts w:ascii="Times New Roman" w:eastAsia="Arial Narrow" w:hAnsi="Times New Roman"/>
          <w:color w:val="000000" w:themeColor="text1"/>
          <w:lang w:eastAsia="es-CO"/>
        </w:rPr>
        <w:t xml:space="preserve">. </w:t>
      </w:r>
    </w:p>
    <w:p w14:paraId="250589CE" w14:textId="44A7E772" w:rsidR="00E61D5D" w:rsidRPr="00E61D5D" w:rsidRDefault="00086A5F" w:rsidP="00086A5F">
      <w:pPr>
        <w:pStyle w:val="Prrafodelista"/>
        <w:widowControl w:val="0"/>
        <w:numPr>
          <w:ilvl w:val="0"/>
          <w:numId w:val="7"/>
        </w:numPr>
        <w:spacing w:line="480" w:lineRule="auto"/>
        <w:rPr>
          <w:rFonts w:eastAsia="Arial Narrow"/>
          <w:lang w:eastAsia="es-CO"/>
        </w:rPr>
      </w:pPr>
      <w:r w:rsidRPr="00086A5F">
        <w:rPr>
          <w:rFonts w:ascii="Times New Roman" w:eastAsia="Arial Narrow" w:hAnsi="Times New Roman"/>
          <w:color w:val="000000" w:themeColor="text1"/>
          <w:lang w:eastAsia="es-CO"/>
        </w:rPr>
        <w:t>Caracterizar las zonas francas de la región Caribe colombiana mediante un análisis de su balanza comercial y de los factores que determinan su competitividad en el comercio exterior</w:t>
      </w:r>
      <w:r w:rsidR="00B214AA" w:rsidRPr="00E61D5D">
        <w:rPr>
          <w:rFonts w:ascii="Times New Roman" w:eastAsia="Arial Narrow" w:hAnsi="Times New Roman"/>
          <w:color w:val="000000" w:themeColor="text1"/>
          <w:lang w:eastAsia="es-CO"/>
        </w:rPr>
        <w:t>.</w:t>
      </w:r>
    </w:p>
    <w:p w14:paraId="35C68950" w14:textId="54863771" w:rsidR="0015136C" w:rsidRDefault="00E61D5D" w:rsidP="00086A5F">
      <w:pPr>
        <w:pStyle w:val="Prrafodelista"/>
        <w:widowControl w:val="0"/>
        <w:numPr>
          <w:ilvl w:val="0"/>
          <w:numId w:val="7"/>
        </w:numPr>
        <w:spacing w:line="480" w:lineRule="auto"/>
        <w:rPr>
          <w:rFonts w:ascii="Times New Roman" w:eastAsia="Arial Narrow" w:hAnsi="Times New Roman"/>
          <w:lang w:eastAsia="es-CO"/>
        </w:rPr>
      </w:pPr>
      <w:r w:rsidRPr="00E61D5D">
        <w:rPr>
          <w:rFonts w:ascii="Times New Roman" w:eastAsia="Arial Narrow" w:hAnsi="Times New Roman"/>
          <w:lang w:eastAsia="es-CO"/>
        </w:rPr>
        <w:t xml:space="preserve">Evaluar </w:t>
      </w:r>
      <w:r w:rsidR="00086A5F" w:rsidRPr="00086A5F">
        <w:rPr>
          <w:rFonts w:ascii="Times New Roman" w:eastAsia="Arial Narrow" w:hAnsi="Times New Roman"/>
          <w:lang w:eastAsia="es-CO"/>
        </w:rPr>
        <w:t>las condiciones del mercado y los factores internos y externos necesarios para la creación de una zona franca en el municipio de Aguachica, Cesar, utilizando herramientas de análisis estratégico para determinar su viabilidad y potencial de desarrollo económico</w:t>
      </w:r>
      <w:r w:rsidR="00087E32">
        <w:rPr>
          <w:rFonts w:ascii="Times New Roman" w:eastAsia="Arial Narrow" w:hAnsi="Times New Roman"/>
          <w:lang w:eastAsia="es-CO"/>
        </w:rPr>
        <w:t>.</w:t>
      </w:r>
    </w:p>
    <w:p w14:paraId="231765DE" w14:textId="77777777" w:rsidR="009933F3" w:rsidRPr="00087E32" w:rsidRDefault="009933F3" w:rsidP="009933F3">
      <w:pPr>
        <w:pStyle w:val="Prrafodelista"/>
        <w:widowControl w:val="0"/>
        <w:spacing w:line="480" w:lineRule="auto"/>
        <w:ind w:left="360" w:firstLine="0"/>
        <w:rPr>
          <w:rStyle w:val="nfasisintenso"/>
          <w:rFonts w:ascii="Times New Roman" w:eastAsia="Arial Narrow" w:hAnsi="Times New Roman"/>
          <w:i w:val="0"/>
          <w:iCs w:val="0"/>
          <w:color w:val="auto"/>
          <w:lang w:eastAsia="es-CO"/>
        </w:rPr>
      </w:pPr>
    </w:p>
    <w:p w14:paraId="14142FA9" w14:textId="3117DDB3" w:rsidR="00513F33" w:rsidRDefault="0015136C" w:rsidP="0015136C">
      <w:pPr>
        <w:pStyle w:val="Ttulo2"/>
        <w:rPr>
          <w:rStyle w:val="nfasisintenso"/>
          <w:i w:val="0"/>
          <w:iCs w:val="0"/>
          <w:color w:val="auto"/>
        </w:rPr>
      </w:pPr>
      <w:bookmarkStart w:id="9" w:name="_Toc183783015"/>
      <w:r w:rsidRPr="0015136C">
        <w:rPr>
          <w:rStyle w:val="nfasisintenso"/>
          <w:i w:val="0"/>
          <w:iCs w:val="0"/>
          <w:color w:val="auto"/>
        </w:rPr>
        <w:t>JUSTIFICACIÓN</w:t>
      </w:r>
      <w:bookmarkEnd w:id="9"/>
    </w:p>
    <w:p w14:paraId="2C217440" w14:textId="77777777" w:rsidR="009933F3" w:rsidRPr="009933F3" w:rsidRDefault="009933F3" w:rsidP="009933F3"/>
    <w:p w14:paraId="4498E1C2" w14:textId="2D7ECB7C" w:rsidR="00461CFD" w:rsidRPr="00513F33" w:rsidRDefault="00461CFD" w:rsidP="0015136C">
      <w:pPr>
        <w:spacing w:line="480" w:lineRule="auto"/>
        <w:rPr>
          <w:rStyle w:val="nfasisintenso"/>
          <w:rFonts w:eastAsia="Arial Narrow" w:cs="Times New Roman"/>
          <w:bCs/>
          <w:i w:val="0"/>
          <w:iCs w:val="0"/>
          <w:color w:val="000000" w:themeColor="text1"/>
          <w:szCs w:val="18"/>
          <w:lang w:eastAsia="es-CO"/>
        </w:rPr>
      </w:pPr>
      <w:r w:rsidRPr="00513F33">
        <w:rPr>
          <w:rStyle w:val="nfasisintenso"/>
          <w:rFonts w:eastAsia="Arial Narrow" w:cs="Times New Roman"/>
          <w:bCs/>
          <w:i w:val="0"/>
          <w:iCs w:val="0"/>
          <w:color w:val="000000" w:themeColor="text1"/>
          <w:szCs w:val="18"/>
          <w:lang w:eastAsia="es-CO"/>
        </w:rPr>
        <w:t>La globalización se ha consolidado como un factor clave en el desarrollo del capitalismo, y en este contexto, las importaciones y exportaciones desempeñan un papel crucial al fomentar la creación de empleos, la generación de conocimientos, y la innovación tecnológica e infraestructural en las Zonas Francas (ZF). Estas zonas se han convertido en herramientas fundamentales para promover el comercio internacional, equilibrar las economías y contribuir al desarrollo de los países, mejorando su competitividad y prod</w:t>
      </w:r>
      <w:r w:rsidR="00513F33">
        <w:rPr>
          <w:rStyle w:val="nfasisintenso"/>
          <w:rFonts w:eastAsia="Arial Narrow" w:cs="Times New Roman"/>
          <w:bCs/>
          <w:i w:val="0"/>
          <w:iCs w:val="0"/>
          <w:color w:val="000000" w:themeColor="text1"/>
          <w:szCs w:val="18"/>
          <w:lang w:eastAsia="es-CO"/>
        </w:rPr>
        <w:t>uctividad</w:t>
      </w:r>
      <w:r w:rsidR="000632B0">
        <w:rPr>
          <w:rStyle w:val="nfasisintenso"/>
          <w:rFonts w:eastAsia="Arial Narrow" w:cs="Times New Roman"/>
          <w:bCs/>
          <w:i w:val="0"/>
          <w:iCs w:val="0"/>
          <w:color w:val="000000" w:themeColor="text1"/>
          <w:szCs w:val="18"/>
          <w:lang w:eastAsia="es-CO"/>
        </w:rPr>
        <w:t>,</w:t>
      </w:r>
      <w:r w:rsidR="00513F33">
        <w:rPr>
          <w:rStyle w:val="nfasisintenso"/>
          <w:rFonts w:eastAsia="Arial Narrow" w:cs="Times New Roman"/>
          <w:bCs/>
          <w:i w:val="0"/>
          <w:iCs w:val="0"/>
          <w:color w:val="000000" w:themeColor="text1"/>
          <w:szCs w:val="18"/>
          <w:lang w:eastAsia="es-CO"/>
        </w:rPr>
        <w:t xml:space="preserve"> </w:t>
      </w:r>
      <w:r w:rsidR="000632B0" w:rsidRPr="00513F33">
        <w:rPr>
          <w:noProof/>
          <w:lang w:val="es-ES" w:eastAsia="es-CO"/>
        </w:rPr>
        <w:t>Alcázar</w:t>
      </w:r>
      <w:r w:rsidR="000632B0">
        <w:rPr>
          <w:noProof/>
          <w:lang w:val="es-ES" w:eastAsia="es-CO"/>
        </w:rPr>
        <w:t xml:space="preserve"> (</w:t>
      </w:r>
      <w:r w:rsidR="000632B0" w:rsidRPr="00513F33">
        <w:rPr>
          <w:noProof/>
          <w:lang w:val="es-ES" w:eastAsia="es-CO"/>
        </w:rPr>
        <w:t>2023)</w:t>
      </w:r>
      <w:r w:rsidRPr="00513F33">
        <w:rPr>
          <w:rStyle w:val="nfasisintenso"/>
          <w:rFonts w:eastAsia="Arial Narrow" w:cs="Times New Roman"/>
          <w:bCs/>
          <w:i w:val="0"/>
          <w:iCs w:val="0"/>
          <w:color w:val="000000" w:themeColor="text1"/>
          <w:szCs w:val="18"/>
          <w:lang w:eastAsia="es-CO"/>
        </w:rPr>
        <w:t>. En Colombia,</w:t>
      </w:r>
      <w:r w:rsidR="000632B0">
        <w:rPr>
          <w:rStyle w:val="nfasisintenso"/>
          <w:rFonts w:eastAsia="Arial Narrow" w:cs="Times New Roman"/>
          <w:bCs/>
          <w:i w:val="0"/>
          <w:iCs w:val="0"/>
          <w:color w:val="000000" w:themeColor="text1"/>
          <w:szCs w:val="18"/>
          <w:lang w:eastAsia="es-CO"/>
        </w:rPr>
        <w:t xml:space="preserve"> según </w:t>
      </w:r>
      <w:r w:rsidR="000632B0" w:rsidRPr="00513F33">
        <w:rPr>
          <w:noProof/>
          <w:lang w:val="es-ES" w:eastAsia="es-CO"/>
        </w:rPr>
        <w:t>Lun</w:t>
      </w:r>
      <w:r w:rsidR="00087E32">
        <w:rPr>
          <w:noProof/>
          <w:lang w:val="es-ES" w:eastAsia="es-CO"/>
        </w:rPr>
        <w:t>a et al,</w:t>
      </w:r>
      <w:r w:rsidR="000632B0" w:rsidRPr="00513F33">
        <w:rPr>
          <w:noProof/>
          <w:lang w:val="es-ES" w:eastAsia="es-CO"/>
        </w:rPr>
        <w:t xml:space="preserve"> </w:t>
      </w:r>
      <w:r w:rsidR="000632B0">
        <w:rPr>
          <w:noProof/>
          <w:lang w:val="es-ES" w:eastAsia="es-CO"/>
        </w:rPr>
        <w:t>(</w:t>
      </w:r>
      <w:r w:rsidR="000632B0" w:rsidRPr="00513F33">
        <w:rPr>
          <w:noProof/>
          <w:lang w:val="es-ES" w:eastAsia="es-CO"/>
        </w:rPr>
        <w:t>2019)</w:t>
      </w:r>
      <w:r w:rsidRPr="00513F33">
        <w:rPr>
          <w:rStyle w:val="nfasisintenso"/>
          <w:rFonts w:eastAsia="Arial Narrow" w:cs="Times New Roman"/>
          <w:bCs/>
          <w:i w:val="0"/>
          <w:iCs w:val="0"/>
          <w:color w:val="000000" w:themeColor="text1"/>
          <w:szCs w:val="18"/>
          <w:lang w:eastAsia="es-CO"/>
        </w:rPr>
        <w:t xml:space="preserve"> las ZF simbolizan la apertura económica y la expansión regional, ubicadas estratégicamente en diversas partes del país.</w:t>
      </w:r>
      <w:r w:rsidR="000632B0">
        <w:rPr>
          <w:rStyle w:val="nfasisintenso"/>
          <w:rFonts w:eastAsia="Arial Narrow" w:cs="Times New Roman"/>
          <w:bCs/>
          <w:i w:val="0"/>
          <w:iCs w:val="0"/>
          <w:color w:val="000000" w:themeColor="text1"/>
          <w:szCs w:val="18"/>
          <w:lang w:eastAsia="es-CO"/>
        </w:rPr>
        <w:t xml:space="preserve"> </w:t>
      </w:r>
      <w:r w:rsidR="000632B0" w:rsidRPr="00513F33">
        <w:rPr>
          <w:noProof/>
          <w:lang w:val="es-ES" w:eastAsia="es-CO"/>
        </w:rPr>
        <w:t>Aguilar</w:t>
      </w:r>
      <w:r w:rsidR="00087E32">
        <w:rPr>
          <w:noProof/>
          <w:lang w:val="es-ES" w:eastAsia="es-CO"/>
        </w:rPr>
        <w:t xml:space="preserve"> et al, </w:t>
      </w:r>
      <w:r w:rsidR="000632B0">
        <w:rPr>
          <w:noProof/>
          <w:lang w:val="es-ES" w:eastAsia="es-CO"/>
        </w:rPr>
        <w:t>(</w:t>
      </w:r>
      <w:r w:rsidR="000632B0" w:rsidRPr="00513F33">
        <w:rPr>
          <w:noProof/>
          <w:lang w:val="es-ES" w:eastAsia="es-CO"/>
        </w:rPr>
        <w:t>2019)</w:t>
      </w:r>
      <w:r w:rsidR="000632B0">
        <w:rPr>
          <w:noProof/>
          <w:lang w:val="es-ES" w:eastAsia="es-CO"/>
        </w:rPr>
        <w:t xml:space="preserve"> exponen que e</w:t>
      </w:r>
      <w:r w:rsidRPr="00513F33">
        <w:rPr>
          <w:rStyle w:val="nfasisintenso"/>
          <w:rFonts w:eastAsia="Arial Narrow" w:cs="Times New Roman"/>
          <w:bCs/>
          <w:i w:val="0"/>
          <w:iCs w:val="0"/>
          <w:color w:val="000000" w:themeColor="text1"/>
          <w:szCs w:val="18"/>
          <w:lang w:eastAsia="es-CO"/>
        </w:rPr>
        <w:t>l gobierno nacional, a través de incentivos tributarios y aduaneros, busca que estas zonas se conviertan en motores del desarrollo regional, permitiendo a las empresas allí ubicadas mejorar su competitividad y expandirse en los mercados internacionales</w:t>
      </w:r>
      <w:r w:rsidR="000632B0">
        <w:rPr>
          <w:rStyle w:val="nfasisintenso"/>
          <w:rFonts w:eastAsia="Arial Narrow" w:cs="Times New Roman"/>
          <w:bCs/>
          <w:i w:val="0"/>
          <w:iCs w:val="0"/>
          <w:color w:val="000000" w:themeColor="text1"/>
          <w:szCs w:val="18"/>
          <w:lang w:eastAsia="es-CO"/>
        </w:rPr>
        <w:t>.</w:t>
      </w:r>
      <w:r w:rsidRPr="00513F33">
        <w:rPr>
          <w:rStyle w:val="nfasisintenso"/>
          <w:rFonts w:eastAsia="Arial Narrow" w:cs="Times New Roman"/>
          <w:bCs/>
          <w:i w:val="0"/>
          <w:iCs w:val="0"/>
          <w:color w:val="000000" w:themeColor="text1"/>
          <w:szCs w:val="18"/>
          <w:lang w:eastAsia="es-CO"/>
        </w:rPr>
        <w:t xml:space="preserve"> </w:t>
      </w:r>
    </w:p>
    <w:p w14:paraId="4D44A5CB" w14:textId="6E99E5ED" w:rsidR="00461CFD" w:rsidRPr="00513F33" w:rsidRDefault="00461CFD" w:rsidP="0015136C">
      <w:pPr>
        <w:spacing w:line="480" w:lineRule="auto"/>
        <w:rPr>
          <w:rStyle w:val="nfasisintenso"/>
          <w:rFonts w:eastAsia="Arial Narrow" w:cs="Times New Roman"/>
          <w:bCs/>
          <w:i w:val="0"/>
          <w:iCs w:val="0"/>
          <w:color w:val="000000" w:themeColor="text1"/>
          <w:szCs w:val="18"/>
          <w:lang w:eastAsia="es-CO"/>
        </w:rPr>
      </w:pPr>
      <w:r w:rsidRPr="00513F33">
        <w:rPr>
          <w:rStyle w:val="nfasisintenso"/>
          <w:rFonts w:eastAsia="Arial Narrow" w:cs="Times New Roman"/>
          <w:bCs/>
          <w:i w:val="0"/>
          <w:iCs w:val="0"/>
          <w:color w:val="000000" w:themeColor="text1"/>
          <w:szCs w:val="18"/>
          <w:lang w:eastAsia="es-CO"/>
        </w:rPr>
        <w:t xml:space="preserve">Desde una perspectiva teórica, esta investigación es relevante porque permitirá ampliar el conocimiento sobre la aplicabilidad de las ZF en regiones subdesarrolladas de Colombia, como el sur del Cesar. Aguachica, en particular, cuenta con características geográficas y socioeconómicas </w:t>
      </w:r>
      <w:r w:rsidRPr="00513F33">
        <w:rPr>
          <w:rStyle w:val="nfasisintenso"/>
          <w:rFonts w:eastAsia="Arial Narrow" w:cs="Times New Roman"/>
          <w:bCs/>
          <w:i w:val="0"/>
          <w:iCs w:val="0"/>
          <w:color w:val="000000" w:themeColor="text1"/>
          <w:szCs w:val="18"/>
          <w:lang w:eastAsia="es-CO"/>
        </w:rPr>
        <w:lastRenderedPageBreak/>
        <w:t>que podrían favorecer la creación de una ZF, pero hasta ahora no ha sido objeto de estudios exhaustivos en este contexto. Este estudio, por lo tanto, llenará un vacío en la literatura existente, proporcionando una base teórica para futuras investigaciones sobre el impacto de las ZF en el desarrollo regional.</w:t>
      </w:r>
    </w:p>
    <w:p w14:paraId="5A850204" w14:textId="660CAB7B" w:rsidR="00461CFD" w:rsidRPr="00513F33" w:rsidRDefault="00461CFD" w:rsidP="0015136C">
      <w:pPr>
        <w:spacing w:line="480" w:lineRule="auto"/>
        <w:rPr>
          <w:rStyle w:val="nfasisintenso"/>
          <w:rFonts w:eastAsia="Arial Narrow" w:cs="Times New Roman"/>
          <w:bCs/>
          <w:i w:val="0"/>
          <w:iCs w:val="0"/>
          <w:color w:val="000000" w:themeColor="text1"/>
          <w:szCs w:val="18"/>
          <w:lang w:eastAsia="es-CO"/>
        </w:rPr>
      </w:pPr>
      <w:r w:rsidRPr="00513F33">
        <w:rPr>
          <w:rStyle w:val="nfasisintenso"/>
          <w:rFonts w:eastAsia="Arial Narrow" w:cs="Times New Roman"/>
          <w:bCs/>
          <w:i w:val="0"/>
          <w:iCs w:val="0"/>
          <w:color w:val="000000" w:themeColor="text1"/>
          <w:szCs w:val="18"/>
          <w:lang w:eastAsia="es-CO"/>
        </w:rPr>
        <w:t>En cuanto a su conveniencia práctica, es fundamental analizar el estado actual de la comunidad empresarial y social en el sur del Cesar, evaluando factores como las vías de acceso, los tipos de cultivos predominantes, y los flujos de importación y exportación. Estos factores influyen directamente en la necesidad y viabilidad de establecer una ZF en Aguachica. La creación de una ZF podría actuar como catalizador para el desarrollo económico de la región, atrayendo inversión extranjera directa, generando empleo, y mejorando la infraestructura local. Desde esta perspectiva, la investigación no solo tiene un valor teórico, sino también un impacto práctico significativo al ofrecer soluciones concretas para mejorar la competitividad empresarial en la región.</w:t>
      </w:r>
    </w:p>
    <w:p w14:paraId="3BAB35C2" w14:textId="77777777" w:rsidR="00461CFD" w:rsidRPr="00513F33" w:rsidRDefault="00461CFD" w:rsidP="0015136C">
      <w:pPr>
        <w:spacing w:line="480" w:lineRule="auto"/>
        <w:rPr>
          <w:rStyle w:val="nfasisintenso"/>
          <w:rFonts w:eastAsia="Arial Narrow" w:cs="Times New Roman"/>
          <w:bCs/>
          <w:i w:val="0"/>
          <w:iCs w:val="0"/>
          <w:color w:val="000000" w:themeColor="text1"/>
          <w:szCs w:val="18"/>
          <w:lang w:eastAsia="es-CO"/>
        </w:rPr>
      </w:pPr>
      <w:r w:rsidRPr="00513F33">
        <w:rPr>
          <w:rStyle w:val="nfasisintenso"/>
          <w:rFonts w:eastAsia="Arial Narrow" w:cs="Times New Roman"/>
          <w:bCs/>
          <w:i w:val="0"/>
          <w:iCs w:val="0"/>
          <w:color w:val="000000" w:themeColor="text1"/>
          <w:szCs w:val="18"/>
          <w:lang w:eastAsia="es-CO"/>
        </w:rPr>
        <w:t>Metodológicamente, esta investigación se justifica por su enfoque evaluativo y diagnóstico. A través de un análisis riguroso de las condiciones socioeconómicas y geográficas, se identificarán las condiciones fundamentales que Aguachica debe cumplir para albergar una ZF. Esta metodología permitirá desarrollar un marco que pueda ser aplicado en otros municipios con características similares, lo que otorga a este estudio una utilidad más amplia y replicable.</w:t>
      </w:r>
    </w:p>
    <w:p w14:paraId="19385FBD" w14:textId="7457B130" w:rsidR="00461CFD" w:rsidRDefault="00AC405C" w:rsidP="000632B0">
      <w:pPr>
        <w:spacing w:line="480" w:lineRule="auto"/>
        <w:rPr>
          <w:rStyle w:val="nfasisintenso"/>
          <w:rFonts w:eastAsia="Arial Narrow" w:cs="Times New Roman"/>
          <w:bCs/>
          <w:i w:val="0"/>
          <w:iCs w:val="0"/>
          <w:color w:val="000000" w:themeColor="text1"/>
          <w:szCs w:val="18"/>
          <w:lang w:eastAsia="es-CO"/>
        </w:rPr>
      </w:pPr>
      <w:r>
        <w:rPr>
          <w:rStyle w:val="nfasisintenso"/>
          <w:rFonts w:eastAsia="Arial Narrow" w:cs="Times New Roman"/>
          <w:bCs/>
          <w:i w:val="0"/>
          <w:iCs w:val="0"/>
          <w:color w:val="000000" w:themeColor="text1"/>
          <w:szCs w:val="18"/>
          <w:lang w:eastAsia="es-CO"/>
        </w:rPr>
        <w:t>Por otra parte</w:t>
      </w:r>
      <w:r w:rsidR="00461CFD" w:rsidRPr="00513F33">
        <w:rPr>
          <w:rStyle w:val="nfasisintenso"/>
          <w:rFonts w:eastAsia="Arial Narrow" w:cs="Times New Roman"/>
          <w:bCs/>
          <w:i w:val="0"/>
          <w:iCs w:val="0"/>
          <w:color w:val="000000" w:themeColor="text1"/>
          <w:szCs w:val="18"/>
          <w:lang w:eastAsia="es-CO"/>
        </w:rPr>
        <w:t xml:space="preserve">, desde un enfoque social, esta investigación es pertinente porque aborda un problema real que afecta a una región con potencial de desarrollo. La implementación de una ZF en Aguachica no solo beneficiaría al sector empresarial, sino que también tendría un impacto positivo en la comunidad local, mejorando la calidad de vida de los habitantes y contribuyendo al desarrollo sostenible del sur del Cesar. Al evaluar las condiciones para la creación de una ZF, se </w:t>
      </w:r>
      <w:r w:rsidR="00461CFD" w:rsidRPr="00513F33">
        <w:rPr>
          <w:rStyle w:val="nfasisintenso"/>
          <w:rFonts w:eastAsia="Arial Narrow" w:cs="Times New Roman"/>
          <w:bCs/>
          <w:i w:val="0"/>
          <w:iCs w:val="0"/>
          <w:color w:val="000000" w:themeColor="text1"/>
          <w:szCs w:val="18"/>
          <w:lang w:eastAsia="es-CO"/>
        </w:rPr>
        <w:lastRenderedPageBreak/>
        <w:t>podrán proponer estrategias que no solo impulsen la competitividad empresarial, sino que también promuevan un desarrollo económico y social inclusivo</w:t>
      </w:r>
      <w:r w:rsidR="000632B0">
        <w:rPr>
          <w:rStyle w:val="nfasisintenso"/>
          <w:rFonts w:eastAsia="Arial Narrow" w:cs="Times New Roman"/>
          <w:bCs/>
          <w:i w:val="0"/>
          <w:iCs w:val="0"/>
          <w:color w:val="000000" w:themeColor="text1"/>
          <w:szCs w:val="18"/>
          <w:lang w:eastAsia="es-CO"/>
        </w:rPr>
        <w:t>.</w:t>
      </w:r>
    </w:p>
    <w:p w14:paraId="3DCE51FD" w14:textId="738AF491" w:rsidR="00AC405C" w:rsidRDefault="00AC405C" w:rsidP="00AC405C">
      <w:pPr>
        <w:spacing w:line="480" w:lineRule="auto"/>
        <w:rPr>
          <w:rStyle w:val="nfasisintenso"/>
          <w:rFonts w:eastAsia="Arial Narrow" w:cs="Times New Roman"/>
          <w:bCs/>
          <w:i w:val="0"/>
          <w:iCs w:val="0"/>
          <w:color w:val="000000" w:themeColor="text1"/>
          <w:szCs w:val="18"/>
          <w:lang w:eastAsia="es-CO"/>
        </w:rPr>
      </w:pPr>
      <w:r w:rsidRPr="00AC405C">
        <w:rPr>
          <w:rStyle w:val="nfasisintenso"/>
          <w:rFonts w:eastAsia="Arial Narrow" w:cs="Times New Roman"/>
          <w:bCs/>
          <w:i w:val="0"/>
          <w:iCs w:val="0"/>
          <w:color w:val="000000" w:themeColor="text1"/>
          <w:szCs w:val="18"/>
          <w:lang w:eastAsia="es-CO"/>
        </w:rPr>
        <w:t>La relevancia de este proyecto radica en su potencial para contribuir al desarrollo económico de Aguachica mediante la creación de una Zona Franca, lo cual podría dinamizar el crecimiento regional y mejorar la competitividad de la zona. En investigaciones previas sobre zonas francas en regiones de características similares, como las de las regiones Caribe y otras zonas francas en América Latina, se ha demostrado que estas áreas de régimen especial pueden ser catalizadores de inversión extranjera directa, generación de empleo y desarrollo industrial</w:t>
      </w:r>
      <w:r>
        <w:rPr>
          <w:rStyle w:val="nfasisintenso"/>
          <w:rFonts w:eastAsia="Arial Narrow" w:cs="Times New Roman"/>
          <w:bCs/>
          <w:i w:val="0"/>
          <w:iCs w:val="0"/>
          <w:color w:val="000000" w:themeColor="text1"/>
          <w:szCs w:val="18"/>
          <w:lang w:eastAsia="es-CO"/>
        </w:rPr>
        <w:t xml:space="preserve"> </w:t>
      </w:r>
      <w:sdt>
        <w:sdtPr>
          <w:rPr>
            <w:rStyle w:val="nfasisintenso"/>
            <w:rFonts w:eastAsia="Arial Narrow" w:cs="Times New Roman"/>
            <w:bCs/>
            <w:i w:val="0"/>
            <w:iCs w:val="0"/>
            <w:color w:val="000000" w:themeColor="text1"/>
            <w:szCs w:val="18"/>
            <w:lang w:eastAsia="es-CO"/>
          </w:rPr>
          <w:id w:val="1918820333"/>
          <w:citation/>
        </w:sdtPr>
        <w:sdtEndPr>
          <w:rPr>
            <w:rStyle w:val="nfasisintenso"/>
          </w:rPr>
        </w:sdtEndPr>
        <w:sdtContent>
          <w:r>
            <w:rPr>
              <w:rStyle w:val="nfasisintenso"/>
              <w:rFonts w:eastAsia="Arial Narrow" w:cs="Times New Roman"/>
              <w:bCs/>
              <w:i w:val="0"/>
              <w:iCs w:val="0"/>
              <w:color w:val="000000" w:themeColor="text1"/>
              <w:szCs w:val="18"/>
              <w:lang w:eastAsia="es-CO"/>
            </w:rPr>
            <w:fldChar w:fldCharType="begin"/>
          </w:r>
          <w:r>
            <w:rPr>
              <w:rStyle w:val="nfasisintenso"/>
              <w:rFonts w:eastAsia="Arial Narrow" w:cs="Times New Roman"/>
              <w:bCs/>
              <w:i w:val="0"/>
              <w:iCs w:val="0"/>
              <w:color w:val="000000" w:themeColor="text1"/>
              <w:szCs w:val="18"/>
              <w:lang w:val="es-ES" w:eastAsia="es-CO"/>
            </w:rPr>
            <w:instrText xml:space="preserve"> CITATION Nic07 \l 3082 </w:instrText>
          </w:r>
          <w:r>
            <w:rPr>
              <w:rStyle w:val="nfasisintenso"/>
              <w:rFonts w:eastAsia="Arial Narrow" w:cs="Times New Roman"/>
              <w:bCs/>
              <w:i w:val="0"/>
              <w:iCs w:val="0"/>
              <w:color w:val="000000" w:themeColor="text1"/>
              <w:szCs w:val="18"/>
              <w:lang w:eastAsia="es-CO"/>
            </w:rPr>
            <w:fldChar w:fldCharType="separate"/>
          </w:r>
          <w:r w:rsidRPr="00AC405C">
            <w:rPr>
              <w:rFonts w:eastAsia="Arial Narrow" w:cs="Times New Roman"/>
              <w:noProof/>
              <w:color w:val="000000" w:themeColor="text1"/>
              <w:szCs w:val="18"/>
              <w:lang w:val="es-ES" w:eastAsia="es-CO"/>
            </w:rPr>
            <w:t>(Gligo, 2007)</w:t>
          </w:r>
          <w:r>
            <w:rPr>
              <w:rStyle w:val="nfasisintenso"/>
              <w:rFonts w:eastAsia="Arial Narrow" w:cs="Times New Roman"/>
              <w:bCs/>
              <w:i w:val="0"/>
              <w:iCs w:val="0"/>
              <w:color w:val="000000" w:themeColor="text1"/>
              <w:szCs w:val="18"/>
              <w:lang w:eastAsia="es-CO"/>
            </w:rPr>
            <w:fldChar w:fldCharType="end"/>
          </w:r>
        </w:sdtContent>
      </w:sdt>
      <w:r w:rsidRPr="00AC405C">
        <w:rPr>
          <w:rStyle w:val="nfasisintenso"/>
          <w:rFonts w:eastAsia="Arial Narrow" w:cs="Times New Roman"/>
          <w:bCs/>
          <w:i w:val="0"/>
          <w:iCs w:val="0"/>
          <w:color w:val="000000" w:themeColor="text1"/>
          <w:szCs w:val="18"/>
          <w:lang w:eastAsia="es-CO"/>
        </w:rPr>
        <w:t>. Estudios como los realizados en la Zona Franca de Barranquilla en Colombia y en la Zona Franca de Manaos en Brasil destacan cómo la implementación de incentivos fiscales y aduaneros en zonas estratégicas ha potenciado el crecimiento económico, reduciendo las desigualdades regionales y fomentando el comercio exterior</w:t>
      </w:r>
      <w:r>
        <w:rPr>
          <w:rStyle w:val="nfasisintenso"/>
          <w:rFonts w:eastAsia="Arial Narrow" w:cs="Times New Roman"/>
          <w:bCs/>
          <w:i w:val="0"/>
          <w:iCs w:val="0"/>
          <w:color w:val="000000" w:themeColor="text1"/>
          <w:szCs w:val="18"/>
          <w:lang w:eastAsia="es-CO"/>
        </w:rPr>
        <w:t xml:space="preserve"> </w:t>
      </w:r>
      <w:r w:rsidR="00087E32" w:rsidRPr="00AC405C">
        <w:rPr>
          <w:rFonts w:eastAsia="Arial Narrow" w:cs="Times New Roman"/>
          <w:noProof/>
          <w:color w:val="000000" w:themeColor="text1"/>
          <w:szCs w:val="18"/>
          <w:lang w:val="es-ES" w:eastAsia="es-CO"/>
        </w:rPr>
        <w:t xml:space="preserve">Luna </w:t>
      </w:r>
      <w:r w:rsidR="00087E32">
        <w:rPr>
          <w:rFonts w:eastAsia="Arial Narrow" w:cs="Times New Roman"/>
          <w:noProof/>
          <w:color w:val="000000" w:themeColor="text1"/>
          <w:szCs w:val="18"/>
          <w:lang w:val="es-ES" w:eastAsia="es-CO"/>
        </w:rPr>
        <w:t>et al, (</w:t>
      </w:r>
      <w:r w:rsidR="00087E32" w:rsidRPr="00AC405C">
        <w:rPr>
          <w:rFonts w:eastAsia="Arial Narrow" w:cs="Times New Roman"/>
          <w:noProof/>
          <w:color w:val="000000" w:themeColor="text1"/>
          <w:szCs w:val="18"/>
          <w:lang w:val="es-ES" w:eastAsia="es-CO"/>
        </w:rPr>
        <w:t>2019)</w:t>
      </w:r>
      <w:r w:rsidRPr="00AC405C">
        <w:rPr>
          <w:rStyle w:val="nfasisintenso"/>
          <w:rFonts w:eastAsia="Arial Narrow" w:cs="Times New Roman"/>
          <w:bCs/>
          <w:i w:val="0"/>
          <w:iCs w:val="0"/>
          <w:color w:val="000000" w:themeColor="text1"/>
          <w:szCs w:val="18"/>
          <w:lang w:eastAsia="es-CO"/>
        </w:rPr>
        <w:t>.</w:t>
      </w:r>
    </w:p>
    <w:p w14:paraId="6ECB32C4" w14:textId="77777777" w:rsidR="009933F3" w:rsidRDefault="009933F3" w:rsidP="00AC405C">
      <w:pPr>
        <w:spacing w:line="480" w:lineRule="auto"/>
        <w:rPr>
          <w:rStyle w:val="nfasisintenso"/>
          <w:rFonts w:eastAsia="Arial Narrow" w:cs="Times New Roman"/>
          <w:bCs/>
          <w:i w:val="0"/>
          <w:iCs w:val="0"/>
          <w:color w:val="000000" w:themeColor="text1"/>
          <w:szCs w:val="18"/>
          <w:lang w:eastAsia="es-CO"/>
        </w:rPr>
      </w:pPr>
      <w:r w:rsidRPr="009933F3">
        <w:rPr>
          <w:rStyle w:val="nfasisintenso"/>
          <w:rFonts w:eastAsia="Arial Narrow" w:cs="Times New Roman"/>
          <w:bCs/>
          <w:i w:val="0"/>
          <w:iCs w:val="0"/>
          <w:color w:val="000000" w:themeColor="text1"/>
          <w:szCs w:val="18"/>
          <w:lang w:eastAsia="es-CO"/>
        </w:rPr>
        <w:t xml:space="preserve">Desde una perspectiva ambiental, la creación de una Zona Franca en Aguachica debe evaluarse no solo por sus beneficios económicos y sociales, sino también por su impacto en el entorno natural. La implementación de una Zona Franca tiene el potencial de generar efectos tanto positivos como negativos en el medio ambiente, dependiendo de las medidas adoptadas durante su planificación y operación. Por un lado, el establecimiento de una zona franca puede incentivar el uso de tecnologías limpias y promover prácticas de producción sostenible, contribuyendo a la reducción de emisiones de carbono y al manejo eficiente de recursos como el agua y la energía. </w:t>
      </w:r>
    </w:p>
    <w:p w14:paraId="3C3B0499" w14:textId="0467752E" w:rsidR="009933F3" w:rsidRPr="00AC405C" w:rsidRDefault="009933F3" w:rsidP="00AC405C">
      <w:pPr>
        <w:spacing w:line="480" w:lineRule="auto"/>
        <w:rPr>
          <w:rStyle w:val="nfasisintenso"/>
          <w:rFonts w:eastAsia="Arial Narrow" w:cs="Times New Roman"/>
          <w:bCs/>
          <w:i w:val="0"/>
          <w:iCs w:val="0"/>
          <w:color w:val="000000" w:themeColor="text1"/>
          <w:szCs w:val="18"/>
          <w:lang w:eastAsia="es-CO"/>
        </w:rPr>
      </w:pPr>
      <w:r w:rsidRPr="009933F3">
        <w:rPr>
          <w:rStyle w:val="nfasisintenso"/>
          <w:rFonts w:eastAsia="Arial Narrow" w:cs="Times New Roman"/>
          <w:bCs/>
          <w:i w:val="0"/>
          <w:iCs w:val="0"/>
          <w:color w:val="000000" w:themeColor="text1"/>
          <w:szCs w:val="18"/>
          <w:lang w:eastAsia="es-CO"/>
        </w:rPr>
        <w:t xml:space="preserve">Por otro lado, existe el riesgo de presión sobre los recursos naturales locales, contaminación ambiental y generación de residuos, particularmente si no se establecen regulaciones claras y mecanismos de control ambiental efectivos. Por ello, esta propuesta enfatiza la necesidad de incorporar principios de sostenibilidad en el diseño de la zona franca, incluyendo evaluaciones de </w:t>
      </w:r>
      <w:r w:rsidRPr="009933F3">
        <w:rPr>
          <w:rStyle w:val="nfasisintenso"/>
          <w:rFonts w:eastAsia="Arial Narrow" w:cs="Times New Roman"/>
          <w:bCs/>
          <w:i w:val="0"/>
          <w:iCs w:val="0"/>
          <w:color w:val="000000" w:themeColor="text1"/>
          <w:szCs w:val="18"/>
          <w:lang w:eastAsia="es-CO"/>
        </w:rPr>
        <w:lastRenderedPageBreak/>
        <w:t>impacto ambiental previas, planes de mitigación y estrategias para fomentar la economía circular. Esto no solo garantizaría un desarrollo armónico con el entorno natural, sino que también posicionaría a Aguachica como un referente de innovación y responsabilidad ambiental en la región del sur del Cesar.</w:t>
      </w:r>
    </w:p>
    <w:p w14:paraId="6D5D2340" w14:textId="771A6B33" w:rsidR="00AC405C" w:rsidRDefault="00E43825" w:rsidP="00AC405C">
      <w:pPr>
        <w:spacing w:line="480" w:lineRule="auto"/>
        <w:rPr>
          <w:rStyle w:val="nfasisintenso"/>
          <w:rFonts w:eastAsia="Arial Narrow" w:cs="Times New Roman"/>
          <w:bCs/>
          <w:i w:val="0"/>
          <w:iCs w:val="0"/>
          <w:color w:val="000000" w:themeColor="text1"/>
          <w:szCs w:val="18"/>
          <w:lang w:eastAsia="es-CO"/>
        </w:rPr>
      </w:pPr>
      <w:r>
        <w:rPr>
          <w:rStyle w:val="nfasisintenso"/>
          <w:rFonts w:eastAsia="Arial Narrow" w:cs="Times New Roman"/>
          <w:bCs/>
          <w:i w:val="0"/>
          <w:iCs w:val="0"/>
          <w:color w:val="000000" w:themeColor="text1"/>
          <w:szCs w:val="18"/>
          <w:lang w:eastAsia="es-CO"/>
        </w:rPr>
        <w:t>Finalmente, a</w:t>
      </w:r>
      <w:r w:rsidR="00AC405C" w:rsidRPr="00AC405C">
        <w:rPr>
          <w:rStyle w:val="nfasisintenso"/>
          <w:rFonts w:eastAsia="Arial Narrow" w:cs="Times New Roman"/>
          <w:bCs/>
          <w:i w:val="0"/>
          <w:iCs w:val="0"/>
          <w:color w:val="000000" w:themeColor="text1"/>
          <w:szCs w:val="18"/>
          <w:lang w:eastAsia="es-CO"/>
        </w:rPr>
        <w:t>l referirse a experiencias previas en otras zonas francas, este proyecto establece un marco comparativo que permite identificar prácticas exitosas y adaptarlas al contexto específico de Aguachica. Los resultados de estas investigaciones subrayan que, bajo condiciones adecuadas, las zonas francas pueden convertirse en motores de desarrollo sostenible. La creación de una Zona Franca en Aguachica, en consecuencia, no solo representa una oportunidad para mejorar el entorno económico local, sino que también puede integrarse como parte de una estrategia de desarrollo regional en el sur del Cesar. Esta base teórica y empírica refuerza la pertinencia del proyecto y proporciona un soporte sólido para anticipar los beneficios que una Zona Franca podría traer a esta región.</w:t>
      </w:r>
    </w:p>
    <w:p w14:paraId="550B1BC1" w14:textId="77777777" w:rsidR="00AC405C" w:rsidRPr="000632B0" w:rsidRDefault="00AC405C" w:rsidP="000632B0">
      <w:pPr>
        <w:spacing w:line="480" w:lineRule="auto"/>
        <w:rPr>
          <w:rStyle w:val="nfasisintenso"/>
          <w:rFonts w:eastAsia="Arial Narrow" w:cs="Times New Roman"/>
          <w:bCs/>
          <w:i w:val="0"/>
          <w:iCs w:val="0"/>
          <w:color w:val="000000" w:themeColor="text1"/>
          <w:szCs w:val="18"/>
          <w:lang w:eastAsia="es-CO"/>
        </w:rPr>
      </w:pPr>
    </w:p>
    <w:p w14:paraId="1F721A92" w14:textId="566963D4" w:rsidR="00F75556" w:rsidRDefault="000632B0" w:rsidP="000632B0">
      <w:pPr>
        <w:pStyle w:val="Ttulo2"/>
      </w:pPr>
      <w:bookmarkStart w:id="10" w:name="_Toc183783016"/>
      <w:r w:rsidRPr="000632B0">
        <w:t>DELIMITACIÓN</w:t>
      </w:r>
      <w:bookmarkEnd w:id="10"/>
      <w:r w:rsidRPr="000632B0">
        <w:t xml:space="preserve"> </w:t>
      </w:r>
    </w:p>
    <w:p w14:paraId="404564FA" w14:textId="77777777" w:rsidR="008866D1" w:rsidRPr="008866D1" w:rsidRDefault="008866D1" w:rsidP="008866D1"/>
    <w:p w14:paraId="4CD77B0D" w14:textId="77777777" w:rsidR="00F75556" w:rsidRDefault="00F75556" w:rsidP="000632B0">
      <w:pPr>
        <w:pStyle w:val="Ttulo3"/>
      </w:pPr>
      <w:bookmarkStart w:id="11" w:name="_Toc183783017"/>
      <w:r w:rsidRPr="00F75556">
        <w:t>Delimitación Espacial</w:t>
      </w:r>
      <w:bookmarkEnd w:id="11"/>
    </w:p>
    <w:p w14:paraId="226F1CF8" w14:textId="77777777" w:rsidR="008866D1" w:rsidRPr="008866D1" w:rsidRDefault="008866D1" w:rsidP="008866D1"/>
    <w:p w14:paraId="01987951" w14:textId="77777777" w:rsidR="00F75556" w:rsidRPr="00F75556" w:rsidRDefault="00F75556" w:rsidP="0015136C">
      <w:pPr>
        <w:spacing w:line="480" w:lineRule="auto"/>
      </w:pPr>
      <w:r w:rsidRPr="00F75556">
        <w:t>El estudio propuesto se llevará a cabo en el municipio de Aguachica, ubicado en el departamento del Cesar, Colombia. Se tomará como referencia las principales Zonas Francas (ZF) de la región Caribe colombiana, analizando las condiciones fundamentales que podrían permitir la creación de una ZF en Aguachica.</w:t>
      </w:r>
    </w:p>
    <w:p w14:paraId="3DF67838" w14:textId="77777777" w:rsidR="00F75556" w:rsidRDefault="00F75556" w:rsidP="000632B0">
      <w:pPr>
        <w:pStyle w:val="Ttulo3"/>
      </w:pPr>
      <w:bookmarkStart w:id="12" w:name="_Toc183783018"/>
      <w:r w:rsidRPr="00F75556">
        <w:lastRenderedPageBreak/>
        <w:t>Delimitación Temporal</w:t>
      </w:r>
      <w:bookmarkEnd w:id="12"/>
    </w:p>
    <w:p w14:paraId="1BB711AA" w14:textId="77777777" w:rsidR="008866D1" w:rsidRPr="008866D1" w:rsidRDefault="008866D1" w:rsidP="008866D1"/>
    <w:p w14:paraId="336ECACB" w14:textId="058E93B2" w:rsidR="00F75556" w:rsidRPr="00F75556" w:rsidRDefault="00F75556" w:rsidP="0015136C">
      <w:pPr>
        <w:spacing w:line="480" w:lineRule="auto"/>
      </w:pPr>
      <w:r w:rsidRPr="00F75556">
        <w:t>Los datos utilizados para este estudio abarcarán el período compre</w:t>
      </w:r>
      <w:r w:rsidR="00D23E27">
        <w:t>ndido entre los años 2015 y 2024</w:t>
      </w:r>
      <w:r w:rsidRPr="00F75556">
        <w:t>. Durante este lapso, se recopilarán y analizarán artículos, estudios y datos relevantes que contribuyan al marco teórico y al planteamiento de la investigación documental.</w:t>
      </w:r>
    </w:p>
    <w:p w14:paraId="4A3D8B65" w14:textId="77777777" w:rsidR="00F75556" w:rsidRDefault="00F75556" w:rsidP="000632B0">
      <w:pPr>
        <w:pStyle w:val="Ttulo3"/>
      </w:pPr>
      <w:bookmarkStart w:id="13" w:name="_Toc183783019"/>
      <w:r w:rsidRPr="00D23E27">
        <w:t>Delimitación Conceptual</w:t>
      </w:r>
      <w:bookmarkEnd w:id="13"/>
    </w:p>
    <w:p w14:paraId="592D69BE" w14:textId="77777777" w:rsidR="008866D1" w:rsidRPr="008866D1" w:rsidRDefault="008866D1" w:rsidP="008866D1"/>
    <w:p w14:paraId="0BDE33FC" w14:textId="49C4D454" w:rsidR="00F75556" w:rsidRPr="00F75556" w:rsidRDefault="00F75556" w:rsidP="0015136C">
      <w:pPr>
        <w:spacing w:line="480" w:lineRule="auto"/>
      </w:pPr>
      <w:r w:rsidRPr="00F75556">
        <w:t>Este estudio tiene como objetivo evaluar las condiciones del mercado en Aguachica con base en fundamentos teóricos que sustentan la creación de una ZF. Se explorarán conceptos clave como la ventaja comparativa, la teoría de las proporciones factoriales y la nueva teoría del comercio de Krugman, que destaca la importancia de las ZF para incentivar la inversión extranjera directa (IED) y generar empleo a través del comercio exterior.</w:t>
      </w:r>
    </w:p>
    <w:p w14:paraId="65C50B5B" w14:textId="2616E7A8" w:rsidR="00F75556" w:rsidRPr="00F75556" w:rsidRDefault="00F75556" w:rsidP="0015136C">
      <w:pPr>
        <w:spacing w:line="480" w:lineRule="auto"/>
      </w:pPr>
      <w:r w:rsidRPr="00F75556">
        <w:t>Según</w:t>
      </w:r>
      <w:r w:rsidR="00D23E27">
        <w:t xml:space="preserve"> </w:t>
      </w:r>
      <w:r w:rsidR="000632B0">
        <w:rPr>
          <w:noProof/>
          <w:lang w:val="es-ES"/>
        </w:rPr>
        <w:t>Ricardo (2002)</w:t>
      </w:r>
      <w:r w:rsidRPr="00F75556">
        <w:t xml:space="preserve">, el producto mundial se incrementa cuando las regiones de un país se especializan en la producción de bienes y servicios en los cuales tienen claras ventajas comparativas, lo que fortalece el comercio y, en general, mejora el bienestar de </w:t>
      </w:r>
      <w:r w:rsidR="004E731F">
        <w:t xml:space="preserve">las naciones. </w:t>
      </w:r>
      <w:r w:rsidR="000632B0">
        <w:t xml:space="preserve">De igual manera, </w:t>
      </w:r>
      <w:r w:rsidR="000632B0">
        <w:rPr>
          <w:noProof/>
          <w:lang w:val="es-ES"/>
        </w:rPr>
        <w:t>Requeijo (2021)</w:t>
      </w:r>
      <w:r w:rsidRPr="00F75556">
        <w:t xml:space="preserve"> </w:t>
      </w:r>
      <w:r w:rsidR="004E731F" w:rsidRPr="00F75556">
        <w:t>Sostiene</w:t>
      </w:r>
      <w:r w:rsidR="004E731F">
        <w:t>, en el</w:t>
      </w:r>
      <w:r w:rsidR="004E731F" w:rsidRPr="004E731F">
        <w:t xml:space="preserve"> teorema de Heckscher-OhlinSamuelson</w:t>
      </w:r>
      <w:r w:rsidR="004E731F">
        <w:t>,</w:t>
      </w:r>
      <w:r w:rsidRPr="00F75556">
        <w:t xml:space="preserve"> que la ventaja comparativa está ligada a la abundancia relativa de recursos naturales, capital físico, humano y tecnología, lo que permite a una región producir y exportar bienes intensivos en dichos recursos. </w:t>
      </w:r>
      <w:r w:rsidR="000632B0">
        <w:t>Y p</w:t>
      </w:r>
      <w:r w:rsidRPr="00F75556">
        <w:t xml:space="preserve">or su parte, </w:t>
      </w:r>
      <w:r w:rsidR="000632B0">
        <w:rPr>
          <w:noProof/>
          <w:lang w:val="es-ES"/>
        </w:rPr>
        <w:t xml:space="preserve">Krugman </w:t>
      </w:r>
      <w:r w:rsidR="00087E32">
        <w:rPr>
          <w:noProof/>
          <w:lang w:val="es-ES"/>
        </w:rPr>
        <w:t>et al,</w:t>
      </w:r>
      <w:r w:rsidR="000632B0">
        <w:rPr>
          <w:noProof/>
          <w:lang w:val="es-ES"/>
        </w:rPr>
        <w:t xml:space="preserve"> (2006)</w:t>
      </w:r>
      <w:r w:rsidRPr="00F75556">
        <w:t xml:space="preserve"> propone que las economías de escala y los bajos costos de transporte promueven la creación de ZF, que tienen como objetivo atraer IED y fomentar el empleo mediante intercambios comerciales con el exterior.</w:t>
      </w:r>
    </w:p>
    <w:p w14:paraId="2C14B577" w14:textId="31A7A461" w:rsidR="000C4208" w:rsidRDefault="00F75556" w:rsidP="000632B0">
      <w:pPr>
        <w:spacing w:line="480" w:lineRule="auto"/>
        <w:rPr>
          <w:noProof/>
          <w:lang w:val="es-ES"/>
        </w:rPr>
      </w:pPr>
      <w:r w:rsidRPr="00F75556">
        <w:t xml:space="preserve">El creciente proceso de integración comercial ha generado cambios profundos en la estructura productiva, lo que hace necesario buscar nuevos mercados para canalizar la producción, </w:t>
      </w:r>
      <w:r w:rsidRPr="00F75556">
        <w:lastRenderedPageBreak/>
        <w:t>atraer inversión, aumentar el empleo y fomentar la innovación y el cambio técnic</w:t>
      </w:r>
      <w:r w:rsidR="000632B0">
        <w:t xml:space="preserve">o, esto según </w:t>
      </w:r>
      <w:r w:rsidR="000632B0">
        <w:rPr>
          <w:noProof/>
          <w:lang w:val="es-ES"/>
        </w:rPr>
        <w:t>Mcit (2012)</w:t>
      </w:r>
      <w:r w:rsidRPr="00F75556">
        <w:t xml:space="preserve">. Asimismo, la competitividad regional está relacionada con la capacidad de las regiones para generar, atraer y mantener empresas que produzcan valor agregado y empleo, aprovechando las externalidades positivas generadas en contextos geográficos específicos </w:t>
      </w:r>
      <w:r w:rsidR="000632B0">
        <w:rPr>
          <w:noProof/>
          <w:lang w:val="es-ES"/>
        </w:rPr>
        <w:t>Ramírez</w:t>
      </w:r>
      <w:r w:rsidR="00087E32">
        <w:rPr>
          <w:noProof/>
          <w:lang w:val="es-ES"/>
        </w:rPr>
        <w:t xml:space="preserve"> et al,</w:t>
      </w:r>
      <w:r w:rsidR="000632B0">
        <w:rPr>
          <w:noProof/>
          <w:lang w:val="es-ES"/>
        </w:rPr>
        <w:t xml:space="preserve"> (2017)</w:t>
      </w:r>
    </w:p>
    <w:p w14:paraId="3E3E86B3" w14:textId="77777777" w:rsidR="008866D1" w:rsidRPr="000632B0" w:rsidRDefault="008866D1" w:rsidP="000632B0">
      <w:pPr>
        <w:spacing w:line="480" w:lineRule="auto"/>
      </w:pPr>
    </w:p>
    <w:p w14:paraId="7F7E14E6" w14:textId="1C9984C3" w:rsidR="000C4208" w:rsidRDefault="000632B0" w:rsidP="000632B0">
      <w:pPr>
        <w:pStyle w:val="Ttulo2"/>
      </w:pPr>
      <w:bookmarkStart w:id="14" w:name="_Toc183783020"/>
      <w:r w:rsidRPr="000632B0">
        <w:t>CUADRO DE VARIABLES O DE CATEGORÍAS</w:t>
      </w:r>
      <w:bookmarkEnd w:id="14"/>
    </w:p>
    <w:p w14:paraId="4886FBD0" w14:textId="7D7745A2" w:rsidR="000632B0" w:rsidRDefault="000632B0" w:rsidP="000632B0"/>
    <w:p w14:paraId="2A9E5DC3" w14:textId="35322CF5" w:rsidR="000632B0" w:rsidRPr="000632B0" w:rsidRDefault="000632B0" w:rsidP="000632B0">
      <w:pPr>
        <w:pStyle w:val="Descripcin"/>
        <w:spacing w:after="0"/>
        <w:rPr>
          <w:b/>
          <w:bCs/>
          <w:i w:val="0"/>
          <w:iCs w:val="0"/>
          <w:color w:val="auto"/>
          <w:sz w:val="24"/>
          <w:szCs w:val="22"/>
        </w:rPr>
      </w:pPr>
      <w:bookmarkStart w:id="15" w:name="_Toc178688994"/>
      <w:bookmarkStart w:id="16" w:name="_Toc183783067"/>
      <w:r w:rsidRPr="000632B0">
        <w:rPr>
          <w:b/>
          <w:bCs/>
          <w:i w:val="0"/>
          <w:iCs w:val="0"/>
          <w:color w:val="auto"/>
          <w:sz w:val="24"/>
          <w:szCs w:val="22"/>
        </w:rPr>
        <w:t xml:space="preserve">Tabla </w:t>
      </w:r>
      <w:r w:rsidRPr="000632B0">
        <w:rPr>
          <w:b/>
          <w:bCs/>
          <w:i w:val="0"/>
          <w:iCs w:val="0"/>
          <w:color w:val="auto"/>
          <w:sz w:val="24"/>
          <w:szCs w:val="22"/>
        </w:rPr>
        <w:fldChar w:fldCharType="begin"/>
      </w:r>
      <w:r w:rsidRPr="000632B0">
        <w:rPr>
          <w:b/>
          <w:bCs/>
          <w:i w:val="0"/>
          <w:iCs w:val="0"/>
          <w:color w:val="auto"/>
          <w:sz w:val="24"/>
          <w:szCs w:val="22"/>
        </w:rPr>
        <w:instrText xml:space="preserve"> SEQ Tabla \* ARABIC </w:instrText>
      </w:r>
      <w:r w:rsidRPr="000632B0">
        <w:rPr>
          <w:b/>
          <w:bCs/>
          <w:i w:val="0"/>
          <w:iCs w:val="0"/>
          <w:color w:val="auto"/>
          <w:sz w:val="24"/>
          <w:szCs w:val="22"/>
        </w:rPr>
        <w:fldChar w:fldCharType="separate"/>
      </w:r>
      <w:r w:rsidR="00901E21">
        <w:rPr>
          <w:b/>
          <w:bCs/>
          <w:i w:val="0"/>
          <w:iCs w:val="0"/>
          <w:noProof/>
          <w:color w:val="auto"/>
          <w:sz w:val="24"/>
          <w:szCs w:val="22"/>
        </w:rPr>
        <w:t>1</w:t>
      </w:r>
      <w:r w:rsidRPr="000632B0">
        <w:rPr>
          <w:b/>
          <w:bCs/>
          <w:i w:val="0"/>
          <w:iCs w:val="0"/>
          <w:color w:val="auto"/>
          <w:sz w:val="24"/>
          <w:szCs w:val="22"/>
        </w:rPr>
        <w:fldChar w:fldCharType="end"/>
      </w:r>
      <w:r w:rsidRPr="000632B0">
        <w:rPr>
          <w:b/>
          <w:bCs/>
          <w:i w:val="0"/>
          <w:iCs w:val="0"/>
          <w:color w:val="auto"/>
          <w:sz w:val="24"/>
          <w:szCs w:val="22"/>
        </w:rPr>
        <w:t>:</w:t>
      </w:r>
      <w:bookmarkEnd w:id="15"/>
      <w:bookmarkEnd w:id="16"/>
      <w:r w:rsidRPr="000632B0">
        <w:rPr>
          <w:b/>
          <w:bCs/>
          <w:i w:val="0"/>
          <w:iCs w:val="0"/>
          <w:color w:val="auto"/>
          <w:sz w:val="24"/>
          <w:szCs w:val="22"/>
        </w:rPr>
        <w:t xml:space="preserve"> </w:t>
      </w:r>
    </w:p>
    <w:p w14:paraId="63B74758" w14:textId="5EF180D4" w:rsidR="000632B0" w:rsidRPr="007B763D" w:rsidRDefault="000632B0" w:rsidP="000632B0">
      <w:pPr>
        <w:pStyle w:val="Descripcin"/>
        <w:spacing w:after="0"/>
        <w:rPr>
          <w:i w:val="0"/>
          <w:iCs w:val="0"/>
          <w:color w:val="auto"/>
          <w:sz w:val="24"/>
          <w:szCs w:val="22"/>
        </w:rPr>
      </w:pPr>
      <w:bookmarkStart w:id="17" w:name="_Toc178688995"/>
      <w:bookmarkStart w:id="18" w:name="_Toc183783068"/>
      <w:r w:rsidRPr="007B763D">
        <w:rPr>
          <w:i w:val="0"/>
          <w:iCs w:val="0"/>
          <w:color w:val="auto"/>
          <w:sz w:val="24"/>
          <w:szCs w:val="22"/>
        </w:rPr>
        <w:t>Variables o categorías</w:t>
      </w:r>
      <w:bookmarkEnd w:id="17"/>
      <w:bookmarkEnd w:id="18"/>
    </w:p>
    <w:p w14:paraId="71E83029" w14:textId="77777777" w:rsidR="000632B0" w:rsidRPr="000632B0" w:rsidRDefault="000632B0" w:rsidP="000632B0"/>
    <w:tbl>
      <w:tblPr>
        <w:tblStyle w:val="Tablaconcuadrcula"/>
        <w:tblW w:w="930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05"/>
        <w:gridCol w:w="1663"/>
        <w:gridCol w:w="1538"/>
        <w:gridCol w:w="1846"/>
        <w:gridCol w:w="1856"/>
      </w:tblGrid>
      <w:tr w:rsidR="000C4208" w:rsidRPr="00AE6323" w14:paraId="67259A09" w14:textId="77777777" w:rsidTr="000632B0">
        <w:trPr>
          <w:trHeight w:val="1377"/>
        </w:trPr>
        <w:tc>
          <w:tcPr>
            <w:tcW w:w="2405" w:type="dxa"/>
            <w:tcBorders>
              <w:top w:val="single" w:sz="4" w:space="0" w:color="auto"/>
              <w:bottom w:val="single" w:sz="4" w:space="0" w:color="auto"/>
            </w:tcBorders>
            <w:vAlign w:val="center"/>
          </w:tcPr>
          <w:p w14:paraId="299FFC94" w14:textId="77777777" w:rsidR="000C4208" w:rsidRPr="00AE6323" w:rsidRDefault="000C4208" w:rsidP="000632B0">
            <w:pPr>
              <w:widowControl w:val="0"/>
              <w:spacing w:line="240" w:lineRule="auto"/>
              <w:ind w:firstLine="0"/>
              <w:jc w:val="center"/>
              <w:rPr>
                <w:b/>
                <w:bCs/>
                <w:sz w:val="22"/>
                <w:szCs w:val="22"/>
              </w:rPr>
            </w:pPr>
            <w:r w:rsidRPr="00AE6323">
              <w:rPr>
                <w:b/>
                <w:bCs/>
                <w:sz w:val="22"/>
                <w:szCs w:val="22"/>
              </w:rPr>
              <w:t>Objetivo</w:t>
            </w:r>
          </w:p>
        </w:tc>
        <w:tc>
          <w:tcPr>
            <w:tcW w:w="1663" w:type="dxa"/>
            <w:tcBorders>
              <w:top w:val="single" w:sz="4" w:space="0" w:color="auto"/>
              <w:bottom w:val="single" w:sz="4" w:space="0" w:color="auto"/>
            </w:tcBorders>
            <w:vAlign w:val="center"/>
          </w:tcPr>
          <w:p w14:paraId="79A97960" w14:textId="77777777" w:rsidR="000C4208" w:rsidRPr="00AE6323" w:rsidRDefault="000C4208" w:rsidP="000632B0">
            <w:pPr>
              <w:widowControl w:val="0"/>
              <w:spacing w:line="240" w:lineRule="auto"/>
              <w:ind w:firstLine="0"/>
              <w:jc w:val="center"/>
              <w:rPr>
                <w:b/>
                <w:bCs/>
                <w:sz w:val="22"/>
                <w:szCs w:val="22"/>
              </w:rPr>
            </w:pPr>
            <w:r w:rsidRPr="00AE6323">
              <w:rPr>
                <w:b/>
                <w:bCs/>
                <w:sz w:val="22"/>
                <w:szCs w:val="22"/>
              </w:rPr>
              <w:t>Variables- categorías</w:t>
            </w:r>
          </w:p>
        </w:tc>
        <w:tc>
          <w:tcPr>
            <w:tcW w:w="1538" w:type="dxa"/>
            <w:tcBorders>
              <w:top w:val="single" w:sz="4" w:space="0" w:color="auto"/>
              <w:bottom w:val="single" w:sz="4" w:space="0" w:color="auto"/>
            </w:tcBorders>
          </w:tcPr>
          <w:p w14:paraId="75A2603E" w14:textId="77777777" w:rsidR="000C4208" w:rsidRPr="00AE6323" w:rsidRDefault="000C4208" w:rsidP="000632B0">
            <w:pPr>
              <w:widowControl w:val="0"/>
              <w:spacing w:line="240" w:lineRule="auto"/>
              <w:ind w:firstLine="0"/>
              <w:jc w:val="center"/>
              <w:rPr>
                <w:b/>
                <w:bCs/>
                <w:sz w:val="22"/>
                <w:szCs w:val="22"/>
              </w:rPr>
            </w:pPr>
            <w:r w:rsidRPr="00AE6323">
              <w:rPr>
                <w:b/>
                <w:bCs/>
                <w:sz w:val="22"/>
                <w:szCs w:val="22"/>
              </w:rPr>
              <w:t>Subcategorías-Dimensiones</w:t>
            </w:r>
          </w:p>
        </w:tc>
        <w:tc>
          <w:tcPr>
            <w:tcW w:w="1846" w:type="dxa"/>
            <w:tcBorders>
              <w:top w:val="single" w:sz="4" w:space="0" w:color="auto"/>
              <w:bottom w:val="single" w:sz="4" w:space="0" w:color="auto"/>
            </w:tcBorders>
            <w:vAlign w:val="center"/>
          </w:tcPr>
          <w:p w14:paraId="71531AD7" w14:textId="77777777" w:rsidR="000C4208" w:rsidRPr="00AE6323" w:rsidRDefault="000C4208" w:rsidP="000632B0">
            <w:pPr>
              <w:widowControl w:val="0"/>
              <w:spacing w:line="240" w:lineRule="auto"/>
              <w:ind w:firstLine="0"/>
              <w:jc w:val="center"/>
              <w:rPr>
                <w:b/>
                <w:bCs/>
                <w:sz w:val="22"/>
                <w:szCs w:val="22"/>
              </w:rPr>
            </w:pPr>
            <w:r w:rsidRPr="00AE6323">
              <w:rPr>
                <w:b/>
                <w:bCs/>
                <w:sz w:val="22"/>
                <w:szCs w:val="22"/>
              </w:rPr>
              <w:t>Código de indicadores</w:t>
            </w:r>
          </w:p>
        </w:tc>
        <w:tc>
          <w:tcPr>
            <w:tcW w:w="1856" w:type="dxa"/>
            <w:tcBorders>
              <w:top w:val="single" w:sz="4" w:space="0" w:color="auto"/>
              <w:bottom w:val="single" w:sz="4" w:space="0" w:color="auto"/>
            </w:tcBorders>
            <w:vAlign w:val="center"/>
          </w:tcPr>
          <w:p w14:paraId="1C398EBD" w14:textId="77777777" w:rsidR="000C4208" w:rsidRPr="00AE6323" w:rsidRDefault="000C4208" w:rsidP="000632B0">
            <w:pPr>
              <w:widowControl w:val="0"/>
              <w:spacing w:line="240" w:lineRule="auto"/>
              <w:ind w:firstLine="0"/>
              <w:jc w:val="center"/>
              <w:rPr>
                <w:b/>
                <w:bCs/>
                <w:sz w:val="22"/>
                <w:szCs w:val="22"/>
              </w:rPr>
            </w:pPr>
            <w:r w:rsidRPr="00AE6323">
              <w:rPr>
                <w:b/>
                <w:bCs/>
                <w:sz w:val="22"/>
                <w:szCs w:val="22"/>
              </w:rPr>
              <w:t>Fuentes o instrumentos de información y/o unidad de análisis.</w:t>
            </w:r>
          </w:p>
        </w:tc>
      </w:tr>
      <w:tr w:rsidR="000C4208" w:rsidRPr="00AE6323" w14:paraId="5945B356" w14:textId="77777777" w:rsidTr="000632B0">
        <w:trPr>
          <w:trHeight w:val="831"/>
        </w:trPr>
        <w:tc>
          <w:tcPr>
            <w:tcW w:w="2405" w:type="dxa"/>
            <w:vMerge w:val="restart"/>
            <w:tcBorders>
              <w:top w:val="single" w:sz="4" w:space="0" w:color="auto"/>
            </w:tcBorders>
          </w:tcPr>
          <w:p w14:paraId="28934002" w14:textId="77777777" w:rsidR="000C4208" w:rsidRPr="00AE6323" w:rsidRDefault="000C4208" w:rsidP="000632B0">
            <w:pPr>
              <w:widowControl w:val="0"/>
              <w:spacing w:line="240" w:lineRule="auto"/>
              <w:ind w:firstLine="0"/>
              <w:jc w:val="center"/>
              <w:rPr>
                <w:rFonts w:eastAsia="Arial Narrow"/>
                <w:color w:val="000000" w:themeColor="text1"/>
                <w:sz w:val="22"/>
                <w:szCs w:val="22"/>
              </w:rPr>
            </w:pPr>
            <w:r w:rsidRPr="00AE6323">
              <w:rPr>
                <w:rFonts w:eastAsia="Arial Narrow"/>
                <w:color w:val="000000" w:themeColor="text1"/>
                <w:sz w:val="22"/>
                <w:szCs w:val="22"/>
              </w:rPr>
              <w:t>Examinar la normativa tributaria, aduanera y de comercio exterior para el funcionamiento de una Zona Franca en Aguachica - Cesar con base en las disposiciones gubernamentales vigentes</w:t>
            </w:r>
          </w:p>
        </w:tc>
        <w:tc>
          <w:tcPr>
            <w:tcW w:w="1663" w:type="dxa"/>
            <w:vMerge w:val="restart"/>
            <w:tcBorders>
              <w:top w:val="single" w:sz="4" w:space="0" w:color="auto"/>
            </w:tcBorders>
            <w:vAlign w:val="center"/>
          </w:tcPr>
          <w:p w14:paraId="340B666B" w14:textId="77777777" w:rsidR="000C4208" w:rsidRPr="00AE6323" w:rsidRDefault="000C4208" w:rsidP="000632B0">
            <w:pPr>
              <w:widowControl w:val="0"/>
              <w:spacing w:line="240" w:lineRule="auto"/>
              <w:ind w:firstLine="0"/>
              <w:rPr>
                <w:sz w:val="22"/>
                <w:szCs w:val="22"/>
              </w:rPr>
            </w:pPr>
            <w:r w:rsidRPr="00AE6323">
              <w:rPr>
                <w:color w:val="000000" w:themeColor="text1"/>
                <w:sz w:val="22"/>
                <w:szCs w:val="22"/>
              </w:rPr>
              <w:t>Normatividad</w:t>
            </w:r>
          </w:p>
        </w:tc>
        <w:tc>
          <w:tcPr>
            <w:tcW w:w="1538" w:type="dxa"/>
            <w:vMerge w:val="restart"/>
            <w:tcBorders>
              <w:top w:val="single" w:sz="4" w:space="0" w:color="auto"/>
            </w:tcBorders>
            <w:vAlign w:val="center"/>
          </w:tcPr>
          <w:p w14:paraId="3464DA9B" w14:textId="77777777" w:rsidR="000C4208" w:rsidRPr="00AE6323" w:rsidRDefault="000C4208" w:rsidP="000632B0">
            <w:pPr>
              <w:widowControl w:val="0"/>
              <w:spacing w:line="240" w:lineRule="auto"/>
              <w:ind w:firstLine="0"/>
              <w:rPr>
                <w:sz w:val="22"/>
                <w:szCs w:val="22"/>
              </w:rPr>
            </w:pPr>
            <w:r w:rsidRPr="00AE6323">
              <w:rPr>
                <w:sz w:val="22"/>
                <w:szCs w:val="22"/>
              </w:rPr>
              <w:t>Legislación</w:t>
            </w:r>
          </w:p>
        </w:tc>
        <w:tc>
          <w:tcPr>
            <w:tcW w:w="1846" w:type="dxa"/>
            <w:tcBorders>
              <w:top w:val="single" w:sz="4" w:space="0" w:color="auto"/>
            </w:tcBorders>
            <w:vAlign w:val="center"/>
          </w:tcPr>
          <w:p w14:paraId="1C234DF1" w14:textId="310C373F" w:rsidR="000C4208" w:rsidRPr="00AE6323" w:rsidRDefault="000C4208" w:rsidP="000632B0">
            <w:pPr>
              <w:widowControl w:val="0"/>
              <w:spacing w:line="240" w:lineRule="auto"/>
              <w:ind w:firstLine="0"/>
              <w:rPr>
                <w:sz w:val="22"/>
                <w:szCs w:val="22"/>
              </w:rPr>
            </w:pPr>
            <w:r w:rsidRPr="00AE6323">
              <w:rPr>
                <w:sz w:val="22"/>
                <w:szCs w:val="22"/>
              </w:rPr>
              <w:t>Leyes</w:t>
            </w:r>
            <w:r w:rsidR="008D4E48">
              <w:rPr>
                <w:sz w:val="22"/>
                <w:szCs w:val="22"/>
              </w:rPr>
              <w:t xml:space="preserve"> Vigentes</w:t>
            </w:r>
          </w:p>
        </w:tc>
        <w:tc>
          <w:tcPr>
            <w:tcW w:w="1856" w:type="dxa"/>
            <w:vMerge w:val="restart"/>
            <w:tcBorders>
              <w:top w:val="single" w:sz="4" w:space="0" w:color="auto"/>
            </w:tcBorders>
            <w:vAlign w:val="center"/>
          </w:tcPr>
          <w:p w14:paraId="1171E408" w14:textId="77777777" w:rsidR="000C4208" w:rsidRPr="00AE6323" w:rsidRDefault="000C4208" w:rsidP="000632B0">
            <w:pPr>
              <w:widowControl w:val="0"/>
              <w:spacing w:line="240" w:lineRule="auto"/>
              <w:ind w:firstLine="0"/>
              <w:rPr>
                <w:sz w:val="22"/>
                <w:szCs w:val="22"/>
              </w:rPr>
            </w:pPr>
            <w:r w:rsidRPr="00AE6323">
              <w:rPr>
                <w:sz w:val="22"/>
                <w:szCs w:val="22"/>
              </w:rPr>
              <w:t>Investigaciones, Libros, Banco de la República, Trabajos de grado.</w:t>
            </w:r>
          </w:p>
        </w:tc>
      </w:tr>
      <w:tr w:rsidR="000C4208" w:rsidRPr="00AE6323" w14:paraId="465D4D4C" w14:textId="77777777" w:rsidTr="000632B0">
        <w:trPr>
          <w:trHeight w:val="772"/>
        </w:trPr>
        <w:tc>
          <w:tcPr>
            <w:tcW w:w="2405" w:type="dxa"/>
            <w:vMerge/>
          </w:tcPr>
          <w:p w14:paraId="61FDDF6E" w14:textId="77777777" w:rsidR="000C4208" w:rsidRPr="00AE6323" w:rsidRDefault="000C4208" w:rsidP="000632B0">
            <w:pPr>
              <w:widowControl w:val="0"/>
              <w:spacing w:line="240" w:lineRule="auto"/>
              <w:ind w:firstLine="0"/>
              <w:rPr>
                <w:rFonts w:eastAsia="Arial Narrow"/>
                <w:sz w:val="22"/>
                <w:szCs w:val="22"/>
              </w:rPr>
            </w:pPr>
          </w:p>
        </w:tc>
        <w:tc>
          <w:tcPr>
            <w:tcW w:w="1663" w:type="dxa"/>
            <w:vMerge/>
            <w:vAlign w:val="center"/>
          </w:tcPr>
          <w:p w14:paraId="63715C18" w14:textId="77777777" w:rsidR="000C4208" w:rsidRPr="00AE6323" w:rsidRDefault="000C4208" w:rsidP="000632B0">
            <w:pPr>
              <w:widowControl w:val="0"/>
              <w:spacing w:line="240" w:lineRule="auto"/>
              <w:ind w:firstLine="0"/>
              <w:rPr>
                <w:sz w:val="22"/>
                <w:szCs w:val="22"/>
              </w:rPr>
            </w:pPr>
          </w:p>
        </w:tc>
        <w:tc>
          <w:tcPr>
            <w:tcW w:w="1538" w:type="dxa"/>
            <w:vMerge/>
            <w:vAlign w:val="center"/>
          </w:tcPr>
          <w:p w14:paraId="0EE6FC75" w14:textId="77777777" w:rsidR="000C4208" w:rsidRPr="00AE6323" w:rsidRDefault="000C4208" w:rsidP="000632B0">
            <w:pPr>
              <w:widowControl w:val="0"/>
              <w:spacing w:line="240" w:lineRule="auto"/>
              <w:ind w:firstLine="0"/>
              <w:rPr>
                <w:sz w:val="22"/>
                <w:szCs w:val="22"/>
              </w:rPr>
            </w:pPr>
          </w:p>
        </w:tc>
        <w:tc>
          <w:tcPr>
            <w:tcW w:w="1846" w:type="dxa"/>
            <w:vAlign w:val="center"/>
          </w:tcPr>
          <w:p w14:paraId="4E6FD205" w14:textId="77777777" w:rsidR="000C4208" w:rsidRPr="00AE6323" w:rsidRDefault="000C4208" w:rsidP="000632B0">
            <w:pPr>
              <w:widowControl w:val="0"/>
              <w:spacing w:line="240" w:lineRule="auto"/>
              <w:ind w:firstLine="0"/>
              <w:rPr>
                <w:sz w:val="22"/>
                <w:szCs w:val="22"/>
              </w:rPr>
            </w:pPr>
            <w:r w:rsidRPr="00AE6323">
              <w:rPr>
                <w:sz w:val="22"/>
                <w:szCs w:val="22"/>
              </w:rPr>
              <w:t>Normas</w:t>
            </w:r>
          </w:p>
        </w:tc>
        <w:tc>
          <w:tcPr>
            <w:tcW w:w="1856" w:type="dxa"/>
            <w:vMerge/>
            <w:vAlign w:val="center"/>
          </w:tcPr>
          <w:p w14:paraId="32D8E887" w14:textId="77777777" w:rsidR="000C4208" w:rsidRPr="00AE6323" w:rsidRDefault="000C4208" w:rsidP="000632B0">
            <w:pPr>
              <w:widowControl w:val="0"/>
              <w:spacing w:line="240" w:lineRule="auto"/>
              <w:ind w:firstLine="0"/>
              <w:rPr>
                <w:sz w:val="22"/>
                <w:szCs w:val="22"/>
              </w:rPr>
            </w:pPr>
          </w:p>
        </w:tc>
      </w:tr>
      <w:tr w:rsidR="000C4208" w:rsidRPr="00AE6323" w14:paraId="3EF69A57" w14:textId="77777777" w:rsidTr="000632B0">
        <w:trPr>
          <w:trHeight w:val="1067"/>
        </w:trPr>
        <w:tc>
          <w:tcPr>
            <w:tcW w:w="2405" w:type="dxa"/>
            <w:vMerge/>
          </w:tcPr>
          <w:p w14:paraId="046B36AD" w14:textId="77777777" w:rsidR="000C4208" w:rsidRPr="00AE6323" w:rsidRDefault="000C4208" w:rsidP="000632B0">
            <w:pPr>
              <w:widowControl w:val="0"/>
              <w:spacing w:line="240" w:lineRule="auto"/>
              <w:ind w:firstLine="0"/>
              <w:rPr>
                <w:rFonts w:eastAsia="Arial Narrow"/>
                <w:sz w:val="22"/>
                <w:szCs w:val="22"/>
              </w:rPr>
            </w:pPr>
          </w:p>
        </w:tc>
        <w:tc>
          <w:tcPr>
            <w:tcW w:w="1663" w:type="dxa"/>
            <w:vMerge/>
            <w:vAlign w:val="center"/>
          </w:tcPr>
          <w:p w14:paraId="201D4B10" w14:textId="77777777" w:rsidR="000C4208" w:rsidRPr="00AE6323" w:rsidRDefault="000C4208" w:rsidP="000632B0">
            <w:pPr>
              <w:widowControl w:val="0"/>
              <w:spacing w:line="240" w:lineRule="auto"/>
              <w:ind w:firstLine="0"/>
              <w:rPr>
                <w:sz w:val="22"/>
                <w:szCs w:val="22"/>
              </w:rPr>
            </w:pPr>
          </w:p>
        </w:tc>
        <w:tc>
          <w:tcPr>
            <w:tcW w:w="1538" w:type="dxa"/>
            <w:vMerge/>
            <w:vAlign w:val="center"/>
          </w:tcPr>
          <w:p w14:paraId="1ED571D7" w14:textId="77777777" w:rsidR="000C4208" w:rsidRPr="00AE6323" w:rsidRDefault="000C4208" w:rsidP="000632B0">
            <w:pPr>
              <w:widowControl w:val="0"/>
              <w:spacing w:line="240" w:lineRule="auto"/>
              <w:ind w:firstLine="0"/>
              <w:rPr>
                <w:sz w:val="22"/>
                <w:szCs w:val="22"/>
              </w:rPr>
            </w:pPr>
          </w:p>
        </w:tc>
        <w:tc>
          <w:tcPr>
            <w:tcW w:w="1846" w:type="dxa"/>
            <w:vAlign w:val="center"/>
          </w:tcPr>
          <w:p w14:paraId="7D7D1473" w14:textId="77777777" w:rsidR="000C4208" w:rsidRPr="00AE6323" w:rsidRDefault="000C4208" w:rsidP="000632B0">
            <w:pPr>
              <w:widowControl w:val="0"/>
              <w:spacing w:line="240" w:lineRule="auto"/>
              <w:ind w:firstLine="0"/>
              <w:rPr>
                <w:sz w:val="22"/>
                <w:szCs w:val="22"/>
              </w:rPr>
            </w:pPr>
            <w:r w:rsidRPr="00AE6323">
              <w:rPr>
                <w:sz w:val="22"/>
                <w:szCs w:val="22"/>
              </w:rPr>
              <w:t>Incentivos</w:t>
            </w:r>
          </w:p>
        </w:tc>
        <w:tc>
          <w:tcPr>
            <w:tcW w:w="1856" w:type="dxa"/>
            <w:vMerge/>
            <w:vAlign w:val="center"/>
          </w:tcPr>
          <w:p w14:paraId="42868DB1" w14:textId="77777777" w:rsidR="000C4208" w:rsidRPr="00AE6323" w:rsidRDefault="000C4208" w:rsidP="000632B0">
            <w:pPr>
              <w:widowControl w:val="0"/>
              <w:spacing w:line="240" w:lineRule="auto"/>
              <w:ind w:firstLine="0"/>
              <w:rPr>
                <w:sz w:val="22"/>
                <w:szCs w:val="22"/>
              </w:rPr>
            </w:pPr>
          </w:p>
        </w:tc>
      </w:tr>
      <w:tr w:rsidR="000C4208" w:rsidRPr="00AE6323" w14:paraId="2467A822" w14:textId="77777777" w:rsidTr="000632B0">
        <w:trPr>
          <w:trHeight w:val="621"/>
        </w:trPr>
        <w:tc>
          <w:tcPr>
            <w:tcW w:w="2405" w:type="dxa"/>
            <w:vMerge w:val="restart"/>
            <w:vAlign w:val="center"/>
          </w:tcPr>
          <w:p w14:paraId="158BC9AF" w14:textId="77777777" w:rsidR="000C4208" w:rsidRPr="00AE6323" w:rsidRDefault="000C4208" w:rsidP="000632B0">
            <w:pPr>
              <w:widowControl w:val="0"/>
              <w:spacing w:line="240" w:lineRule="auto"/>
              <w:ind w:firstLine="0"/>
              <w:jc w:val="center"/>
              <w:rPr>
                <w:rFonts w:eastAsia="Arial Narrow"/>
                <w:color w:val="000000" w:themeColor="text1"/>
                <w:sz w:val="22"/>
                <w:szCs w:val="22"/>
              </w:rPr>
            </w:pPr>
            <w:r w:rsidRPr="00AE6323">
              <w:rPr>
                <w:rFonts w:eastAsia="Arial Narrow"/>
                <w:color w:val="000000" w:themeColor="text1"/>
                <w:sz w:val="22"/>
                <w:szCs w:val="22"/>
              </w:rPr>
              <w:t>Caracterizar las zonas francas de la región Caribe Colombiana en relación a su balanza comercial</w:t>
            </w:r>
          </w:p>
          <w:p w14:paraId="2EC4FC64" w14:textId="77777777" w:rsidR="000C4208" w:rsidRPr="00AE6323" w:rsidRDefault="000C4208" w:rsidP="000632B0">
            <w:pPr>
              <w:widowControl w:val="0"/>
              <w:spacing w:line="240" w:lineRule="auto"/>
              <w:ind w:firstLine="0"/>
              <w:jc w:val="center"/>
              <w:rPr>
                <w:rFonts w:eastAsia="Arial Narrow"/>
                <w:sz w:val="22"/>
                <w:szCs w:val="22"/>
              </w:rPr>
            </w:pPr>
          </w:p>
        </w:tc>
        <w:tc>
          <w:tcPr>
            <w:tcW w:w="1663" w:type="dxa"/>
            <w:vMerge w:val="restart"/>
            <w:vAlign w:val="center"/>
          </w:tcPr>
          <w:p w14:paraId="56135C8C" w14:textId="27ABE86C" w:rsidR="000C4208" w:rsidRPr="00AE6323" w:rsidRDefault="008D4E48" w:rsidP="000632B0">
            <w:pPr>
              <w:widowControl w:val="0"/>
              <w:spacing w:line="240" w:lineRule="auto"/>
              <w:ind w:firstLine="0"/>
              <w:rPr>
                <w:sz w:val="22"/>
                <w:szCs w:val="22"/>
              </w:rPr>
            </w:pPr>
            <w:r w:rsidRPr="008D4E48">
              <w:rPr>
                <w:sz w:val="22"/>
                <w:szCs w:val="22"/>
              </w:rPr>
              <w:t>Zona Franca en la región Caribe</w:t>
            </w:r>
          </w:p>
        </w:tc>
        <w:tc>
          <w:tcPr>
            <w:tcW w:w="1538" w:type="dxa"/>
            <w:vMerge w:val="restart"/>
            <w:vAlign w:val="center"/>
          </w:tcPr>
          <w:p w14:paraId="3FD246FE" w14:textId="77777777" w:rsidR="000C4208" w:rsidRPr="00AE6323" w:rsidRDefault="000C4208" w:rsidP="000632B0">
            <w:pPr>
              <w:widowControl w:val="0"/>
              <w:spacing w:line="240" w:lineRule="auto"/>
              <w:ind w:firstLine="0"/>
              <w:rPr>
                <w:sz w:val="22"/>
                <w:szCs w:val="22"/>
              </w:rPr>
            </w:pPr>
            <w:r w:rsidRPr="00AE6323">
              <w:rPr>
                <w:sz w:val="22"/>
                <w:szCs w:val="22"/>
              </w:rPr>
              <w:t>Identificación</w:t>
            </w:r>
          </w:p>
        </w:tc>
        <w:tc>
          <w:tcPr>
            <w:tcW w:w="1846" w:type="dxa"/>
            <w:vAlign w:val="center"/>
          </w:tcPr>
          <w:p w14:paraId="00FA59D7" w14:textId="77777777" w:rsidR="000C4208" w:rsidRPr="00AE6323" w:rsidRDefault="000C4208" w:rsidP="000632B0">
            <w:pPr>
              <w:widowControl w:val="0"/>
              <w:spacing w:line="240" w:lineRule="auto"/>
              <w:ind w:firstLine="0"/>
              <w:rPr>
                <w:sz w:val="22"/>
                <w:szCs w:val="22"/>
              </w:rPr>
            </w:pPr>
            <w:r w:rsidRPr="00AE6323">
              <w:rPr>
                <w:sz w:val="22"/>
                <w:szCs w:val="22"/>
              </w:rPr>
              <w:t>Comercio exterior</w:t>
            </w:r>
          </w:p>
        </w:tc>
        <w:tc>
          <w:tcPr>
            <w:tcW w:w="1856" w:type="dxa"/>
            <w:vMerge w:val="restart"/>
            <w:vAlign w:val="center"/>
          </w:tcPr>
          <w:p w14:paraId="1F553F3C" w14:textId="77777777" w:rsidR="000C4208" w:rsidRPr="00AE6323" w:rsidRDefault="000C4208" w:rsidP="000632B0">
            <w:pPr>
              <w:widowControl w:val="0"/>
              <w:spacing w:line="240" w:lineRule="auto"/>
              <w:ind w:firstLine="0"/>
              <w:rPr>
                <w:sz w:val="22"/>
                <w:szCs w:val="22"/>
              </w:rPr>
            </w:pPr>
            <w:r w:rsidRPr="00AE6323">
              <w:rPr>
                <w:sz w:val="22"/>
                <w:szCs w:val="22"/>
              </w:rPr>
              <w:t>Investigaciones, Libros, Trabajos de grado.</w:t>
            </w:r>
          </w:p>
        </w:tc>
      </w:tr>
      <w:tr w:rsidR="000C4208" w:rsidRPr="00AE6323" w14:paraId="42F021EC" w14:textId="77777777" w:rsidTr="000632B0">
        <w:trPr>
          <w:trHeight w:val="256"/>
        </w:trPr>
        <w:tc>
          <w:tcPr>
            <w:tcW w:w="2405" w:type="dxa"/>
            <w:vMerge/>
          </w:tcPr>
          <w:p w14:paraId="37A9DC55" w14:textId="77777777" w:rsidR="000C4208" w:rsidRPr="00AE6323" w:rsidRDefault="000C4208" w:rsidP="000632B0">
            <w:pPr>
              <w:widowControl w:val="0"/>
              <w:spacing w:line="240" w:lineRule="auto"/>
              <w:ind w:firstLine="0"/>
              <w:rPr>
                <w:rFonts w:eastAsia="Arial Narrow"/>
                <w:sz w:val="22"/>
                <w:szCs w:val="22"/>
              </w:rPr>
            </w:pPr>
          </w:p>
        </w:tc>
        <w:tc>
          <w:tcPr>
            <w:tcW w:w="1663" w:type="dxa"/>
            <w:vMerge/>
            <w:vAlign w:val="center"/>
          </w:tcPr>
          <w:p w14:paraId="0A767F03" w14:textId="77777777" w:rsidR="000C4208" w:rsidRPr="00AE6323" w:rsidRDefault="000C4208" w:rsidP="000632B0">
            <w:pPr>
              <w:widowControl w:val="0"/>
              <w:spacing w:line="240" w:lineRule="auto"/>
              <w:ind w:firstLine="0"/>
              <w:rPr>
                <w:sz w:val="22"/>
                <w:szCs w:val="22"/>
              </w:rPr>
            </w:pPr>
          </w:p>
        </w:tc>
        <w:tc>
          <w:tcPr>
            <w:tcW w:w="1538" w:type="dxa"/>
            <w:vMerge/>
            <w:vAlign w:val="center"/>
          </w:tcPr>
          <w:p w14:paraId="7EF354E0" w14:textId="77777777" w:rsidR="000C4208" w:rsidRPr="00AE6323" w:rsidRDefault="000C4208" w:rsidP="000632B0">
            <w:pPr>
              <w:widowControl w:val="0"/>
              <w:spacing w:line="240" w:lineRule="auto"/>
              <w:ind w:firstLine="0"/>
              <w:rPr>
                <w:sz w:val="22"/>
                <w:szCs w:val="22"/>
              </w:rPr>
            </w:pPr>
          </w:p>
        </w:tc>
        <w:tc>
          <w:tcPr>
            <w:tcW w:w="1846" w:type="dxa"/>
            <w:vAlign w:val="center"/>
          </w:tcPr>
          <w:p w14:paraId="580C1DD1" w14:textId="77777777" w:rsidR="000C4208" w:rsidRPr="00AE6323" w:rsidRDefault="000C4208" w:rsidP="000632B0">
            <w:pPr>
              <w:widowControl w:val="0"/>
              <w:spacing w:line="240" w:lineRule="auto"/>
              <w:ind w:firstLine="0"/>
              <w:rPr>
                <w:sz w:val="22"/>
                <w:szCs w:val="22"/>
              </w:rPr>
            </w:pPr>
            <w:r w:rsidRPr="00AE6323">
              <w:rPr>
                <w:sz w:val="22"/>
                <w:szCs w:val="22"/>
              </w:rPr>
              <w:t>Balanza comercial</w:t>
            </w:r>
          </w:p>
        </w:tc>
        <w:tc>
          <w:tcPr>
            <w:tcW w:w="1856" w:type="dxa"/>
            <w:vMerge/>
            <w:vAlign w:val="center"/>
          </w:tcPr>
          <w:p w14:paraId="63E0D249" w14:textId="77777777" w:rsidR="000C4208" w:rsidRPr="00AE6323" w:rsidRDefault="000C4208" w:rsidP="000632B0">
            <w:pPr>
              <w:widowControl w:val="0"/>
              <w:spacing w:line="240" w:lineRule="auto"/>
              <w:ind w:firstLine="0"/>
              <w:rPr>
                <w:sz w:val="22"/>
                <w:szCs w:val="22"/>
              </w:rPr>
            </w:pPr>
          </w:p>
        </w:tc>
      </w:tr>
      <w:tr w:rsidR="000C4208" w:rsidRPr="00AE6323" w14:paraId="2F47A130" w14:textId="77777777" w:rsidTr="000632B0">
        <w:trPr>
          <w:trHeight w:val="689"/>
        </w:trPr>
        <w:tc>
          <w:tcPr>
            <w:tcW w:w="2405" w:type="dxa"/>
            <w:vMerge/>
          </w:tcPr>
          <w:p w14:paraId="115227B0" w14:textId="77777777" w:rsidR="000C4208" w:rsidRPr="00AE6323" w:rsidRDefault="000C4208" w:rsidP="000632B0">
            <w:pPr>
              <w:widowControl w:val="0"/>
              <w:spacing w:line="240" w:lineRule="auto"/>
              <w:ind w:firstLine="0"/>
              <w:rPr>
                <w:rFonts w:eastAsia="Arial Narrow"/>
                <w:sz w:val="22"/>
                <w:szCs w:val="22"/>
              </w:rPr>
            </w:pPr>
          </w:p>
        </w:tc>
        <w:tc>
          <w:tcPr>
            <w:tcW w:w="1663" w:type="dxa"/>
            <w:vMerge/>
            <w:vAlign w:val="center"/>
          </w:tcPr>
          <w:p w14:paraId="17C95352" w14:textId="77777777" w:rsidR="000C4208" w:rsidRPr="00AE6323" w:rsidRDefault="000C4208" w:rsidP="000632B0">
            <w:pPr>
              <w:widowControl w:val="0"/>
              <w:spacing w:line="240" w:lineRule="auto"/>
              <w:ind w:firstLine="0"/>
              <w:rPr>
                <w:sz w:val="22"/>
                <w:szCs w:val="22"/>
              </w:rPr>
            </w:pPr>
          </w:p>
        </w:tc>
        <w:tc>
          <w:tcPr>
            <w:tcW w:w="1538" w:type="dxa"/>
            <w:vMerge/>
            <w:vAlign w:val="center"/>
          </w:tcPr>
          <w:p w14:paraId="218E361A" w14:textId="77777777" w:rsidR="000C4208" w:rsidRPr="00AE6323" w:rsidRDefault="000C4208" w:rsidP="000632B0">
            <w:pPr>
              <w:widowControl w:val="0"/>
              <w:spacing w:line="240" w:lineRule="auto"/>
              <w:ind w:firstLine="0"/>
              <w:rPr>
                <w:sz w:val="22"/>
                <w:szCs w:val="22"/>
              </w:rPr>
            </w:pPr>
          </w:p>
        </w:tc>
        <w:tc>
          <w:tcPr>
            <w:tcW w:w="1846" w:type="dxa"/>
            <w:vAlign w:val="center"/>
          </w:tcPr>
          <w:p w14:paraId="67BE3798" w14:textId="77777777" w:rsidR="000C4208" w:rsidRPr="00AE6323" w:rsidRDefault="000C4208" w:rsidP="000632B0">
            <w:pPr>
              <w:widowControl w:val="0"/>
              <w:spacing w:line="240" w:lineRule="auto"/>
              <w:ind w:firstLine="0"/>
              <w:rPr>
                <w:sz w:val="22"/>
                <w:szCs w:val="22"/>
              </w:rPr>
            </w:pPr>
            <w:r w:rsidRPr="00AE6323">
              <w:rPr>
                <w:sz w:val="22"/>
                <w:szCs w:val="22"/>
              </w:rPr>
              <w:t>Condiciones del mercado</w:t>
            </w:r>
          </w:p>
        </w:tc>
        <w:tc>
          <w:tcPr>
            <w:tcW w:w="1856" w:type="dxa"/>
            <w:vMerge/>
            <w:vAlign w:val="center"/>
          </w:tcPr>
          <w:p w14:paraId="0767AC3F" w14:textId="77777777" w:rsidR="000C4208" w:rsidRPr="00AE6323" w:rsidRDefault="000C4208" w:rsidP="000632B0">
            <w:pPr>
              <w:widowControl w:val="0"/>
              <w:spacing w:line="240" w:lineRule="auto"/>
              <w:ind w:firstLine="0"/>
              <w:rPr>
                <w:sz w:val="22"/>
                <w:szCs w:val="22"/>
              </w:rPr>
            </w:pPr>
          </w:p>
        </w:tc>
      </w:tr>
      <w:tr w:rsidR="000C4208" w:rsidRPr="00AE6323" w14:paraId="32528307" w14:textId="77777777" w:rsidTr="000632B0">
        <w:trPr>
          <w:trHeight w:val="251"/>
        </w:trPr>
        <w:tc>
          <w:tcPr>
            <w:tcW w:w="2405" w:type="dxa"/>
            <w:vMerge/>
          </w:tcPr>
          <w:p w14:paraId="69FF8008" w14:textId="77777777" w:rsidR="000C4208" w:rsidRPr="00AE6323" w:rsidRDefault="000C4208" w:rsidP="000632B0">
            <w:pPr>
              <w:widowControl w:val="0"/>
              <w:spacing w:line="240" w:lineRule="auto"/>
              <w:ind w:firstLine="0"/>
              <w:rPr>
                <w:rFonts w:eastAsia="Arial Narrow"/>
                <w:sz w:val="22"/>
                <w:szCs w:val="22"/>
              </w:rPr>
            </w:pPr>
          </w:p>
        </w:tc>
        <w:tc>
          <w:tcPr>
            <w:tcW w:w="1663" w:type="dxa"/>
            <w:vMerge/>
            <w:vAlign w:val="center"/>
          </w:tcPr>
          <w:p w14:paraId="09DFABB2" w14:textId="77777777" w:rsidR="000C4208" w:rsidRPr="00AE6323" w:rsidRDefault="000C4208" w:rsidP="000632B0">
            <w:pPr>
              <w:widowControl w:val="0"/>
              <w:spacing w:line="240" w:lineRule="auto"/>
              <w:ind w:firstLine="0"/>
              <w:rPr>
                <w:sz w:val="22"/>
                <w:szCs w:val="22"/>
              </w:rPr>
            </w:pPr>
          </w:p>
        </w:tc>
        <w:tc>
          <w:tcPr>
            <w:tcW w:w="1538" w:type="dxa"/>
            <w:vMerge/>
            <w:vAlign w:val="center"/>
          </w:tcPr>
          <w:p w14:paraId="64CA77A5" w14:textId="77777777" w:rsidR="000C4208" w:rsidRPr="00AE6323" w:rsidRDefault="000C4208" w:rsidP="000632B0">
            <w:pPr>
              <w:widowControl w:val="0"/>
              <w:spacing w:line="240" w:lineRule="auto"/>
              <w:ind w:firstLine="0"/>
              <w:rPr>
                <w:sz w:val="22"/>
                <w:szCs w:val="22"/>
              </w:rPr>
            </w:pPr>
          </w:p>
        </w:tc>
        <w:tc>
          <w:tcPr>
            <w:tcW w:w="1846" w:type="dxa"/>
            <w:vAlign w:val="center"/>
          </w:tcPr>
          <w:p w14:paraId="465CE6AF" w14:textId="77777777" w:rsidR="000C4208" w:rsidRPr="00A22AEA" w:rsidRDefault="000C4208" w:rsidP="000632B0">
            <w:pPr>
              <w:widowControl w:val="0"/>
              <w:spacing w:line="240" w:lineRule="auto"/>
              <w:ind w:firstLine="0"/>
              <w:rPr>
                <w:sz w:val="22"/>
                <w:szCs w:val="22"/>
              </w:rPr>
            </w:pPr>
            <w:r w:rsidRPr="00A22AEA">
              <w:rPr>
                <w:sz w:val="22"/>
                <w:szCs w:val="22"/>
              </w:rPr>
              <w:t>Tipología</w:t>
            </w:r>
          </w:p>
        </w:tc>
        <w:tc>
          <w:tcPr>
            <w:tcW w:w="1856" w:type="dxa"/>
            <w:vMerge/>
            <w:vAlign w:val="center"/>
          </w:tcPr>
          <w:p w14:paraId="750A9712" w14:textId="77777777" w:rsidR="000C4208" w:rsidRPr="00AE6323" w:rsidRDefault="000C4208" w:rsidP="000632B0">
            <w:pPr>
              <w:widowControl w:val="0"/>
              <w:spacing w:line="240" w:lineRule="auto"/>
              <w:ind w:firstLine="0"/>
              <w:rPr>
                <w:sz w:val="22"/>
                <w:szCs w:val="22"/>
              </w:rPr>
            </w:pPr>
          </w:p>
        </w:tc>
      </w:tr>
      <w:tr w:rsidR="000C4208" w:rsidRPr="00AE6323" w14:paraId="742BE9B6" w14:textId="77777777" w:rsidTr="000632B0">
        <w:trPr>
          <w:trHeight w:val="465"/>
        </w:trPr>
        <w:tc>
          <w:tcPr>
            <w:tcW w:w="2405" w:type="dxa"/>
            <w:vMerge/>
          </w:tcPr>
          <w:p w14:paraId="22797631" w14:textId="77777777" w:rsidR="000C4208" w:rsidRPr="00AE6323" w:rsidRDefault="000C4208" w:rsidP="000632B0">
            <w:pPr>
              <w:widowControl w:val="0"/>
              <w:spacing w:line="240" w:lineRule="auto"/>
              <w:ind w:firstLine="0"/>
              <w:rPr>
                <w:rFonts w:eastAsia="Arial Narrow"/>
                <w:sz w:val="22"/>
                <w:szCs w:val="22"/>
              </w:rPr>
            </w:pPr>
          </w:p>
        </w:tc>
        <w:tc>
          <w:tcPr>
            <w:tcW w:w="1663" w:type="dxa"/>
            <w:vMerge/>
            <w:vAlign w:val="center"/>
          </w:tcPr>
          <w:p w14:paraId="28B7F6B1" w14:textId="77777777" w:rsidR="000C4208" w:rsidRPr="00AE6323" w:rsidRDefault="000C4208" w:rsidP="000632B0">
            <w:pPr>
              <w:widowControl w:val="0"/>
              <w:spacing w:line="240" w:lineRule="auto"/>
              <w:ind w:firstLine="0"/>
              <w:rPr>
                <w:sz w:val="22"/>
                <w:szCs w:val="22"/>
              </w:rPr>
            </w:pPr>
          </w:p>
        </w:tc>
        <w:tc>
          <w:tcPr>
            <w:tcW w:w="1538" w:type="dxa"/>
            <w:vMerge/>
            <w:vAlign w:val="center"/>
          </w:tcPr>
          <w:p w14:paraId="347FA351" w14:textId="77777777" w:rsidR="000C4208" w:rsidRPr="00AE6323" w:rsidRDefault="000C4208" w:rsidP="000632B0">
            <w:pPr>
              <w:widowControl w:val="0"/>
              <w:spacing w:line="240" w:lineRule="auto"/>
              <w:ind w:firstLine="0"/>
              <w:rPr>
                <w:sz w:val="22"/>
                <w:szCs w:val="22"/>
              </w:rPr>
            </w:pPr>
          </w:p>
        </w:tc>
        <w:tc>
          <w:tcPr>
            <w:tcW w:w="1846" w:type="dxa"/>
            <w:vAlign w:val="center"/>
          </w:tcPr>
          <w:p w14:paraId="1FA92B0D" w14:textId="77777777" w:rsidR="000C4208" w:rsidRPr="00A22AEA" w:rsidRDefault="000C4208" w:rsidP="000632B0">
            <w:pPr>
              <w:widowControl w:val="0"/>
              <w:spacing w:line="240" w:lineRule="auto"/>
              <w:ind w:firstLine="0"/>
              <w:rPr>
                <w:sz w:val="22"/>
                <w:szCs w:val="22"/>
              </w:rPr>
            </w:pPr>
            <w:r w:rsidRPr="00A22AEA">
              <w:rPr>
                <w:sz w:val="22"/>
                <w:szCs w:val="22"/>
              </w:rPr>
              <w:t>Ventaja comparativa</w:t>
            </w:r>
          </w:p>
        </w:tc>
        <w:tc>
          <w:tcPr>
            <w:tcW w:w="1856" w:type="dxa"/>
            <w:vMerge/>
            <w:vAlign w:val="center"/>
          </w:tcPr>
          <w:p w14:paraId="37E55648" w14:textId="77777777" w:rsidR="000C4208" w:rsidRPr="00AE6323" w:rsidRDefault="000C4208" w:rsidP="000632B0">
            <w:pPr>
              <w:widowControl w:val="0"/>
              <w:spacing w:line="240" w:lineRule="auto"/>
              <w:ind w:firstLine="0"/>
              <w:rPr>
                <w:sz w:val="22"/>
                <w:szCs w:val="22"/>
              </w:rPr>
            </w:pPr>
          </w:p>
        </w:tc>
      </w:tr>
      <w:tr w:rsidR="00A22AEA" w:rsidRPr="00AE6323" w14:paraId="5533514C" w14:textId="77777777" w:rsidTr="000632B0">
        <w:trPr>
          <w:trHeight w:val="217"/>
        </w:trPr>
        <w:tc>
          <w:tcPr>
            <w:tcW w:w="2405" w:type="dxa"/>
            <w:vMerge w:val="restart"/>
            <w:vAlign w:val="center"/>
          </w:tcPr>
          <w:p w14:paraId="53B1D7FD" w14:textId="77777777" w:rsidR="00A22AEA" w:rsidRPr="00AE6323" w:rsidRDefault="00A22AEA" w:rsidP="000632B0">
            <w:pPr>
              <w:widowControl w:val="0"/>
              <w:spacing w:line="240" w:lineRule="auto"/>
              <w:ind w:firstLine="0"/>
              <w:jc w:val="center"/>
              <w:rPr>
                <w:sz w:val="22"/>
                <w:szCs w:val="22"/>
              </w:rPr>
            </w:pPr>
            <w:r w:rsidRPr="00AE6323">
              <w:rPr>
                <w:rFonts w:eastAsia="Arial Narrow"/>
                <w:color w:val="000000" w:themeColor="text1"/>
                <w:sz w:val="22"/>
                <w:szCs w:val="22"/>
              </w:rPr>
              <w:t xml:space="preserve">Valorar las condiciones de mercado para la creación de una zona franca en el municipio </w:t>
            </w:r>
            <w:r w:rsidRPr="00AE6323">
              <w:rPr>
                <w:rFonts w:eastAsia="Arial Narrow"/>
                <w:color w:val="000000" w:themeColor="text1"/>
                <w:sz w:val="22"/>
                <w:szCs w:val="22"/>
              </w:rPr>
              <w:lastRenderedPageBreak/>
              <w:t>de Aguachica, Cesar mediante una matriz de factores internos y externos.</w:t>
            </w:r>
          </w:p>
        </w:tc>
        <w:tc>
          <w:tcPr>
            <w:tcW w:w="1663" w:type="dxa"/>
            <w:vMerge w:val="restart"/>
            <w:vAlign w:val="center"/>
          </w:tcPr>
          <w:p w14:paraId="68B7DBE6" w14:textId="77777777" w:rsidR="00A22AEA" w:rsidRPr="00AE6323" w:rsidRDefault="00A22AEA" w:rsidP="000632B0">
            <w:pPr>
              <w:widowControl w:val="0"/>
              <w:spacing w:line="240" w:lineRule="auto"/>
              <w:ind w:firstLine="0"/>
              <w:jc w:val="center"/>
              <w:rPr>
                <w:sz w:val="22"/>
                <w:szCs w:val="22"/>
              </w:rPr>
            </w:pPr>
            <w:r w:rsidRPr="00AE6323">
              <w:rPr>
                <w:sz w:val="22"/>
                <w:szCs w:val="22"/>
              </w:rPr>
              <w:lastRenderedPageBreak/>
              <w:t>Factores internos y externos</w:t>
            </w:r>
          </w:p>
        </w:tc>
        <w:tc>
          <w:tcPr>
            <w:tcW w:w="1538" w:type="dxa"/>
            <w:vMerge w:val="restart"/>
            <w:vAlign w:val="center"/>
          </w:tcPr>
          <w:p w14:paraId="707C0255" w14:textId="49D5FDF9" w:rsidR="00A22AEA" w:rsidRPr="00AE6323" w:rsidRDefault="00A22AEA" w:rsidP="000632B0">
            <w:pPr>
              <w:widowControl w:val="0"/>
              <w:spacing w:line="240" w:lineRule="auto"/>
              <w:ind w:firstLine="0"/>
              <w:jc w:val="center"/>
              <w:rPr>
                <w:sz w:val="22"/>
                <w:szCs w:val="22"/>
              </w:rPr>
            </w:pPr>
            <w:r w:rsidRPr="00AE6323">
              <w:rPr>
                <w:sz w:val="22"/>
                <w:szCs w:val="22"/>
              </w:rPr>
              <w:t>Matriz</w:t>
            </w:r>
            <w:r>
              <w:rPr>
                <w:sz w:val="22"/>
                <w:szCs w:val="22"/>
              </w:rPr>
              <w:t xml:space="preserve"> de </w:t>
            </w:r>
            <w:r w:rsidRPr="00AE6323">
              <w:rPr>
                <w:sz w:val="22"/>
                <w:szCs w:val="22"/>
              </w:rPr>
              <w:t>Factores internos y externos</w:t>
            </w:r>
          </w:p>
        </w:tc>
        <w:tc>
          <w:tcPr>
            <w:tcW w:w="1846" w:type="dxa"/>
            <w:vAlign w:val="center"/>
          </w:tcPr>
          <w:p w14:paraId="607279C7" w14:textId="15147BE5" w:rsidR="00A22AEA" w:rsidRPr="00A22AEA" w:rsidRDefault="00A22AEA" w:rsidP="000632B0">
            <w:pPr>
              <w:widowControl w:val="0"/>
              <w:spacing w:line="240" w:lineRule="auto"/>
              <w:ind w:firstLine="0"/>
              <w:rPr>
                <w:sz w:val="22"/>
                <w:szCs w:val="22"/>
              </w:rPr>
            </w:pPr>
            <w:r>
              <w:rPr>
                <w:sz w:val="22"/>
                <w:szCs w:val="22"/>
              </w:rPr>
              <w:t>Capacidad Infraestructural</w:t>
            </w:r>
          </w:p>
        </w:tc>
        <w:tc>
          <w:tcPr>
            <w:tcW w:w="1856" w:type="dxa"/>
            <w:vMerge w:val="restart"/>
            <w:vAlign w:val="center"/>
          </w:tcPr>
          <w:p w14:paraId="22B6ADB9" w14:textId="77777777" w:rsidR="00A22AEA" w:rsidRPr="00AE6323" w:rsidRDefault="00A22AEA" w:rsidP="000632B0">
            <w:pPr>
              <w:widowControl w:val="0"/>
              <w:spacing w:line="240" w:lineRule="auto"/>
              <w:ind w:firstLine="0"/>
              <w:rPr>
                <w:sz w:val="22"/>
                <w:szCs w:val="22"/>
              </w:rPr>
            </w:pPr>
            <w:r w:rsidRPr="00AE6323">
              <w:rPr>
                <w:sz w:val="22"/>
                <w:szCs w:val="22"/>
              </w:rPr>
              <w:t>Investigaciones, Libros, Banco de la República, Trabajos de grado.</w:t>
            </w:r>
          </w:p>
        </w:tc>
      </w:tr>
      <w:tr w:rsidR="00A22AEA" w:rsidRPr="00AE6323" w14:paraId="53EE5E46" w14:textId="77777777" w:rsidTr="000632B0">
        <w:trPr>
          <w:trHeight w:val="537"/>
        </w:trPr>
        <w:tc>
          <w:tcPr>
            <w:tcW w:w="2405" w:type="dxa"/>
            <w:vMerge/>
          </w:tcPr>
          <w:p w14:paraId="2CC2A834" w14:textId="77777777" w:rsidR="00A22AEA" w:rsidRPr="00AE6323" w:rsidRDefault="00A22AEA" w:rsidP="000632B0">
            <w:pPr>
              <w:widowControl w:val="0"/>
              <w:spacing w:line="240" w:lineRule="auto"/>
              <w:ind w:firstLine="0"/>
              <w:rPr>
                <w:rFonts w:eastAsia="Arial Narrow"/>
                <w:sz w:val="22"/>
                <w:szCs w:val="22"/>
              </w:rPr>
            </w:pPr>
          </w:p>
        </w:tc>
        <w:tc>
          <w:tcPr>
            <w:tcW w:w="1663" w:type="dxa"/>
            <w:vMerge/>
            <w:vAlign w:val="center"/>
          </w:tcPr>
          <w:p w14:paraId="42BB9354" w14:textId="77777777" w:rsidR="00A22AEA" w:rsidRPr="00AE6323" w:rsidRDefault="00A22AEA" w:rsidP="000632B0">
            <w:pPr>
              <w:widowControl w:val="0"/>
              <w:spacing w:line="240" w:lineRule="auto"/>
              <w:ind w:firstLine="0"/>
              <w:rPr>
                <w:sz w:val="22"/>
                <w:szCs w:val="22"/>
              </w:rPr>
            </w:pPr>
          </w:p>
        </w:tc>
        <w:tc>
          <w:tcPr>
            <w:tcW w:w="1538" w:type="dxa"/>
            <w:vMerge/>
            <w:vAlign w:val="center"/>
          </w:tcPr>
          <w:p w14:paraId="310FDF73" w14:textId="77777777" w:rsidR="00A22AEA" w:rsidRPr="00AE6323" w:rsidRDefault="00A22AEA" w:rsidP="000632B0">
            <w:pPr>
              <w:widowControl w:val="0"/>
              <w:spacing w:line="240" w:lineRule="auto"/>
              <w:ind w:firstLine="0"/>
              <w:rPr>
                <w:sz w:val="22"/>
                <w:szCs w:val="22"/>
              </w:rPr>
            </w:pPr>
          </w:p>
        </w:tc>
        <w:tc>
          <w:tcPr>
            <w:tcW w:w="1846" w:type="dxa"/>
            <w:vAlign w:val="center"/>
          </w:tcPr>
          <w:p w14:paraId="48FC01C3" w14:textId="499EBDFD" w:rsidR="00A22AEA" w:rsidRPr="00A22AEA" w:rsidRDefault="00A22AEA" w:rsidP="000632B0">
            <w:pPr>
              <w:widowControl w:val="0"/>
              <w:spacing w:line="240" w:lineRule="auto"/>
              <w:ind w:firstLine="0"/>
              <w:rPr>
                <w:sz w:val="22"/>
                <w:szCs w:val="22"/>
              </w:rPr>
            </w:pPr>
            <w:r>
              <w:rPr>
                <w:sz w:val="22"/>
                <w:szCs w:val="22"/>
              </w:rPr>
              <w:t>Capital Humano</w:t>
            </w:r>
          </w:p>
        </w:tc>
        <w:tc>
          <w:tcPr>
            <w:tcW w:w="1856" w:type="dxa"/>
            <w:vMerge/>
          </w:tcPr>
          <w:p w14:paraId="06DC7E85" w14:textId="77777777" w:rsidR="00A22AEA" w:rsidRPr="00AE6323" w:rsidRDefault="00A22AEA" w:rsidP="000632B0">
            <w:pPr>
              <w:widowControl w:val="0"/>
              <w:spacing w:line="240" w:lineRule="auto"/>
              <w:ind w:firstLine="0"/>
              <w:rPr>
                <w:sz w:val="22"/>
                <w:szCs w:val="22"/>
              </w:rPr>
            </w:pPr>
          </w:p>
        </w:tc>
      </w:tr>
      <w:tr w:rsidR="00A22AEA" w:rsidRPr="00AE6323" w14:paraId="287AD1C0" w14:textId="77777777" w:rsidTr="000632B0">
        <w:trPr>
          <w:trHeight w:val="380"/>
        </w:trPr>
        <w:tc>
          <w:tcPr>
            <w:tcW w:w="2405" w:type="dxa"/>
            <w:vMerge/>
          </w:tcPr>
          <w:p w14:paraId="7AA398D7" w14:textId="77777777" w:rsidR="00A22AEA" w:rsidRPr="00AE6323" w:rsidRDefault="00A22AEA" w:rsidP="000632B0">
            <w:pPr>
              <w:widowControl w:val="0"/>
              <w:spacing w:line="240" w:lineRule="auto"/>
              <w:ind w:firstLine="0"/>
              <w:rPr>
                <w:rFonts w:eastAsia="Arial Narrow"/>
                <w:sz w:val="22"/>
                <w:szCs w:val="22"/>
              </w:rPr>
            </w:pPr>
          </w:p>
        </w:tc>
        <w:tc>
          <w:tcPr>
            <w:tcW w:w="1663" w:type="dxa"/>
            <w:vMerge/>
            <w:vAlign w:val="center"/>
          </w:tcPr>
          <w:p w14:paraId="712B6225" w14:textId="77777777" w:rsidR="00A22AEA" w:rsidRPr="00AE6323" w:rsidRDefault="00A22AEA" w:rsidP="000632B0">
            <w:pPr>
              <w:widowControl w:val="0"/>
              <w:spacing w:line="240" w:lineRule="auto"/>
              <w:ind w:firstLine="0"/>
              <w:rPr>
                <w:sz w:val="22"/>
                <w:szCs w:val="22"/>
              </w:rPr>
            </w:pPr>
          </w:p>
        </w:tc>
        <w:tc>
          <w:tcPr>
            <w:tcW w:w="1538" w:type="dxa"/>
            <w:vMerge/>
            <w:vAlign w:val="center"/>
          </w:tcPr>
          <w:p w14:paraId="286110F7" w14:textId="77777777" w:rsidR="00A22AEA" w:rsidRPr="00AE6323" w:rsidRDefault="00A22AEA" w:rsidP="000632B0">
            <w:pPr>
              <w:widowControl w:val="0"/>
              <w:spacing w:line="240" w:lineRule="auto"/>
              <w:ind w:firstLine="0"/>
              <w:rPr>
                <w:sz w:val="22"/>
                <w:szCs w:val="22"/>
              </w:rPr>
            </w:pPr>
          </w:p>
        </w:tc>
        <w:tc>
          <w:tcPr>
            <w:tcW w:w="1846" w:type="dxa"/>
            <w:vAlign w:val="center"/>
          </w:tcPr>
          <w:p w14:paraId="2ED4A062" w14:textId="444923B8" w:rsidR="00A22AEA" w:rsidRPr="00A22AEA" w:rsidRDefault="00A22AEA" w:rsidP="000632B0">
            <w:pPr>
              <w:widowControl w:val="0"/>
              <w:spacing w:line="240" w:lineRule="auto"/>
              <w:ind w:firstLine="0"/>
              <w:rPr>
                <w:sz w:val="22"/>
                <w:szCs w:val="22"/>
              </w:rPr>
            </w:pPr>
            <w:r w:rsidRPr="00A22AEA">
              <w:rPr>
                <w:sz w:val="22"/>
                <w:szCs w:val="22"/>
              </w:rPr>
              <w:t>Recursos Natu</w:t>
            </w:r>
            <w:r>
              <w:rPr>
                <w:sz w:val="22"/>
                <w:szCs w:val="22"/>
              </w:rPr>
              <w:t>rales y Disponibilidad de Suelo</w:t>
            </w:r>
          </w:p>
        </w:tc>
        <w:tc>
          <w:tcPr>
            <w:tcW w:w="1856" w:type="dxa"/>
            <w:vMerge/>
          </w:tcPr>
          <w:p w14:paraId="2E19A279" w14:textId="77777777" w:rsidR="00A22AEA" w:rsidRPr="00AE6323" w:rsidRDefault="00A22AEA" w:rsidP="000632B0">
            <w:pPr>
              <w:widowControl w:val="0"/>
              <w:spacing w:line="240" w:lineRule="auto"/>
              <w:ind w:firstLine="0"/>
              <w:rPr>
                <w:sz w:val="22"/>
                <w:szCs w:val="22"/>
              </w:rPr>
            </w:pPr>
          </w:p>
        </w:tc>
      </w:tr>
      <w:tr w:rsidR="00A22AEA" w:rsidRPr="00AE6323" w14:paraId="1A2320D4" w14:textId="77777777" w:rsidTr="000632B0">
        <w:trPr>
          <w:trHeight w:val="406"/>
        </w:trPr>
        <w:tc>
          <w:tcPr>
            <w:tcW w:w="2405" w:type="dxa"/>
            <w:vMerge/>
          </w:tcPr>
          <w:p w14:paraId="0ACD8BC5" w14:textId="77777777" w:rsidR="00A22AEA" w:rsidRPr="00AE6323" w:rsidRDefault="00A22AEA" w:rsidP="000632B0">
            <w:pPr>
              <w:widowControl w:val="0"/>
              <w:spacing w:line="240" w:lineRule="auto"/>
              <w:ind w:firstLine="0"/>
              <w:rPr>
                <w:rFonts w:eastAsia="Arial Narrow"/>
                <w:sz w:val="22"/>
                <w:szCs w:val="22"/>
              </w:rPr>
            </w:pPr>
          </w:p>
        </w:tc>
        <w:tc>
          <w:tcPr>
            <w:tcW w:w="1663" w:type="dxa"/>
            <w:vMerge/>
            <w:vAlign w:val="center"/>
          </w:tcPr>
          <w:p w14:paraId="0A77AFF4" w14:textId="77777777" w:rsidR="00A22AEA" w:rsidRPr="00AE6323" w:rsidRDefault="00A22AEA" w:rsidP="000632B0">
            <w:pPr>
              <w:widowControl w:val="0"/>
              <w:spacing w:line="240" w:lineRule="auto"/>
              <w:ind w:firstLine="0"/>
              <w:rPr>
                <w:sz w:val="22"/>
                <w:szCs w:val="22"/>
              </w:rPr>
            </w:pPr>
          </w:p>
        </w:tc>
        <w:tc>
          <w:tcPr>
            <w:tcW w:w="1538" w:type="dxa"/>
            <w:vMerge/>
            <w:vAlign w:val="center"/>
          </w:tcPr>
          <w:p w14:paraId="2CA5DDA3" w14:textId="77777777" w:rsidR="00A22AEA" w:rsidRPr="00AE6323" w:rsidRDefault="00A22AEA" w:rsidP="000632B0">
            <w:pPr>
              <w:widowControl w:val="0"/>
              <w:spacing w:line="240" w:lineRule="auto"/>
              <w:ind w:firstLine="0"/>
              <w:rPr>
                <w:sz w:val="22"/>
                <w:szCs w:val="22"/>
              </w:rPr>
            </w:pPr>
          </w:p>
        </w:tc>
        <w:tc>
          <w:tcPr>
            <w:tcW w:w="1846" w:type="dxa"/>
            <w:vAlign w:val="center"/>
          </w:tcPr>
          <w:p w14:paraId="72348051" w14:textId="4870A8A8" w:rsidR="00A22AEA" w:rsidRPr="00A22AEA" w:rsidRDefault="00A22AEA" w:rsidP="000632B0">
            <w:pPr>
              <w:widowControl w:val="0"/>
              <w:spacing w:line="240" w:lineRule="auto"/>
              <w:ind w:firstLine="0"/>
              <w:rPr>
                <w:sz w:val="22"/>
                <w:szCs w:val="22"/>
              </w:rPr>
            </w:pPr>
            <w:r w:rsidRPr="00A22AEA">
              <w:rPr>
                <w:sz w:val="22"/>
                <w:szCs w:val="22"/>
              </w:rPr>
              <w:t xml:space="preserve">Entorno </w:t>
            </w:r>
            <w:r>
              <w:rPr>
                <w:sz w:val="22"/>
                <w:szCs w:val="22"/>
              </w:rPr>
              <w:t>Económico</w:t>
            </w:r>
          </w:p>
        </w:tc>
        <w:tc>
          <w:tcPr>
            <w:tcW w:w="1856" w:type="dxa"/>
            <w:vMerge/>
          </w:tcPr>
          <w:p w14:paraId="632B95EA" w14:textId="77777777" w:rsidR="00A22AEA" w:rsidRPr="00AE6323" w:rsidRDefault="00A22AEA" w:rsidP="000632B0">
            <w:pPr>
              <w:widowControl w:val="0"/>
              <w:spacing w:line="240" w:lineRule="auto"/>
              <w:ind w:firstLine="0"/>
              <w:rPr>
                <w:sz w:val="22"/>
                <w:szCs w:val="22"/>
              </w:rPr>
            </w:pPr>
          </w:p>
        </w:tc>
      </w:tr>
      <w:tr w:rsidR="00A22AEA" w:rsidRPr="00AE6323" w14:paraId="654EABAF" w14:textId="77777777" w:rsidTr="000632B0">
        <w:trPr>
          <w:trHeight w:val="285"/>
        </w:trPr>
        <w:tc>
          <w:tcPr>
            <w:tcW w:w="2405" w:type="dxa"/>
            <w:vMerge/>
          </w:tcPr>
          <w:p w14:paraId="50AF314B" w14:textId="77777777" w:rsidR="00A22AEA" w:rsidRPr="00AE6323" w:rsidRDefault="00A22AEA" w:rsidP="000632B0">
            <w:pPr>
              <w:widowControl w:val="0"/>
              <w:spacing w:line="240" w:lineRule="auto"/>
              <w:ind w:firstLine="0"/>
              <w:rPr>
                <w:rFonts w:eastAsia="Arial Narrow"/>
                <w:sz w:val="22"/>
                <w:szCs w:val="22"/>
              </w:rPr>
            </w:pPr>
          </w:p>
        </w:tc>
        <w:tc>
          <w:tcPr>
            <w:tcW w:w="1663" w:type="dxa"/>
            <w:vMerge/>
            <w:vAlign w:val="center"/>
          </w:tcPr>
          <w:p w14:paraId="6C02E0A3" w14:textId="77777777" w:rsidR="00A22AEA" w:rsidRPr="00AE6323" w:rsidRDefault="00A22AEA" w:rsidP="000632B0">
            <w:pPr>
              <w:widowControl w:val="0"/>
              <w:spacing w:line="240" w:lineRule="auto"/>
              <w:ind w:firstLine="0"/>
              <w:rPr>
                <w:sz w:val="22"/>
                <w:szCs w:val="22"/>
              </w:rPr>
            </w:pPr>
          </w:p>
        </w:tc>
        <w:tc>
          <w:tcPr>
            <w:tcW w:w="1538" w:type="dxa"/>
            <w:vMerge/>
            <w:vAlign w:val="center"/>
          </w:tcPr>
          <w:p w14:paraId="4570B79D" w14:textId="77777777" w:rsidR="00A22AEA" w:rsidRPr="00AE6323" w:rsidRDefault="00A22AEA" w:rsidP="000632B0">
            <w:pPr>
              <w:widowControl w:val="0"/>
              <w:spacing w:line="240" w:lineRule="auto"/>
              <w:ind w:firstLine="0"/>
              <w:rPr>
                <w:sz w:val="22"/>
                <w:szCs w:val="22"/>
              </w:rPr>
            </w:pPr>
          </w:p>
        </w:tc>
        <w:tc>
          <w:tcPr>
            <w:tcW w:w="1846" w:type="dxa"/>
            <w:vAlign w:val="center"/>
          </w:tcPr>
          <w:p w14:paraId="1040D92E" w14:textId="1658A0F2" w:rsidR="00A22AEA" w:rsidRPr="00A22AEA" w:rsidRDefault="00A22AEA" w:rsidP="000632B0">
            <w:pPr>
              <w:widowControl w:val="0"/>
              <w:spacing w:line="240" w:lineRule="auto"/>
              <w:ind w:firstLine="0"/>
              <w:rPr>
                <w:sz w:val="22"/>
                <w:szCs w:val="22"/>
              </w:rPr>
            </w:pPr>
            <w:r>
              <w:rPr>
                <w:sz w:val="22"/>
                <w:szCs w:val="22"/>
              </w:rPr>
              <w:t>Entorno Social</w:t>
            </w:r>
          </w:p>
        </w:tc>
        <w:tc>
          <w:tcPr>
            <w:tcW w:w="1856" w:type="dxa"/>
            <w:vMerge/>
          </w:tcPr>
          <w:p w14:paraId="22D876B4" w14:textId="77777777" w:rsidR="00A22AEA" w:rsidRPr="00AE6323" w:rsidRDefault="00A22AEA" w:rsidP="000632B0">
            <w:pPr>
              <w:widowControl w:val="0"/>
              <w:spacing w:line="240" w:lineRule="auto"/>
              <w:ind w:firstLine="0"/>
              <w:rPr>
                <w:sz w:val="22"/>
                <w:szCs w:val="22"/>
              </w:rPr>
            </w:pPr>
          </w:p>
        </w:tc>
      </w:tr>
      <w:tr w:rsidR="00A22AEA" w:rsidRPr="00AE6323" w14:paraId="60B68F5B" w14:textId="77777777" w:rsidTr="000632B0">
        <w:trPr>
          <w:trHeight w:val="556"/>
        </w:trPr>
        <w:tc>
          <w:tcPr>
            <w:tcW w:w="2405" w:type="dxa"/>
            <w:vMerge/>
          </w:tcPr>
          <w:p w14:paraId="161D3FAE" w14:textId="77777777" w:rsidR="00A22AEA" w:rsidRPr="00AE6323" w:rsidRDefault="00A22AEA" w:rsidP="000632B0">
            <w:pPr>
              <w:widowControl w:val="0"/>
              <w:spacing w:line="240" w:lineRule="auto"/>
              <w:ind w:firstLine="0"/>
              <w:rPr>
                <w:rFonts w:eastAsia="Arial Narrow"/>
                <w:sz w:val="22"/>
                <w:szCs w:val="22"/>
              </w:rPr>
            </w:pPr>
          </w:p>
        </w:tc>
        <w:tc>
          <w:tcPr>
            <w:tcW w:w="1663" w:type="dxa"/>
            <w:vMerge/>
            <w:vAlign w:val="center"/>
          </w:tcPr>
          <w:p w14:paraId="7B20A749" w14:textId="77777777" w:rsidR="00A22AEA" w:rsidRPr="00AE6323" w:rsidRDefault="00A22AEA" w:rsidP="000632B0">
            <w:pPr>
              <w:widowControl w:val="0"/>
              <w:spacing w:line="240" w:lineRule="auto"/>
              <w:ind w:firstLine="0"/>
              <w:rPr>
                <w:sz w:val="22"/>
                <w:szCs w:val="22"/>
              </w:rPr>
            </w:pPr>
          </w:p>
        </w:tc>
        <w:tc>
          <w:tcPr>
            <w:tcW w:w="1538" w:type="dxa"/>
            <w:vMerge/>
            <w:vAlign w:val="center"/>
          </w:tcPr>
          <w:p w14:paraId="2EBE9AC0" w14:textId="77777777" w:rsidR="00A22AEA" w:rsidRPr="00AE6323" w:rsidRDefault="00A22AEA" w:rsidP="000632B0">
            <w:pPr>
              <w:widowControl w:val="0"/>
              <w:spacing w:line="240" w:lineRule="auto"/>
              <w:ind w:firstLine="0"/>
              <w:rPr>
                <w:sz w:val="22"/>
                <w:szCs w:val="22"/>
              </w:rPr>
            </w:pPr>
          </w:p>
        </w:tc>
        <w:tc>
          <w:tcPr>
            <w:tcW w:w="1846" w:type="dxa"/>
            <w:vAlign w:val="center"/>
          </w:tcPr>
          <w:p w14:paraId="61437BB5" w14:textId="3ABFDC9A" w:rsidR="00A22AEA" w:rsidRPr="00A22AEA" w:rsidRDefault="00A22AEA" w:rsidP="000632B0">
            <w:pPr>
              <w:widowControl w:val="0"/>
              <w:spacing w:line="240" w:lineRule="auto"/>
              <w:ind w:firstLine="0"/>
              <w:rPr>
                <w:sz w:val="22"/>
                <w:szCs w:val="22"/>
              </w:rPr>
            </w:pPr>
            <w:r w:rsidRPr="00A22AEA">
              <w:rPr>
                <w:sz w:val="22"/>
                <w:szCs w:val="22"/>
              </w:rPr>
              <w:t>Entorno Político y Legal</w:t>
            </w:r>
          </w:p>
        </w:tc>
        <w:tc>
          <w:tcPr>
            <w:tcW w:w="1856" w:type="dxa"/>
            <w:vMerge/>
          </w:tcPr>
          <w:p w14:paraId="74EDC54A" w14:textId="77777777" w:rsidR="00A22AEA" w:rsidRPr="00AE6323" w:rsidRDefault="00A22AEA" w:rsidP="000632B0">
            <w:pPr>
              <w:widowControl w:val="0"/>
              <w:spacing w:line="240" w:lineRule="auto"/>
              <w:ind w:firstLine="0"/>
              <w:rPr>
                <w:sz w:val="22"/>
                <w:szCs w:val="22"/>
              </w:rPr>
            </w:pPr>
          </w:p>
        </w:tc>
      </w:tr>
      <w:tr w:rsidR="00A22AEA" w:rsidRPr="00AE6323" w14:paraId="2BA62DBD" w14:textId="77777777" w:rsidTr="000632B0">
        <w:trPr>
          <w:trHeight w:val="556"/>
        </w:trPr>
        <w:tc>
          <w:tcPr>
            <w:tcW w:w="2405" w:type="dxa"/>
            <w:vMerge/>
          </w:tcPr>
          <w:p w14:paraId="7D20DBA7" w14:textId="77777777" w:rsidR="00A22AEA" w:rsidRPr="00AE6323" w:rsidRDefault="00A22AEA" w:rsidP="000632B0">
            <w:pPr>
              <w:widowControl w:val="0"/>
              <w:spacing w:line="240" w:lineRule="auto"/>
              <w:ind w:firstLine="0"/>
              <w:rPr>
                <w:rFonts w:eastAsia="Arial Narrow"/>
                <w:sz w:val="22"/>
              </w:rPr>
            </w:pPr>
          </w:p>
        </w:tc>
        <w:tc>
          <w:tcPr>
            <w:tcW w:w="1663" w:type="dxa"/>
            <w:vMerge/>
            <w:vAlign w:val="center"/>
          </w:tcPr>
          <w:p w14:paraId="70978648" w14:textId="77777777" w:rsidR="00A22AEA" w:rsidRPr="00AE6323" w:rsidRDefault="00A22AEA" w:rsidP="000632B0">
            <w:pPr>
              <w:widowControl w:val="0"/>
              <w:spacing w:line="240" w:lineRule="auto"/>
              <w:ind w:firstLine="0"/>
              <w:rPr>
                <w:sz w:val="22"/>
              </w:rPr>
            </w:pPr>
          </w:p>
        </w:tc>
        <w:tc>
          <w:tcPr>
            <w:tcW w:w="1538" w:type="dxa"/>
            <w:vMerge/>
            <w:vAlign w:val="center"/>
          </w:tcPr>
          <w:p w14:paraId="000778AA" w14:textId="77777777" w:rsidR="00A22AEA" w:rsidRPr="00AE6323" w:rsidRDefault="00A22AEA" w:rsidP="000632B0">
            <w:pPr>
              <w:widowControl w:val="0"/>
              <w:spacing w:line="240" w:lineRule="auto"/>
              <w:ind w:firstLine="0"/>
              <w:rPr>
                <w:sz w:val="22"/>
              </w:rPr>
            </w:pPr>
          </w:p>
        </w:tc>
        <w:tc>
          <w:tcPr>
            <w:tcW w:w="1846" w:type="dxa"/>
            <w:vAlign w:val="center"/>
          </w:tcPr>
          <w:p w14:paraId="39ACB2A7" w14:textId="66845174" w:rsidR="00A22AEA" w:rsidRPr="00A22AEA" w:rsidRDefault="00A22AEA" w:rsidP="000632B0">
            <w:pPr>
              <w:widowControl w:val="0"/>
              <w:spacing w:line="240" w:lineRule="auto"/>
              <w:ind w:firstLine="0"/>
              <w:rPr>
                <w:sz w:val="22"/>
                <w:szCs w:val="22"/>
              </w:rPr>
            </w:pPr>
            <w:r>
              <w:rPr>
                <w:sz w:val="22"/>
                <w:szCs w:val="22"/>
              </w:rPr>
              <w:t>Entorno Tecnológico:</w:t>
            </w:r>
          </w:p>
        </w:tc>
        <w:tc>
          <w:tcPr>
            <w:tcW w:w="1856" w:type="dxa"/>
            <w:vMerge/>
          </w:tcPr>
          <w:p w14:paraId="314E808B" w14:textId="77777777" w:rsidR="00A22AEA" w:rsidRPr="00AE6323" w:rsidRDefault="00A22AEA" w:rsidP="000632B0">
            <w:pPr>
              <w:widowControl w:val="0"/>
              <w:spacing w:line="240" w:lineRule="auto"/>
              <w:ind w:firstLine="0"/>
              <w:rPr>
                <w:sz w:val="22"/>
              </w:rPr>
            </w:pPr>
          </w:p>
        </w:tc>
      </w:tr>
      <w:tr w:rsidR="00A22AEA" w:rsidRPr="00AE6323" w14:paraId="66B68321" w14:textId="77777777" w:rsidTr="000632B0">
        <w:trPr>
          <w:trHeight w:val="556"/>
        </w:trPr>
        <w:tc>
          <w:tcPr>
            <w:tcW w:w="2405" w:type="dxa"/>
            <w:vMerge/>
          </w:tcPr>
          <w:p w14:paraId="36BB6D8F" w14:textId="77777777" w:rsidR="00A22AEA" w:rsidRPr="00AE6323" w:rsidRDefault="00A22AEA" w:rsidP="000632B0">
            <w:pPr>
              <w:widowControl w:val="0"/>
              <w:spacing w:line="240" w:lineRule="auto"/>
              <w:ind w:firstLine="0"/>
              <w:rPr>
                <w:rFonts w:eastAsia="Arial Narrow"/>
                <w:sz w:val="22"/>
              </w:rPr>
            </w:pPr>
          </w:p>
        </w:tc>
        <w:tc>
          <w:tcPr>
            <w:tcW w:w="1663" w:type="dxa"/>
            <w:vMerge/>
            <w:vAlign w:val="center"/>
          </w:tcPr>
          <w:p w14:paraId="4F66DCD1" w14:textId="77777777" w:rsidR="00A22AEA" w:rsidRPr="00AE6323" w:rsidRDefault="00A22AEA" w:rsidP="000632B0">
            <w:pPr>
              <w:widowControl w:val="0"/>
              <w:spacing w:line="240" w:lineRule="auto"/>
              <w:ind w:firstLine="0"/>
              <w:rPr>
                <w:sz w:val="22"/>
              </w:rPr>
            </w:pPr>
          </w:p>
        </w:tc>
        <w:tc>
          <w:tcPr>
            <w:tcW w:w="1538" w:type="dxa"/>
            <w:vMerge/>
            <w:vAlign w:val="center"/>
          </w:tcPr>
          <w:p w14:paraId="38321DE9" w14:textId="77777777" w:rsidR="00A22AEA" w:rsidRPr="00AE6323" w:rsidRDefault="00A22AEA" w:rsidP="000632B0">
            <w:pPr>
              <w:widowControl w:val="0"/>
              <w:spacing w:line="240" w:lineRule="auto"/>
              <w:ind w:firstLine="0"/>
              <w:rPr>
                <w:sz w:val="22"/>
              </w:rPr>
            </w:pPr>
          </w:p>
        </w:tc>
        <w:tc>
          <w:tcPr>
            <w:tcW w:w="1846" w:type="dxa"/>
            <w:vAlign w:val="center"/>
          </w:tcPr>
          <w:p w14:paraId="75B24144" w14:textId="13F019B0" w:rsidR="00A22AEA" w:rsidRPr="00A22AEA" w:rsidRDefault="00A22AEA" w:rsidP="000632B0">
            <w:pPr>
              <w:widowControl w:val="0"/>
              <w:spacing w:line="240" w:lineRule="auto"/>
              <w:ind w:firstLine="0"/>
              <w:rPr>
                <w:sz w:val="22"/>
              </w:rPr>
            </w:pPr>
            <w:r w:rsidRPr="00A22AEA">
              <w:rPr>
                <w:sz w:val="22"/>
                <w:szCs w:val="22"/>
              </w:rPr>
              <w:t>Entorno Competitivo:</w:t>
            </w:r>
          </w:p>
        </w:tc>
        <w:tc>
          <w:tcPr>
            <w:tcW w:w="1856" w:type="dxa"/>
            <w:vMerge/>
          </w:tcPr>
          <w:p w14:paraId="527ED4CC" w14:textId="77777777" w:rsidR="00A22AEA" w:rsidRPr="00AE6323" w:rsidRDefault="00A22AEA" w:rsidP="000632B0">
            <w:pPr>
              <w:widowControl w:val="0"/>
              <w:spacing w:line="240" w:lineRule="auto"/>
              <w:ind w:firstLine="0"/>
              <w:rPr>
                <w:sz w:val="22"/>
              </w:rPr>
            </w:pPr>
          </w:p>
        </w:tc>
      </w:tr>
    </w:tbl>
    <w:p w14:paraId="240CF99E" w14:textId="77777777" w:rsidR="000C4208" w:rsidRDefault="000C4208" w:rsidP="0015136C">
      <w:pPr>
        <w:widowControl w:val="0"/>
        <w:spacing w:line="480" w:lineRule="auto"/>
        <w:jc w:val="center"/>
        <w:rPr>
          <w:rStyle w:val="nfasisintenso"/>
          <w:rFonts w:cs="Times New Roman"/>
          <w:b/>
          <w:bCs/>
          <w:i w:val="0"/>
          <w:iCs w:val="0"/>
          <w:color w:val="000000" w:themeColor="text1"/>
          <w:lang w:eastAsia="es-CO"/>
        </w:rPr>
      </w:pPr>
    </w:p>
    <w:p w14:paraId="52658CB3" w14:textId="77777777" w:rsidR="000C4208" w:rsidRDefault="000C4208" w:rsidP="0015136C">
      <w:pPr>
        <w:widowControl w:val="0"/>
        <w:spacing w:line="480" w:lineRule="auto"/>
        <w:jc w:val="center"/>
        <w:rPr>
          <w:rStyle w:val="nfasisintenso"/>
          <w:rFonts w:cs="Times New Roman"/>
          <w:b/>
          <w:bCs/>
          <w:i w:val="0"/>
          <w:iCs w:val="0"/>
          <w:color w:val="000000" w:themeColor="text1"/>
          <w:lang w:eastAsia="es-CO"/>
        </w:rPr>
      </w:pPr>
    </w:p>
    <w:p w14:paraId="79000C49" w14:textId="77777777" w:rsidR="000C4208" w:rsidRDefault="000C4208" w:rsidP="0015136C">
      <w:pPr>
        <w:widowControl w:val="0"/>
        <w:spacing w:line="480" w:lineRule="auto"/>
        <w:jc w:val="center"/>
        <w:rPr>
          <w:rStyle w:val="nfasisintenso"/>
          <w:rFonts w:cs="Times New Roman"/>
          <w:b/>
          <w:bCs/>
          <w:i w:val="0"/>
          <w:iCs w:val="0"/>
          <w:color w:val="000000" w:themeColor="text1"/>
          <w:lang w:eastAsia="es-CO"/>
        </w:rPr>
      </w:pPr>
    </w:p>
    <w:p w14:paraId="7C04821C" w14:textId="77777777" w:rsidR="000C4208" w:rsidRDefault="000C4208" w:rsidP="0015136C">
      <w:pPr>
        <w:widowControl w:val="0"/>
        <w:spacing w:line="480" w:lineRule="auto"/>
        <w:jc w:val="center"/>
        <w:rPr>
          <w:rStyle w:val="nfasisintenso"/>
          <w:rFonts w:cs="Times New Roman"/>
          <w:b/>
          <w:bCs/>
          <w:i w:val="0"/>
          <w:iCs w:val="0"/>
          <w:color w:val="000000" w:themeColor="text1"/>
          <w:lang w:eastAsia="es-CO"/>
        </w:rPr>
      </w:pPr>
    </w:p>
    <w:p w14:paraId="3C913DB2" w14:textId="77777777" w:rsidR="009612C1" w:rsidRDefault="009612C1" w:rsidP="0015136C">
      <w:pPr>
        <w:widowControl w:val="0"/>
        <w:spacing w:line="480" w:lineRule="auto"/>
        <w:jc w:val="center"/>
        <w:rPr>
          <w:rStyle w:val="nfasisintenso"/>
          <w:rFonts w:cs="Times New Roman"/>
          <w:b/>
          <w:bCs/>
          <w:i w:val="0"/>
          <w:iCs w:val="0"/>
          <w:color w:val="000000" w:themeColor="text1"/>
          <w:lang w:eastAsia="es-CO"/>
        </w:rPr>
      </w:pPr>
    </w:p>
    <w:p w14:paraId="43767D88" w14:textId="77777777" w:rsidR="009B7E10" w:rsidRDefault="009B7E10" w:rsidP="0015136C">
      <w:pPr>
        <w:spacing w:line="480" w:lineRule="auto"/>
        <w:rPr>
          <w:rStyle w:val="nfasisintenso"/>
          <w:rFonts w:cs="Times New Roman"/>
          <w:b/>
          <w:bCs/>
          <w:i w:val="0"/>
          <w:iCs w:val="0"/>
          <w:color w:val="000000" w:themeColor="text1"/>
          <w:lang w:eastAsia="es-CO"/>
        </w:rPr>
      </w:pPr>
      <w:r>
        <w:rPr>
          <w:rStyle w:val="nfasisintenso"/>
          <w:rFonts w:cs="Times New Roman"/>
          <w:b/>
          <w:bCs/>
          <w:i w:val="0"/>
          <w:iCs w:val="0"/>
          <w:color w:val="000000" w:themeColor="text1"/>
          <w:lang w:eastAsia="es-CO"/>
        </w:rPr>
        <w:br w:type="page"/>
      </w:r>
    </w:p>
    <w:p w14:paraId="5F37E483" w14:textId="12F22AFB" w:rsidR="009B7E10" w:rsidRDefault="000C4208" w:rsidP="000632B0">
      <w:pPr>
        <w:pStyle w:val="Ttulo1"/>
        <w:rPr>
          <w:rStyle w:val="nfasisintenso"/>
          <w:i w:val="0"/>
          <w:iCs w:val="0"/>
          <w:color w:val="auto"/>
        </w:rPr>
      </w:pPr>
      <w:bookmarkStart w:id="19" w:name="_Toc183783021"/>
      <w:r w:rsidRPr="000632B0">
        <w:rPr>
          <w:rStyle w:val="nfasisintenso"/>
          <w:i w:val="0"/>
          <w:iCs w:val="0"/>
          <w:color w:val="auto"/>
        </w:rPr>
        <w:lastRenderedPageBreak/>
        <w:t>CAPITULO 2. MARCO DE REFERENCIA</w:t>
      </w:r>
      <w:bookmarkEnd w:id="19"/>
      <w:r w:rsidRPr="000632B0">
        <w:rPr>
          <w:rStyle w:val="nfasisintenso"/>
          <w:i w:val="0"/>
          <w:iCs w:val="0"/>
          <w:color w:val="auto"/>
        </w:rPr>
        <w:t xml:space="preserve"> </w:t>
      </w:r>
    </w:p>
    <w:p w14:paraId="3EC291EC" w14:textId="77777777" w:rsidR="006C4EF4" w:rsidRDefault="006C4EF4" w:rsidP="006C4EF4">
      <w:pPr>
        <w:rPr>
          <w:lang w:val="x-none" w:eastAsia="es-ES"/>
        </w:rPr>
      </w:pPr>
    </w:p>
    <w:p w14:paraId="6069C08C" w14:textId="77777777" w:rsidR="006C4EF4" w:rsidRDefault="006C4EF4" w:rsidP="006C4EF4">
      <w:pPr>
        <w:autoSpaceDE w:val="0"/>
        <w:autoSpaceDN w:val="0"/>
        <w:adjustRightInd w:val="0"/>
        <w:spacing w:line="480" w:lineRule="auto"/>
        <w:ind w:firstLine="720"/>
        <w:rPr>
          <w:rFonts w:cs="Times New Roman"/>
          <w:lang w:eastAsia="es-CO"/>
        </w:rPr>
      </w:pPr>
      <w:r w:rsidRPr="006C4EF4">
        <w:rPr>
          <w:rFonts w:cs="Times New Roman"/>
          <w:lang w:eastAsia="es-CO"/>
        </w:rPr>
        <w:t>Este capítulo constituye el fundamento teórico y contextual sobre el cual se sustenta la investigación. A través de una revisión exhaustiva de antecedentes históricos, teorías económicas relevantes y conceptos clave, se busca explicar el funcionamiento y los beneficios potenciales de una Zona Franca. Se exploran estudios previos que han abordado temas similares en otros contextos, permitiendo identificar los factores determinantes que contribuyen al éxito de este tipo de iniciativas. Además, se detallan teorías y modelos económicos aplicables, tales como la teoría de las ventajas competitivas y los modelos de desarrollo regional. Con este marco de referencia, el estudio se fortalece al contar con una base teórica sólida que orienta el análisis de las variables y condiciones que podrían influir en la implementación de una Zona Franca en Aguachica.</w:t>
      </w:r>
    </w:p>
    <w:p w14:paraId="3EB00C6E" w14:textId="77777777" w:rsidR="006C4EF4" w:rsidRPr="006C4EF4" w:rsidRDefault="006C4EF4" w:rsidP="006C4EF4">
      <w:pPr>
        <w:rPr>
          <w:lang w:val="x-none" w:eastAsia="es-ES"/>
        </w:rPr>
      </w:pPr>
    </w:p>
    <w:p w14:paraId="45AE92A6" w14:textId="17EFD65E" w:rsidR="000C4208" w:rsidRDefault="000632B0" w:rsidP="000632B0">
      <w:pPr>
        <w:pStyle w:val="Ttulo2"/>
        <w:rPr>
          <w:rStyle w:val="nfasisintenso"/>
          <w:i w:val="0"/>
          <w:iCs w:val="0"/>
          <w:color w:val="auto"/>
        </w:rPr>
      </w:pPr>
      <w:bookmarkStart w:id="20" w:name="_Toc183783022"/>
      <w:r w:rsidRPr="000632B0">
        <w:rPr>
          <w:rStyle w:val="nfasisintenso"/>
          <w:i w:val="0"/>
          <w:iCs w:val="0"/>
          <w:color w:val="auto"/>
        </w:rPr>
        <w:t>ANTECEDENTES</w:t>
      </w:r>
      <w:bookmarkEnd w:id="20"/>
      <w:r w:rsidRPr="000632B0">
        <w:rPr>
          <w:rStyle w:val="nfasisintenso"/>
          <w:i w:val="0"/>
          <w:iCs w:val="0"/>
          <w:color w:val="auto"/>
        </w:rPr>
        <w:t xml:space="preserve"> </w:t>
      </w:r>
    </w:p>
    <w:p w14:paraId="729865B6" w14:textId="77777777" w:rsidR="00507E3E" w:rsidRPr="00507E3E" w:rsidRDefault="00507E3E" w:rsidP="00507E3E"/>
    <w:p w14:paraId="11A216C7" w14:textId="24784488" w:rsidR="00AE6323" w:rsidRDefault="00556B95" w:rsidP="0015136C">
      <w:pPr>
        <w:autoSpaceDE w:val="0"/>
        <w:autoSpaceDN w:val="0"/>
        <w:adjustRightInd w:val="0"/>
        <w:spacing w:line="480" w:lineRule="auto"/>
        <w:ind w:firstLine="720"/>
        <w:rPr>
          <w:rFonts w:cs="Times New Roman"/>
          <w:lang w:eastAsia="es-CO"/>
        </w:rPr>
      </w:pPr>
      <w:r w:rsidRPr="00556B95">
        <w:rPr>
          <w:rFonts w:cs="Times New Roman"/>
          <w:lang w:eastAsia="es-CO"/>
        </w:rPr>
        <w:t xml:space="preserve">Las Zonas Francas, también conocidas como zonas económicas especiales, son áreas geográficas delimitadas dentro del territorio nacional donde se llevan a cabo actividades comerciales e industriales bajo un régimen especial en materia aduanera y tributaria. Su principal objetivo es fomentar las exportaciones, impulsar la productividad y aumentar la competitividad. Estas zonas tienen sus raíces en tiempos antiguos, cuando el comercio comenzó a desarrollarse a través del trueque, en el periodo neolítico, aproximadamente en el 10.000 a.C. </w:t>
      </w:r>
      <w:r w:rsidR="00DA2DFE" w:rsidRPr="00556B95">
        <w:rPr>
          <w:rFonts w:cs="Times New Roman"/>
          <w:noProof/>
          <w:lang w:val="es-ES" w:eastAsia="es-CO"/>
        </w:rPr>
        <w:t xml:space="preserve">Alcázar </w:t>
      </w:r>
      <w:r w:rsidR="00DA2DFE">
        <w:rPr>
          <w:rFonts w:cs="Times New Roman"/>
          <w:noProof/>
          <w:lang w:val="es-ES" w:eastAsia="es-CO"/>
        </w:rPr>
        <w:t>(</w:t>
      </w:r>
      <w:r w:rsidR="00DA2DFE" w:rsidRPr="00556B95">
        <w:rPr>
          <w:rFonts w:cs="Times New Roman"/>
          <w:noProof/>
          <w:lang w:val="es-ES" w:eastAsia="es-CO"/>
        </w:rPr>
        <w:t>2023)</w:t>
      </w:r>
      <w:r w:rsidR="00AE6323" w:rsidRPr="00AE6323">
        <w:rPr>
          <w:rFonts w:cs="Times New Roman"/>
          <w:lang w:eastAsia="es-CO"/>
        </w:rPr>
        <w:t xml:space="preserve">. </w:t>
      </w:r>
    </w:p>
    <w:p w14:paraId="12509109" w14:textId="0EB1273E" w:rsidR="00AE6323" w:rsidRPr="00AE6323" w:rsidRDefault="00556B95" w:rsidP="0015136C">
      <w:pPr>
        <w:autoSpaceDE w:val="0"/>
        <w:autoSpaceDN w:val="0"/>
        <w:adjustRightInd w:val="0"/>
        <w:spacing w:line="480" w:lineRule="auto"/>
        <w:ind w:firstLine="720"/>
        <w:rPr>
          <w:rFonts w:cs="Times New Roman"/>
          <w:lang w:eastAsia="es-CO"/>
        </w:rPr>
      </w:pPr>
      <w:r w:rsidRPr="00556B95">
        <w:rPr>
          <w:rFonts w:cs="Times New Roman"/>
          <w:lang w:eastAsia="es-CO"/>
        </w:rPr>
        <w:t xml:space="preserve">Para el año 1300 a.C., el pueblo romano, con el objetivo de promover el intercambio de bienes y servicios y proteger sus rutas de navegación, comenzó a practicar el comercio </w:t>
      </w:r>
      <w:r w:rsidRPr="00556B95">
        <w:rPr>
          <w:rFonts w:cs="Times New Roman"/>
          <w:lang w:eastAsia="es-CO"/>
        </w:rPr>
        <w:lastRenderedPageBreak/>
        <w:t>internacional con comunidades lejanas. Implementaron un sistema de beneficios aduaneros, que incluía la reducción de impuestos, con el fin</w:t>
      </w:r>
      <w:r>
        <w:rPr>
          <w:rFonts w:cs="Times New Roman"/>
          <w:lang w:eastAsia="es-CO"/>
        </w:rPr>
        <w:t xml:space="preserve"> de estimular sus exportaciones</w:t>
      </w:r>
      <w:r w:rsidR="00DA2DFE">
        <w:rPr>
          <w:rFonts w:cs="Times New Roman"/>
          <w:lang w:eastAsia="es-CO"/>
        </w:rPr>
        <w:t xml:space="preserve">. </w:t>
      </w:r>
    </w:p>
    <w:p w14:paraId="37D8B759" w14:textId="55FE2F2A" w:rsidR="00AE6323" w:rsidRPr="00AE6323" w:rsidRDefault="00AE6323" w:rsidP="00DA2DFE">
      <w:pPr>
        <w:autoSpaceDE w:val="0"/>
        <w:autoSpaceDN w:val="0"/>
        <w:adjustRightInd w:val="0"/>
        <w:spacing w:line="480" w:lineRule="auto"/>
        <w:ind w:left="708" w:firstLine="12"/>
        <w:rPr>
          <w:rFonts w:cs="Times New Roman"/>
          <w:i/>
          <w:iCs/>
          <w:lang w:eastAsia="es-CO"/>
        </w:rPr>
      </w:pPr>
      <w:r w:rsidRPr="00DA2DFE">
        <w:rPr>
          <w:rFonts w:cs="Times New Roman"/>
          <w:sz w:val="22"/>
          <w:szCs w:val="20"/>
          <w:lang w:eastAsia="es-CO"/>
        </w:rPr>
        <w:t>“En la antigüedad no existían los impuestos aduaneros menos aún el arancel aduanero. Las caravanas de comerciantes para pasar de un territorio a otro entregaban un pago en especies. Los griegos fueron los que implantaron las primeras aduanas que estaban destinadas a cobrar en especie”</w:t>
      </w:r>
      <w:r w:rsidR="00DA2DFE">
        <w:rPr>
          <w:rFonts w:cs="Times New Roman"/>
          <w:noProof/>
          <w:sz w:val="22"/>
          <w:szCs w:val="20"/>
          <w:lang w:val="es-ES" w:eastAsia="es-CO"/>
        </w:rPr>
        <w:t xml:space="preserve"> </w:t>
      </w:r>
      <w:r w:rsidR="00DA2DFE" w:rsidRPr="00DA2DFE">
        <w:rPr>
          <w:rFonts w:cs="Times New Roman"/>
          <w:noProof/>
          <w:sz w:val="22"/>
          <w:szCs w:val="20"/>
          <w:lang w:val="es-ES" w:eastAsia="es-CO"/>
        </w:rPr>
        <w:t>(Arratia, 2012</w:t>
      </w:r>
      <w:r w:rsidR="00DA2DFE">
        <w:rPr>
          <w:rFonts w:cs="Times New Roman"/>
          <w:noProof/>
          <w:sz w:val="22"/>
          <w:szCs w:val="20"/>
          <w:lang w:val="es-ES" w:eastAsia="es-CO"/>
        </w:rPr>
        <w:t>,p.12</w:t>
      </w:r>
      <w:r w:rsidR="00DA2DFE" w:rsidRPr="00DA2DFE">
        <w:rPr>
          <w:rFonts w:cs="Times New Roman"/>
          <w:noProof/>
          <w:sz w:val="22"/>
          <w:szCs w:val="20"/>
          <w:lang w:val="es-ES" w:eastAsia="es-CO"/>
        </w:rPr>
        <w:t>)</w:t>
      </w:r>
    </w:p>
    <w:p w14:paraId="47A3129D" w14:textId="271B19D6" w:rsidR="00D3479B"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Según </w:t>
      </w:r>
      <w:r w:rsidR="00DA2DFE" w:rsidRPr="00D3479B">
        <w:rPr>
          <w:rFonts w:cs="Times New Roman"/>
          <w:noProof/>
          <w:lang w:val="es-ES" w:eastAsia="es-CO"/>
        </w:rPr>
        <w:t xml:space="preserve">Alais </w:t>
      </w:r>
      <w:r w:rsidR="00DA2DFE">
        <w:rPr>
          <w:rFonts w:cs="Times New Roman"/>
          <w:noProof/>
          <w:lang w:val="es-ES" w:eastAsia="es-CO"/>
        </w:rPr>
        <w:t>(</w:t>
      </w:r>
      <w:r w:rsidR="00DA2DFE" w:rsidRPr="00D3479B">
        <w:rPr>
          <w:rFonts w:cs="Times New Roman"/>
          <w:noProof/>
          <w:lang w:val="es-ES" w:eastAsia="es-CO"/>
        </w:rPr>
        <w:t>2006)</w:t>
      </w:r>
      <w:r w:rsidRPr="00AE6323">
        <w:rPr>
          <w:rFonts w:cs="Times New Roman"/>
          <w:lang w:eastAsia="es-CO"/>
        </w:rPr>
        <w:t xml:space="preserve"> </w:t>
      </w:r>
      <w:r w:rsidR="00D3479B" w:rsidRPr="00D3479B">
        <w:rPr>
          <w:rFonts w:cs="Times New Roman"/>
          <w:lang w:eastAsia="es-CO"/>
        </w:rPr>
        <w:t>Durante los siglos VII y VI a.C., en la antigua región de Fenicia, considerada como pionera en el establecimiento de Zonas Francas, se comenzó a exonerar áreas específicas del territorio de las obligaciones fiscales. Esta exención se aplicaba tanto a las mercaderías como a las embarcaciones, facilitando así la creación de civilizaciones marítimas que gozaban de beneficios económicos al permitir el traslado de bienes y servicios entre regiones sin el pago de impuestos. Este sistema surgió de la necesidad de comercializar mercancías entre distintas áreas sin costos fiscales, lo que impulsó significativamente el comercio exterior.</w:t>
      </w:r>
    </w:p>
    <w:p w14:paraId="44058C49" w14:textId="372BC930" w:rsidR="00D3479B" w:rsidRDefault="00D3479B" w:rsidP="0015136C">
      <w:pPr>
        <w:autoSpaceDE w:val="0"/>
        <w:autoSpaceDN w:val="0"/>
        <w:adjustRightInd w:val="0"/>
        <w:spacing w:line="480" w:lineRule="auto"/>
        <w:ind w:firstLine="720"/>
        <w:rPr>
          <w:rFonts w:cs="Times New Roman"/>
          <w:lang w:eastAsia="es-CO"/>
        </w:rPr>
      </w:pPr>
      <w:r w:rsidRPr="00D3479B">
        <w:rPr>
          <w:rFonts w:cs="Times New Roman"/>
          <w:lang w:eastAsia="es-CO"/>
        </w:rPr>
        <w:t xml:space="preserve">Para validar el método que permite identificar los factores que potencian o limitan el desarrollo de las Zonas Francas, se ha tomado como referencia el estudio de </w:t>
      </w:r>
      <w:r w:rsidR="00087E32" w:rsidRPr="00901E21">
        <w:rPr>
          <w:rFonts w:cs="Times New Roman"/>
          <w:noProof/>
          <w:lang w:val="es-ES" w:eastAsia="es-CO"/>
        </w:rPr>
        <w:t>(Ortiz</w:t>
      </w:r>
      <w:r w:rsidR="009377F2">
        <w:rPr>
          <w:rFonts w:cs="Times New Roman"/>
          <w:noProof/>
          <w:lang w:val="es-ES" w:eastAsia="es-CO"/>
        </w:rPr>
        <w:t xml:space="preserve"> et al,</w:t>
      </w:r>
      <w:r w:rsidR="00087E32" w:rsidRPr="00901E21">
        <w:rPr>
          <w:rFonts w:cs="Times New Roman"/>
          <w:noProof/>
          <w:lang w:val="es-ES" w:eastAsia="es-CO"/>
        </w:rPr>
        <w:t xml:space="preserve"> 2016)</w:t>
      </w:r>
      <w:r w:rsidRPr="00D3479B">
        <w:rPr>
          <w:rFonts w:cs="Times New Roman"/>
          <w:lang w:eastAsia="es-CO"/>
        </w:rPr>
        <w:t>. Este estudio realiza un análisis de zonas económicas especiales con el objetivo de presentar propuestas de mejora para las actuales zonas francas en España.</w:t>
      </w:r>
    </w:p>
    <w:p w14:paraId="1644E0D4" w14:textId="430E5050" w:rsidR="00AE6323" w:rsidRPr="00AE6323" w:rsidRDefault="00F52413" w:rsidP="0015136C">
      <w:pPr>
        <w:autoSpaceDE w:val="0"/>
        <w:autoSpaceDN w:val="0"/>
        <w:adjustRightInd w:val="0"/>
        <w:spacing w:line="480" w:lineRule="auto"/>
        <w:ind w:firstLine="720"/>
        <w:rPr>
          <w:rFonts w:cs="Times New Roman"/>
          <w:lang w:eastAsia="es-CO"/>
        </w:rPr>
      </w:pPr>
      <w:r w:rsidRPr="00F52413">
        <w:rPr>
          <w:rFonts w:cs="Times New Roman"/>
          <w:lang w:eastAsia="es-CO"/>
        </w:rPr>
        <w:t xml:space="preserve">En Colombia, las zonas francas estuvieron bajo control estatal hasta el comienzo de la apertura económica. A partir de entonces, han experimentado un notable desarrollo, impulsado por un marco normativo que facilitó la expansión de estas zonas en diversas regiones del país. Su objetivo principal ha sido convertirse en herramientas para la creación de empleo y la atracción de nuevas inversiones, factores que contribuyen a mejorar los índices de competitividad tanto a nivel nacional como internacional. Este crecimiento comercial ha promovido la industrialización de </w:t>
      </w:r>
      <w:r w:rsidRPr="00F52413">
        <w:rPr>
          <w:rFonts w:cs="Times New Roman"/>
          <w:lang w:eastAsia="es-CO"/>
        </w:rPr>
        <w:lastRenderedPageBreak/>
        <w:t>bienes y la prestación de servicios, favoreciendo el aprendizaje, la profundización y la aplicación en temas de comercio exterior y gestión logística</w:t>
      </w:r>
      <w:r w:rsidR="00DA2DFE">
        <w:rPr>
          <w:rFonts w:cs="Times New Roman"/>
          <w:lang w:eastAsia="es-CO"/>
        </w:rPr>
        <w:t>, esto según</w:t>
      </w:r>
      <w:r w:rsidRPr="00F52413">
        <w:rPr>
          <w:rFonts w:cs="Times New Roman"/>
          <w:lang w:eastAsia="es-CO"/>
        </w:rPr>
        <w:t xml:space="preserve"> </w:t>
      </w:r>
      <w:r w:rsidR="00DA2DFE" w:rsidRPr="00F52413">
        <w:rPr>
          <w:rFonts w:cs="Times New Roman"/>
          <w:noProof/>
          <w:lang w:val="es-ES" w:eastAsia="es-CO"/>
        </w:rPr>
        <w:t>Vélez</w:t>
      </w:r>
      <w:r w:rsidR="009377F2">
        <w:rPr>
          <w:rFonts w:cs="Times New Roman"/>
          <w:noProof/>
          <w:lang w:val="es-ES" w:eastAsia="es-CO"/>
        </w:rPr>
        <w:t xml:space="preserve"> et al, </w:t>
      </w:r>
      <w:r w:rsidR="00DA2DFE">
        <w:rPr>
          <w:rFonts w:cs="Times New Roman"/>
          <w:noProof/>
          <w:lang w:val="es-ES" w:eastAsia="es-CO"/>
        </w:rPr>
        <w:t>(</w:t>
      </w:r>
      <w:r w:rsidR="00DA2DFE" w:rsidRPr="00F52413">
        <w:rPr>
          <w:rFonts w:cs="Times New Roman"/>
          <w:noProof/>
          <w:lang w:val="es-ES" w:eastAsia="es-CO"/>
        </w:rPr>
        <w:t>2014)</w:t>
      </w:r>
      <w:r w:rsidRPr="00F52413">
        <w:rPr>
          <w:rFonts w:cs="Times New Roman"/>
          <w:lang w:eastAsia="es-CO"/>
        </w:rPr>
        <w:t>.</w:t>
      </w:r>
    </w:p>
    <w:p w14:paraId="6B71D1D2" w14:textId="73805D54" w:rsidR="00AE6323" w:rsidRPr="00AE6323" w:rsidRDefault="00F1225F" w:rsidP="0015136C">
      <w:pPr>
        <w:autoSpaceDE w:val="0"/>
        <w:autoSpaceDN w:val="0"/>
        <w:adjustRightInd w:val="0"/>
        <w:spacing w:line="480" w:lineRule="auto"/>
        <w:ind w:firstLine="720"/>
        <w:rPr>
          <w:rFonts w:cs="Times New Roman"/>
          <w:lang w:eastAsia="es-CO"/>
        </w:rPr>
      </w:pPr>
      <w:r w:rsidRPr="00F1225F">
        <w:rPr>
          <w:rFonts w:cs="Times New Roman"/>
          <w:lang w:eastAsia="es-CO"/>
        </w:rPr>
        <w:t>En 1958, Colombia vio el surgimiento de las Zonas Francas con la inauguración de la Zona Franca de Barranquilla, que se destacó por su enfoque en servicios industriales y comerciales. A lo largo de la década de 1960, se añadieron cinco zonas francas más de carácter público. La regulación de estas zonas en Colombia se basa en el Decreto 2233 de 1996, complementado por la Ley 1004 del 30 de diciembre de 2005. Esta legislación define una zona franca como un área geográfica específica dentro del territorio nacional donde se desarrollan actividades industriales, comerciales o de servicios bajo un régimen normativo especial. Las mercancías que ingresan a estas zonas se consideran fuera del territorio aduanero nacional para los efectos de impuestos sobr</w:t>
      </w:r>
      <w:r w:rsidR="002D1ED3">
        <w:rPr>
          <w:rFonts w:cs="Times New Roman"/>
          <w:lang w:eastAsia="es-CO"/>
        </w:rPr>
        <w:t>e importaciones y exportaciones</w:t>
      </w:r>
      <w:r w:rsidRPr="00F1225F">
        <w:rPr>
          <w:rFonts w:cs="Times New Roman"/>
          <w:lang w:eastAsia="es-CO"/>
        </w:rPr>
        <w:t xml:space="preserve"> </w:t>
      </w:r>
      <w:r w:rsidR="00DA2DFE" w:rsidRPr="00DA2DFE">
        <w:rPr>
          <w:rFonts w:cs="Times New Roman"/>
          <w:noProof/>
          <w:lang w:val="es-ES" w:eastAsia="es-CO"/>
        </w:rPr>
        <w:t>(Congreso de la Republica</w:t>
      </w:r>
      <w:r w:rsidR="00DA2DFE">
        <w:rPr>
          <w:rFonts w:cs="Times New Roman"/>
          <w:noProof/>
          <w:lang w:val="es-ES" w:eastAsia="es-CO"/>
        </w:rPr>
        <w:t>,</w:t>
      </w:r>
      <w:r w:rsidR="00DA2DFE" w:rsidRPr="00DA2DFE">
        <w:rPr>
          <w:rFonts w:cs="Times New Roman"/>
          <w:noProof/>
          <w:lang w:val="es-ES" w:eastAsia="es-CO"/>
        </w:rPr>
        <w:t xml:space="preserve"> 2005)</w:t>
      </w:r>
      <w:r w:rsidR="00AE6323" w:rsidRPr="00AE6323">
        <w:rPr>
          <w:rFonts w:cs="Times New Roman"/>
          <w:lang w:eastAsia="es-CO"/>
        </w:rPr>
        <w:t>.</w:t>
      </w:r>
    </w:p>
    <w:p w14:paraId="6493BD9C" w14:textId="5D64195A" w:rsidR="00AE6323" w:rsidRPr="00AE6323" w:rsidRDefault="00AE6323" w:rsidP="0015136C">
      <w:pPr>
        <w:autoSpaceDE w:val="0"/>
        <w:autoSpaceDN w:val="0"/>
        <w:adjustRightInd w:val="0"/>
        <w:spacing w:line="480" w:lineRule="auto"/>
        <w:ind w:firstLine="720"/>
        <w:rPr>
          <w:rFonts w:cs="Times New Roman"/>
          <w:i/>
          <w:iCs/>
          <w:lang w:eastAsia="es-CO"/>
        </w:rPr>
      </w:pPr>
      <w:r w:rsidRPr="00AE6323">
        <w:rPr>
          <w:rFonts w:cs="Times New Roman"/>
          <w:lang w:eastAsia="es-CO"/>
        </w:rPr>
        <w:t xml:space="preserve">Siguiendo con lo anterior, </w:t>
      </w:r>
      <w:r w:rsidR="009377F2" w:rsidRPr="00901E21">
        <w:rPr>
          <w:rFonts w:cs="Times New Roman"/>
          <w:noProof/>
          <w:lang w:val="es-ES" w:eastAsia="es-CO"/>
        </w:rPr>
        <w:t>(Ortiz</w:t>
      </w:r>
      <w:r w:rsidR="009377F2">
        <w:rPr>
          <w:rFonts w:cs="Times New Roman"/>
          <w:noProof/>
          <w:lang w:val="es-ES" w:eastAsia="es-CO"/>
        </w:rPr>
        <w:t xml:space="preserve"> et al, </w:t>
      </w:r>
      <w:r w:rsidR="009377F2" w:rsidRPr="00901E21">
        <w:rPr>
          <w:rFonts w:cs="Times New Roman"/>
          <w:noProof/>
          <w:lang w:val="es-ES" w:eastAsia="es-CO"/>
        </w:rPr>
        <w:t>2016)</w:t>
      </w:r>
      <w:r w:rsidRPr="00AE6323">
        <w:rPr>
          <w:rFonts w:cs="Times New Roman"/>
          <w:lang w:eastAsia="es-CO"/>
        </w:rPr>
        <w:t xml:space="preserve">, encuentran que los sistemas aduaneros vigentes en las zonas francas son iguales que en el resto del área aduanera, </w:t>
      </w:r>
      <w:r w:rsidRPr="00DA2DFE">
        <w:rPr>
          <w:rFonts w:cs="Times New Roman"/>
          <w:sz w:val="22"/>
          <w:szCs w:val="20"/>
          <w:lang w:eastAsia="es-CO"/>
        </w:rPr>
        <w:t>“esto significa</w:t>
      </w:r>
      <w:r w:rsidR="002D1ED3" w:rsidRPr="00DA2DFE">
        <w:rPr>
          <w:rFonts w:cs="Times New Roman"/>
          <w:sz w:val="22"/>
          <w:szCs w:val="20"/>
          <w:lang w:eastAsia="es-CO"/>
        </w:rPr>
        <w:t xml:space="preserve"> </w:t>
      </w:r>
      <w:r w:rsidRPr="00DA2DFE">
        <w:rPr>
          <w:rFonts w:cs="Times New Roman"/>
          <w:sz w:val="22"/>
          <w:szCs w:val="20"/>
          <w:lang w:eastAsia="es-CO"/>
        </w:rPr>
        <w:t>que las operaciones bajo el régimen de perfeccionamiento activo, la importación temporal o el despacho a libre práctica realizados en las Zonas Francas no aportan ninguna ventaja</w:t>
      </w:r>
      <w:r w:rsidRPr="00AE6323">
        <w:rPr>
          <w:rFonts w:cs="Times New Roman"/>
          <w:i/>
          <w:iCs/>
          <w:lang w:eastAsia="es-CO"/>
        </w:rPr>
        <w:t xml:space="preserve">” </w:t>
      </w:r>
      <w:r w:rsidR="00DA2DFE" w:rsidRPr="00DA2DFE">
        <w:rPr>
          <w:rFonts w:cs="Times New Roman"/>
          <w:noProof/>
          <w:lang w:val="es-ES" w:eastAsia="es-CO"/>
        </w:rPr>
        <w:t>(Ortiz</w:t>
      </w:r>
      <w:r w:rsidR="009377F2">
        <w:rPr>
          <w:rFonts w:cs="Times New Roman"/>
          <w:noProof/>
          <w:lang w:val="es-ES" w:eastAsia="es-CO"/>
        </w:rPr>
        <w:t xml:space="preserve"> et al, </w:t>
      </w:r>
      <w:r w:rsidR="00DA2DFE" w:rsidRPr="00DA2DFE">
        <w:rPr>
          <w:rFonts w:cs="Times New Roman"/>
          <w:noProof/>
          <w:lang w:val="es-ES" w:eastAsia="es-CO"/>
        </w:rPr>
        <w:t>2016</w:t>
      </w:r>
      <w:r w:rsidR="00DA2DFE">
        <w:rPr>
          <w:rFonts w:cs="Times New Roman"/>
          <w:noProof/>
          <w:lang w:val="es-ES" w:eastAsia="es-CO"/>
        </w:rPr>
        <w:t>,p.35</w:t>
      </w:r>
      <w:r w:rsidR="00DA2DFE" w:rsidRPr="00DA2DFE">
        <w:rPr>
          <w:rFonts w:cs="Times New Roman"/>
          <w:noProof/>
          <w:lang w:val="es-ES" w:eastAsia="es-CO"/>
        </w:rPr>
        <w:t>)</w:t>
      </w:r>
    </w:p>
    <w:p w14:paraId="657C499D" w14:textId="492E0D39"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Por lo anterior,  </w:t>
      </w:r>
      <w:r w:rsidR="00DA2DFE" w:rsidRPr="002D1ED3">
        <w:rPr>
          <w:rFonts w:cs="Times New Roman"/>
          <w:noProof/>
          <w:lang w:val="es-ES" w:eastAsia="es-CO"/>
        </w:rPr>
        <w:t xml:space="preserve">Mincit </w:t>
      </w:r>
      <w:r w:rsidR="00DA2DFE">
        <w:rPr>
          <w:rFonts w:cs="Times New Roman"/>
          <w:noProof/>
          <w:lang w:val="es-ES" w:eastAsia="es-CO"/>
        </w:rPr>
        <w:t>(</w:t>
      </w:r>
      <w:r w:rsidR="00DA2DFE" w:rsidRPr="002D1ED3">
        <w:rPr>
          <w:rFonts w:cs="Times New Roman"/>
          <w:noProof/>
          <w:lang w:val="es-ES" w:eastAsia="es-CO"/>
        </w:rPr>
        <w:t>2017)</w:t>
      </w:r>
      <w:r w:rsidRPr="00AE6323">
        <w:rPr>
          <w:rFonts w:cs="Times New Roman"/>
          <w:lang w:eastAsia="es-CO"/>
        </w:rPr>
        <w:t xml:space="preserve"> establece que, para promover un adecuado desarrollo de las zonas francas, los autores proponen posar la atención en cuatro áreas particulares, a saber: transformación de mercancías, ventajas fiscales, costes sociales y trabas burocráticas.</w:t>
      </w:r>
    </w:p>
    <w:p w14:paraId="472CCDC6" w14:textId="16B8D4E7" w:rsidR="00DA2DFE"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 Según lo reportado </w:t>
      </w:r>
      <w:r w:rsidR="009377F2" w:rsidRPr="00901E21">
        <w:rPr>
          <w:rFonts w:cs="Times New Roman"/>
          <w:noProof/>
          <w:lang w:val="es-ES" w:eastAsia="es-CO"/>
        </w:rPr>
        <w:t>(Arteaga</w:t>
      </w:r>
      <w:r w:rsidR="009377F2">
        <w:rPr>
          <w:rFonts w:cs="Times New Roman"/>
          <w:noProof/>
          <w:lang w:val="es-ES" w:eastAsia="es-CO"/>
        </w:rPr>
        <w:t xml:space="preserve"> et al, </w:t>
      </w:r>
      <w:r w:rsidR="009377F2" w:rsidRPr="00901E21">
        <w:rPr>
          <w:rFonts w:cs="Times New Roman"/>
          <w:noProof/>
          <w:lang w:val="es-ES" w:eastAsia="es-CO"/>
        </w:rPr>
        <w:t>2016)</w:t>
      </w:r>
      <w:r w:rsidRPr="00AE6323">
        <w:rPr>
          <w:rFonts w:cs="Times New Roman"/>
          <w:lang w:eastAsia="es-CO"/>
        </w:rPr>
        <w:t xml:space="preserve"> desde la transformación de mercancías es algo muy importante en el comercio internacional para la comercialización.  En materia de ventajas fiscales, se debe entender que</w:t>
      </w:r>
    </w:p>
    <w:p w14:paraId="6C20F72E" w14:textId="0BD90178" w:rsidR="00AE6323" w:rsidRPr="00AE6323" w:rsidRDefault="00AE6323" w:rsidP="00DA2DFE">
      <w:pPr>
        <w:autoSpaceDE w:val="0"/>
        <w:autoSpaceDN w:val="0"/>
        <w:adjustRightInd w:val="0"/>
        <w:spacing w:line="480" w:lineRule="auto"/>
        <w:ind w:left="708" w:firstLine="72"/>
        <w:rPr>
          <w:rFonts w:cs="Times New Roman"/>
          <w:lang w:eastAsia="es-CO"/>
        </w:rPr>
      </w:pPr>
      <w:r w:rsidRPr="00DA2DFE">
        <w:rPr>
          <w:rFonts w:cs="Times New Roman"/>
          <w:sz w:val="22"/>
          <w:lang w:eastAsia="es-CO"/>
        </w:rPr>
        <w:lastRenderedPageBreak/>
        <w:t xml:space="preserve">“los incentivos o ventajas fiscales han sido uno de los factores con los que tradicionalmente han contado las Zonas Especiales Económicas de todo el mundo desde su creación. Por tanto, una oferta atractiva de incentivos fiscales puede resultar determinante para atraer capital </w:t>
      </w:r>
      <w:r w:rsidR="000A1AE1" w:rsidRPr="00DA2DFE">
        <w:rPr>
          <w:rFonts w:cs="Times New Roman"/>
          <w:sz w:val="22"/>
          <w:lang w:eastAsia="es-CO"/>
        </w:rPr>
        <w:t>extranjero”</w:t>
      </w:r>
      <w:r w:rsidR="000A1AE1" w:rsidRPr="002B4827">
        <w:rPr>
          <w:rFonts w:cs="Times New Roman"/>
          <w:lang w:eastAsia="es-CO"/>
        </w:rPr>
        <w:t xml:space="preserve"> (</w:t>
      </w:r>
      <w:r w:rsidR="002B4827" w:rsidRPr="002B4827">
        <w:rPr>
          <w:rFonts w:cs="Times New Roman"/>
          <w:lang w:eastAsia="es-CO"/>
        </w:rPr>
        <w:t>Arteaga</w:t>
      </w:r>
      <w:r w:rsidR="009377F2">
        <w:rPr>
          <w:rFonts w:cs="Times New Roman"/>
          <w:lang w:eastAsia="es-CO"/>
        </w:rPr>
        <w:t xml:space="preserve"> et al</w:t>
      </w:r>
      <w:r w:rsidR="002B4827" w:rsidRPr="002B4827">
        <w:rPr>
          <w:rFonts w:cs="Times New Roman"/>
          <w:lang w:eastAsia="es-CO"/>
        </w:rPr>
        <w:t xml:space="preserve">, </w:t>
      </w:r>
      <w:r w:rsidR="000A1AE1" w:rsidRPr="002B4827">
        <w:rPr>
          <w:rFonts w:cs="Times New Roman"/>
          <w:lang w:eastAsia="es-CO"/>
        </w:rPr>
        <w:t>2016</w:t>
      </w:r>
      <w:r w:rsidR="000A1AE1">
        <w:rPr>
          <w:rFonts w:cs="Times New Roman"/>
          <w:lang w:eastAsia="es-CO"/>
        </w:rPr>
        <w:t>,</w:t>
      </w:r>
      <w:r w:rsidR="000A1AE1" w:rsidRPr="00AE6323">
        <w:rPr>
          <w:rFonts w:cs="Times New Roman"/>
          <w:lang w:eastAsia="es-CO"/>
        </w:rPr>
        <w:t>p.</w:t>
      </w:r>
      <w:r w:rsidR="002B4827" w:rsidRPr="00AE6323">
        <w:rPr>
          <w:rFonts w:cs="Times New Roman"/>
          <w:lang w:eastAsia="es-CO"/>
        </w:rPr>
        <w:t>36</w:t>
      </w:r>
      <w:r w:rsidR="002B4827" w:rsidRPr="002B4827">
        <w:rPr>
          <w:rFonts w:cs="Times New Roman"/>
          <w:lang w:eastAsia="es-CO"/>
        </w:rPr>
        <w:t>)</w:t>
      </w:r>
      <w:r w:rsidR="002B4827">
        <w:rPr>
          <w:rFonts w:cs="Times New Roman"/>
          <w:lang w:eastAsia="es-CO"/>
        </w:rPr>
        <w:t>.</w:t>
      </w:r>
    </w:p>
    <w:p w14:paraId="6908F691" w14:textId="3507BEB8" w:rsidR="00AE6323" w:rsidRPr="00AE6323" w:rsidRDefault="00AE6323" w:rsidP="000A1AE1">
      <w:pPr>
        <w:autoSpaceDE w:val="0"/>
        <w:autoSpaceDN w:val="0"/>
        <w:adjustRightInd w:val="0"/>
        <w:spacing w:line="480" w:lineRule="auto"/>
        <w:ind w:firstLine="720"/>
        <w:rPr>
          <w:rFonts w:cs="Times New Roman"/>
          <w:lang w:eastAsia="es-CO"/>
        </w:rPr>
      </w:pPr>
      <w:r w:rsidRPr="00AE6323">
        <w:rPr>
          <w:rFonts w:cs="Times New Roman"/>
          <w:lang w:eastAsia="es-CO"/>
        </w:rPr>
        <w:t xml:space="preserve">Así mismo, se entiende por coste social como el monto del coste alternativo de los bienes utilizados para engendrar un bien </w:t>
      </w:r>
      <w:r w:rsidRPr="00DA2DFE">
        <w:rPr>
          <w:rFonts w:cs="Times New Roman"/>
          <w:lang w:eastAsia="es-CO"/>
        </w:rPr>
        <w:t>“Las empresas instaladas en Zonas Francas españolas no disponen de ventajas específicas en cuanto a la contratación de personal respecto a las empresas instaladas fuera de estas áreas”</w:t>
      </w:r>
      <w:r w:rsidRPr="00AE6323">
        <w:rPr>
          <w:rFonts w:cs="Times New Roman"/>
          <w:lang w:eastAsia="es-CO"/>
        </w:rPr>
        <w:t xml:space="preserve"> </w:t>
      </w:r>
      <w:r w:rsidR="002B4827" w:rsidRPr="002B4827">
        <w:rPr>
          <w:rFonts w:cs="Times New Roman"/>
          <w:lang w:eastAsia="es-CO"/>
        </w:rPr>
        <w:t>(Arteaga</w:t>
      </w:r>
      <w:r w:rsidR="009377F2">
        <w:rPr>
          <w:rFonts w:cs="Times New Roman"/>
          <w:lang w:eastAsia="es-CO"/>
        </w:rPr>
        <w:t xml:space="preserve"> et al,</w:t>
      </w:r>
      <w:r w:rsidR="002B4827" w:rsidRPr="002B4827">
        <w:rPr>
          <w:rFonts w:cs="Times New Roman"/>
          <w:lang w:eastAsia="es-CO"/>
        </w:rPr>
        <w:t xml:space="preserve"> 2016</w:t>
      </w:r>
      <w:r w:rsidR="000A1AE1">
        <w:rPr>
          <w:rFonts w:cs="Times New Roman"/>
          <w:lang w:eastAsia="es-CO"/>
        </w:rPr>
        <w:t>,</w:t>
      </w:r>
      <w:r w:rsidR="002B4827">
        <w:rPr>
          <w:rFonts w:cs="Times New Roman"/>
          <w:lang w:eastAsia="es-CO"/>
        </w:rPr>
        <w:t>p.40</w:t>
      </w:r>
      <w:r w:rsidR="002B4827" w:rsidRPr="002B4827">
        <w:rPr>
          <w:rFonts w:cs="Times New Roman"/>
          <w:lang w:eastAsia="es-CO"/>
        </w:rPr>
        <w:t>)</w:t>
      </w:r>
      <w:r w:rsidR="002B4827">
        <w:rPr>
          <w:rFonts w:cs="Times New Roman"/>
          <w:lang w:eastAsia="es-CO"/>
        </w:rPr>
        <w:t>.</w:t>
      </w:r>
    </w:p>
    <w:p w14:paraId="5033A635" w14:textId="77777777" w:rsidR="000A1AE1"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Dando continuidad, las trabas burocráticas son fallas gubernamentales que son obstáculos y encarecen el crecimiento empresarial</w:t>
      </w:r>
      <w:r w:rsidR="000A1AE1">
        <w:rPr>
          <w:rFonts w:cs="Times New Roman"/>
          <w:lang w:eastAsia="es-CO"/>
        </w:rPr>
        <w:t>.</w:t>
      </w:r>
    </w:p>
    <w:p w14:paraId="3915DAB4" w14:textId="4234CE3B" w:rsidR="00AE6323" w:rsidRPr="00AE6323" w:rsidRDefault="00AE6323" w:rsidP="000A1AE1">
      <w:pPr>
        <w:autoSpaceDE w:val="0"/>
        <w:autoSpaceDN w:val="0"/>
        <w:adjustRightInd w:val="0"/>
        <w:spacing w:line="480" w:lineRule="auto"/>
        <w:ind w:left="708" w:firstLine="12"/>
        <w:rPr>
          <w:rFonts w:cs="Times New Roman"/>
          <w:lang w:eastAsia="es-CO"/>
        </w:rPr>
      </w:pPr>
      <w:r w:rsidRPr="000A1AE1">
        <w:rPr>
          <w:rFonts w:cs="Times New Roman"/>
          <w:lang w:eastAsia="es-CO"/>
        </w:rPr>
        <w:t>“En la actualidad las Zonas Francas españolas simplifican ciertos trámites aduaneros para la gestión de la mercancía; sin embargo, no facilitan la captación de inversión extranjera, ni la creación y puesta en marcha de empresas con vistas a la atracción de capital humano foráneo</w:t>
      </w:r>
      <w:r w:rsidR="002B4827" w:rsidRPr="00AE6323">
        <w:rPr>
          <w:rFonts w:cs="Times New Roman"/>
          <w:i/>
          <w:iCs/>
          <w:lang w:eastAsia="es-CO"/>
        </w:rPr>
        <w:t>”</w:t>
      </w:r>
      <w:r w:rsidR="002B4827" w:rsidRPr="00AE6323">
        <w:rPr>
          <w:rFonts w:cs="Times New Roman"/>
          <w:lang w:eastAsia="es-CO"/>
        </w:rPr>
        <w:t>,</w:t>
      </w:r>
      <w:r w:rsidR="002B4827" w:rsidRPr="002B4827">
        <w:rPr>
          <w:rFonts w:cs="Times New Roman"/>
          <w:lang w:eastAsia="es-CO"/>
        </w:rPr>
        <w:t>(Ortiz</w:t>
      </w:r>
      <w:r w:rsidR="009377F2">
        <w:rPr>
          <w:rFonts w:cs="Times New Roman"/>
          <w:lang w:eastAsia="es-CO"/>
        </w:rPr>
        <w:t xml:space="preserve"> et al,</w:t>
      </w:r>
      <w:r w:rsidR="002B4827" w:rsidRPr="002B4827">
        <w:rPr>
          <w:rFonts w:cs="Times New Roman"/>
          <w:lang w:eastAsia="es-CO"/>
        </w:rPr>
        <w:t xml:space="preserve"> 2016</w:t>
      </w:r>
      <w:r w:rsidR="002B4827" w:rsidRPr="00AE6323">
        <w:rPr>
          <w:rFonts w:cs="Times New Roman"/>
          <w:lang w:eastAsia="es-CO"/>
        </w:rPr>
        <w:t>,p.41</w:t>
      </w:r>
      <w:r w:rsidR="002B4827" w:rsidRPr="002B4827">
        <w:rPr>
          <w:rFonts w:cs="Times New Roman"/>
          <w:lang w:eastAsia="es-CO"/>
        </w:rPr>
        <w:t>)</w:t>
      </w:r>
      <w:r w:rsidR="002B4827">
        <w:rPr>
          <w:rFonts w:cs="Times New Roman"/>
          <w:lang w:eastAsia="es-CO"/>
        </w:rPr>
        <w:t>.</w:t>
      </w:r>
    </w:p>
    <w:p w14:paraId="1673F4F9" w14:textId="245E2CFB"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De acuerdo con lo anterior, es importante resaltar que las Zonas Francas en Colombia a lo largo de la historia han pasado por varios períodos, según </w:t>
      </w:r>
      <w:r w:rsidR="000A1AE1" w:rsidRPr="002B4827">
        <w:rPr>
          <w:rFonts w:cs="Times New Roman"/>
          <w:noProof/>
          <w:lang w:val="es-ES" w:eastAsia="es-CO"/>
        </w:rPr>
        <w:t xml:space="preserve">Llinás </w:t>
      </w:r>
      <w:r w:rsidR="000A1AE1">
        <w:rPr>
          <w:rFonts w:cs="Times New Roman"/>
          <w:noProof/>
          <w:lang w:val="es-ES" w:eastAsia="es-CO"/>
        </w:rPr>
        <w:t>(</w:t>
      </w:r>
      <w:r w:rsidR="000A1AE1" w:rsidRPr="002B4827">
        <w:rPr>
          <w:rFonts w:cs="Times New Roman"/>
          <w:noProof/>
          <w:lang w:val="es-ES" w:eastAsia="es-CO"/>
        </w:rPr>
        <w:t>2011)</w:t>
      </w:r>
      <w:r w:rsidRPr="00AE6323">
        <w:rPr>
          <w:rFonts w:cs="Times New Roman"/>
          <w:lang w:eastAsia="es-CO"/>
        </w:rPr>
        <w:t xml:space="preserve">: </w:t>
      </w:r>
      <w:r w:rsidR="002B4827" w:rsidRPr="002B4827">
        <w:rPr>
          <w:rFonts w:cs="Times New Roman"/>
          <w:lang w:eastAsia="es-CO"/>
        </w:rPr>
        <w:t xml:space="preserve">El primer período, denominado institucionalismo público nacional, se caracterizó por la clasificación de las zonas francas como establecimientos públicos nacionales con el propósito de promover, simplificar y facilitar el comercio internacional, según lo establecido por la Ley 105 de 1958. La aprobación de esta ley enfrentó dificultades debido a las preocupaciones de algunos senadores, quienes temían que las zonas francas pudieran facilitar el contrabando, utilizándose como un medio para legalizar dicha actividad. Posteriormente, en 1991, durante la presidencia de César Gaviria Trujillo y tras la </w:t>
      </w:r>
      <w:r w:rsidR="002B4827" w:rsidRPr="002B4827">
        <w:rPr>
          <w:rFonts w:cs="Times New Roman"/>
          <w:lang w:eastAsia="es-CO"/>
        </w:rPr>
        <w:lastRenderedPageBreak/>
        <w:t>implementación de la Ley 105 de 1958, se aprobó el Decreto 2131, marcando el inicio del proceso de neolibe</w:t>
      </w:r>
      <w:r w:rsidR="002B4827">
        <w:rPr>
          <w:rFonts w:cs="Times New Roman"/>
          <w:lang w:eastAsia="es-CO"/>
        </w:rPr>
        <w:t>ralización de las zonas francas</w:t>
      </w:r>
      <w:r w:rsidRPr="00AE6323">
        <w:rPr>
          <w:rFonts w:cs="Times New Roman"/>
          <w:lang w:eastAsia="es-CO"/>
        </w:rPr>
        <w:t>.</w:t>
      </w:r>
    </w:p>
    <w:p w14:paraId="7989B62A" w14:textId="48AC160F" w:rsidR="00AE6323" w:rsidRPr="00AE6323" w:rsidRDefault="002B4827" w:rsidP="0015136C">
      <w:pPr>
        <w:autoSpaceDE w:val="0"/>
        <w:autoSpaceDN w:val="0"/>
        <w:adjustRightInd w:val="0"/>
        <w:spacing w:line="480" w:lineRule="auto"/>
        <w:ind w:firstLine="720"/>
        <w:rPr>
          <w:rFonts w:cs="Times New Roman"/>
          <w:lang w:eastAsia="es-CO"/>
        </w:rPr>
      </w:pPr>
      <w:r w:rsidRPr="002B4827">
        <w:rPr>
          <w:rFonts w:cs="Times New Roman"/>
          <w:lang w:eastAsia="es-CO"/>
        </w:rPr>
        <w:t>La segunda etapa, conocida como neoliberalismo en las zonas francas, se caracterizó por la privatización de varias zonas francas en Colombia. Durante este período, el Estado tuvo que retirarse de la gestión de estas áreas debido a una reestructuración en curso. El Ministerio de Comercio se enfocó en encontrar soluciones para la crisis que afectaba a los establecimientos públicos. Al mismo tiempo, varios países se comprometieron a seguir las normativas y políticas de la Organización Mundial del Comercio, y a eliminar subsidios relacionados con las exportaciones, lo que resultó en beneficios para las zonas francas</w:t>
      </w:r>
      <w:r>
        <w:rPr>
          <w:rFonts w:cs="Times New Roman"/>
          <w:lang w:eastAsia="es-CO"/>
        </w:rPr>
        <w:t xml:space="preserve"> </w:t>
      </w:r>
      <w:sdt>
        <w:sdtPr>
          <w:rPr>
            <w:rFonts w:cs="Times New Roman"/>
            <w:lang w:eastAsia="es-CO"/>
          </w:rPr>
          <w:id w:val="352464655"/>
          <w:citation/>
        </w:sdtPr>
        <w:sdtEndPr/>
        <w:sdtContent>
          <w:r>
            <w:rPr>
              <w:rFonts w:cs="Times New Roman"/>
              <w:lang w:eastAsia="es-CO"/>
            </w:rPr>
            <w:fldChar w:fldCharType="begin"/>
          </w:r>
          <w:r>
            <w:rPr>
              <w:rFonts w:cs="Times New Roman"/>
              <w:lang w:val="es-ES" w:eastAsia="es-CO"/>
            </w:rPr>
            <w:instrText xml:space="preserve"> CITATION Lli11 \l 3082 </w:instrText>
          </w:r>
          <w:r>
            <w:rPr>
              <w:rFonts w:cs="Times New Roman"/>
              <w:lang w:eastAsia="es-CO"/>
            </w:rPr>
            <w:fldChar w:fldCharType="separate"/>
          </w:r>
          <w:r w:rsidR="00901E21" w:rsidRPr="00901E21">
            <w:rPr>
              <w:rFonts w:cs="Times New Roman"/>
              <w:noProof/>
              <w:lang w:val="es-ES" w:eastAsia="es-CO"/>
            </w:rPr>
            <w:t>(Llinás, 2011)</w:t>
          </w:r>
          <w:r>
            <w:rPr>
              <w:rFonts w:cs="Times New Roman"/>
              <w:lang w:eastAsia="es-CO"/>
            </w:rPr>
            <w:fldChar w:fldCharType="end"/>
          </w:r>
        </w:sdtContent>
      </w:sdt>
      <w:r w:rsidR="00AE6323" w:rsidRPr="00AE6323">
        <w:rPr>
          <w:rFonts w:cs="Times New Roman"/>
          <w:lang w:eastAsia="es-CO"/>
        </w:rPr>
        <w:t>.</w:t>
      </w:r>
    </w:p>
    <w:p w14:paraId="331E74ED" w14:textId="322742F0" w:rsidR="00AE6323" w:rsidRPr="00AE6323" w:rsidRDefault="002B4827" w:rsidP="0015136C">
      <w:pPr>
        <w:autoSpaceDE w:val="0"/>
        <w:autoSpaceDN w:val="0"/>
        <w:adjustRightInd w:val="0"/>
        <w:spacing w:line="480" w:lineRule="auto"/>
        <w:ind w:firstLine="720"/>
        <w:rPr>
          <w:rFonts w:cs="Times New Roman"/>
          <w:i/>
          <w:iCs/>
          <w:lang w:eastAsia="es-CO"/>
        </w:rPr>
      </w:pPr>
      <w:r w:rsidRPr="002B4827">
        <w:rPr>
          <w:rFonts w:cs="Times New Roman"/>
          <w:lang w:eastAsia="es-CO"/>
        </w:rPr>
        <w:t>La tercera etapa, denominada Descentralización de las zonas francas y nuevo marco institucional, se basa en los acuerdos con la Organización Mundial del Comercio. Este nuevo marco institucional establece que las zonas francas en Colombia deben actuar como herramientas para fomentar el empleo, atraer nuevas inversiones de capital y mejorar la competitividad de las regiones en las que se encuentra</w:t>
      </w:r>
      <w:r w:rsidR="00AE6323" w:rsidRPr="00AE6323">
        <w:rPr>
          <w:rFonts w:cs="Times New Roman"/>
          <w:lang w:eastAsia="es-CO"/>
        </w:rPr>
        <w:t xml:space="preserve">. </w:t>
      </w:r>
    </w:p>
    <w:p w14:paraId="327871C1" w14:textId="0F9A5B7C" w:rsidR="00AE6323" w:rsidRPr="00AE6323" w:rsidRDefault="000A1AE1" w:rsidP="0015136C">
      <w:pPr>
        <w:autoSpaceDE w:val="0"/>
        <w:autoSpaceDN w:val="0"/>
        <w:adjustRightInd w:val="0"/>
        <w:spacing w:line="480" w:lineRule="auto"/>
        <w:ind w:firstLine="720"/>
        <w:rPr>
          <w:rFonts w:cs="Times New Roman"/>
          <w:lang w:eastAsia="es-CO"/>
        </w:rPr>
      </w:pPr>
      <w:r>
        <w:rPr>
          <w:rFonts w:cs="Times New Roman"/>
          <w:lang w:eastAsia="es-CO"/>
        </w:rPr>
        <w:t xml:space="preserve">Según </w:t>
      </w:r>
      <w:r w:rsidRPr="00811332">
        <w:rPr>
          <w:rFonts w:cs="Times New Roman"/>
          <w:noProof/>
          <w:lang w:val="es-ES" w:eastAsia="es-CO"/>
        </w:rPr>
        <w:t>Martínez</w:t>
      </w:r>
      <w:r>
        <w:rPr>
          <w:rFonts w:cs="Times New Roman"/>
          <w:noProof/>
          <w:lang w:val="es-ES" w:eastAsia="es-CO"/>
        </w:rPr>
        <w:t xml:space="preserve"> (</w:t>
      </w:r>
      <w:r w:rsidRPr="00811332">
        <w:rPr>
          <w:rFonts w:cs="Times New Roman"/>
          <w:noProof/>
          <w:lang w:val="es-ES" w:eastAsia="es-CO"/>
        </w:rPr>
        <w:t>2015)</w:t>
      </w:r>
      <w:r>
        <w:rPr>
          <w:rFonts w:cs="Times New Roman"/>
          <w:noProof/>
          <w:lang w:val="es-ES" w:eastAsia="es-CO"/>
        </w:rPr>
        <w:t>,</w:t>
      </w:r>
      <w:r w:rsidRPr="00EC5DED">
        <w:rPr>
          <w:rFonts w:cs="Times New Roman"/>
          <w:lang w:eastAsia="es-CO"/>
        </w:rPr>
        <w:t xml:space="preserve"> </w:t>
      </w:r>
      <w:r>
        <w:rPr>
          <w:rFonts w:cs="Times New Roman"/>
          <w:lang w:eastAsia="es-CO"/>
        </w:rPr>
        <w:t>e</w:t>
      </w:r>
      <w:r w:rsidR="00EC5DED" w:rsidRPr="00EC5DED">
        <w:rPr>
          <w:rFonts w:cs="Times New Roman"/>
          <w:lang w:eastAsia="es-CO"/>
        </w:rPr>
        <w:t>n los últimos 50 años, las Zonas Francas han emergido como una herramienta clave para fomentar la Inversión Extranjera Directa, tanto en países en desarrollo como en aquellos más avanzados orientados a la exportación. Se ha observado una relación directa entre las Zonas Francas y el rendimiento de las exportaciones, con la expectativa de que estas zonas impulsen actividades económicas, contribuyan a la reducción de la pob</w:t>
      </w:r>
      <w:r w:rsidR="00EC5DED">
        <w:rPr>
          <w:rFonts w:cs="Times New Roman"/>
          <w:lang w:eastAsia="es-CO"/>
        </w:rPr>
        <w:t>reza y disminuyan el desempleo</w:t>
      </w:r>
      <w:r w:rsidR="00AE6323" w:rsidRPr="00AE6323">
        <w:rPr>
          <w:rFonts w:cs="Times New Roman"/>
          <w:lang w:eastAsia="es-CO"/>
        </w:rPr>
        <w:t>.</w:t>
      </w:r>
    </w:p>
    <w:p w14:paraId="68115B96" w14:textId="36AAE90A" w:rsidR="00BA6D32" w:rsidRPr="00AE6323" w:rsidRDefault="00811332" w:rsidP="000A1AE1">
      <w:pPr>
        <w:autoSpaceDE w:val="0"/>
        <w:autoSpaceDN w:val="0"/>
        <w:adjustRightInd w:val="0"/>
        <w:spacing w:line="480" w:lineRule="auto"/>
        <w:ind w:firstLine="720"/>
        <w:rPr>
          <w:rFonts w:cs="Times New Roman"/>
          <w:lang w:eastAsia="es-CO"/>
        </w:rPr>
      </w:pPr>
      <w:r w:rsidRPr="00811332">
        <w:rPr>
          <w:rFonts w:cs="Times New Roman"/>
          <w:lang w:eastAsia="es-CO"/>
        </w:rPr>
        <w:t xml:space="preserve">Según las perspectivas presentadas por diversos autores en los documentos anteriores, se destaca la relevancia de las Zonas Francas en el país. Estos estudios identifican factores clave que </w:t>
      </w:r>
      <w:r w:rsidRPr="00811332">
        <w:rPr>
          <w:rFonts w:cs="Times New Roman"/>
          <w:lang w:eastAsia="es-CO"/>
        </w:rPr>
        <w:lastRenderedPageBreak/>
        <w:t>impulsan y crean estrategias para el desarrollo y crecimiento económico de las Zonas Francas. Estos factores y estrategias deben ser considerados y adaptados para su evaluación</w:t>
      </w:r>
      <w:r>
        <w:rPr>
          <w:rFonts w:cs="Times New Roman"/>
          <w:lang w:eastAsia="es-CO"/>
        </w:rPr>
        <w:t xml:space="preserve"> en la región del sur del Cesar</w:t>
      </w:r>
      <w:r w:rsidR="00AE6323" w:rsidRPr="00AE6323">
        <w:rPr>
          <w:rFonts w:cs="Times New Roman"/>
          <w:lang w:eastAsia="es-CO"/>
        </w:rPr>
        <w:t>.</w:t>
      </w:r>
    </w:p>
    <w:p w14:paraId="6972D6BB" w14:textId="611A03A1" w:rsidR="00BA6D32" w:rsidRDefault="00F22CC6" w:rsidP="000A1AE1">
      <w:pPr>
        <w:pStyle w:val="Ttulo2"/>
        <w:rPr>
          <w:rStyle w:val="nfasisintenso"/>
          <w:i w:val="0"/>
          <w:iCs w:val="0"/>
          <w:color w:val="auto"/>
        </w:rPr>
      </w:pPr>
      <w:bookmarkStart w:id="21" w:name="_Toc183783023"/>
      <w:r w:rsidRPr="000A1AE1">
        <w:rPr>
          <w:rStyle w:val="nfasisintenso"/>
          <w:i w:val="0"/>
          <w:iCs w:val="0"/>
          <w:color w:val="auto"/>
        </w:rPr>
        <w:t>MARCO TEÓRICO</w:t>
      </w:r>
      <w:bookmarkEnd w:id="21"/>
    </w:p>
    <w:p w14:paraId="5B82E51C" w14:textId="77777777" w:rsidR="00507E3E" w:rsidRPr="00507E3E" w:rsidRDefault="00507E3E" w:rsidP="00507E3E"/>
    <w:p w14:paraId="10D7DC0A" w14:textId="42218F37" w:rsidR="000A1AE1" w:rsidRDefault="0049285C" w:rsidP="0015136C">
      <w:pPr>
        <w:widowControl w:val="0"/>
        <w:spacing w:line="480" w:lineRule="auto"/>
        <w:ind w:firstLine="720"/>
        <w:rPr>
          <w:rFonts w:cs="Times New Roman"/>
          <w:bCs/>
        </w:rPr>
      </w:pPr>
      <w:r w:rsidRPr="0049285C">
        <w:rPr>
          <w:rFonts w:cs="Times New Roman"/>
          <w:bCs/>
        </w:rPr>
        <w:t>El presente estudio busca evaluar las condiciones fundamentales para la creación de una Zona Franca en el municipio de Aguachica, Cesar, desde el modelo OLI (Ownership, Location, and Internalization) de Dunning. Este modelo sostiene que tres tipos diferentes de ventajas —propiedad, ubicación e internacionalización— están relacionadas con la producción internacional, aspectos que son claves para municipios como Aguachica que buscan atraer inversión extranjera directa y fomentar el desarrollo socioeconómico en el Sur del Cesar</w:t>
      </w:r>
      <w:r w:rsidR="00AE6323" w:rsidRPr="00AE6323">
        <w:rPr>
          <w:rFonts w:cs="Times New Roman"/>
          <w:bCs/>
        </w:rPr>
        <w:t xml:space="preserve">. </w:t>
      </w:r>
    </w:p>
    <w:p w14:paraId="05EEFF04" w14:textId="6C6A10AB" w:rsidR="00AE6323" w:rsidRPr="00AE6323" w:rsidRDefault="00AE6323" w:rsidP="000A1AE1">
      <w:pPr>
        <w:widowControl w:val="0"/>
        <w:spacing w:line="480" w:lineRule="auto"/>
        <w:ind w:left="708" w:firstLine="12"/>
        <w:rPr>
          <w:rFonts w:cs="Times New Roman"/>
          <w:bCs/>
        </w:rPr>
      </w:pPr>
      <w:r w:rsidRPr="000A1AE1">
        <w:rPr>
          <w:rFonts w:cs="Times New Roman"/>
          <w:bCs/>
          <w:sz w:val="22"/>
          <w:szCs w:val="20"/>
        </w:rPr>
        <w:t>“</w:t>
      </w:r>
      <w:r w:rsidR="0049285C" w:rsidRPr="0049285C">
        <w:rPr>
          <w:rFonts w:cs="Times New Roman"/>
          <w:bCs/>
          <w:sz w:val="22"/>
          <w:szCs w:val="20"/>
        </w:rPr>
        <w:t>Desde el modelo OLI (Ownership, Location, and Internalization) de Dunning, se plantea que las Zonas Francas integran tres ventajas fundamentales: propiedad, ubicación e internacionalización. En el caso de Aguachica, el modelo sugiere que la localidad podría beneficiarse de incentivos como la simplificación de operaciones aduaneras y acceso directo a insumos y materias primas. La ventaja de la ubicación permitiría concentrar proveedores en una misma área, reduciendo costos logísticos, y facilitando encadenamientos productivos. Finalmente, la internalización podría ofrecer acceso a diversos mercados y exenciones arancelarias, elementos cruciales para una región como el Sur del Cesar que busca potenciar su desarrollo económico a través de la inversión extranjera directa</w:t>
      </w:r>
      <w:r w:rsidRPr="000A1AE1">
        <w:rPr>
          <w:rFonts w:cs="Times New Roman"/>
          <w:bCs/>
          <w:sz w:val="22"/>
          <w:szCs w:val="20"/>
        </w:rPr>
        <w:t xml:space="preserve">” </w:t>
      </w:r>
      <w:sdt>
        <w:sdtPr>
          <w:rPr>
            <w:rFonts w:cs="Times New Roman"/>
            <w:bCs/>
          </w:rPr>
          <w:id w:val="-1495255114"/>
          <w:citation/>
        </w:sdtPr>
        <w:sdtEndPr/>
        <w:sdtContent>
          <w:r w:rsidR="001D2199">
            <w:rPr>
              <w:rFonts w:cs="Times New Roman"/>
              <w:bCs/>
            </w:rPr>
            <w:fldChar w:fldCharType="begin"/>
          </w:r>
          <w:r w:rsidR="001D2199">
            <w:rPr>
              <w:rFonts w:cs="Times New Roman"/>
              <w:bCs/>
              <w:lang w:val="es-ES"/>
            </w:rPr>
            <w:instrText xml:space="preserve"> CITATION Val20 \l 3082 </w:instrText>
          </w:r>
          <w:r w:rsidR="001D2199">
            <w:rPr>
              <w:rFonts w:cs="Times New Roman"/>
              <w:bCs/>
            </w:rPr>
            <w:fldChar w:fldCharType="separate"/>
          </w:r>
          <w:r w:rsidR="00901E21" w:rsidRPr="00901E21">
            <w:rPr>
              <w:rFonts w:cs="Times New Roman"/>
              <w:noProof/>
              <w:lang w:val="es-ES"/>
            </w:rPr>
            <w:t>(Valencia, 2020)</w:t>
          </w:r>
          <w:r w:rsidR="001D2199">
            <w:rPr>
              <w:rFonts w:cs="Times New Roman"/>
              <w:bCs/>
            </w:rPr>
            <w:fldChar w:fldCharType="end"/>
          </w:r>
        </w:sdtContent>
      </w:sdt>
      <w:r w:rsidRPr="00AE6323">
        <w:rPr>
          <w:rFonts w:cs="Times New Roman"/>
          <w:bCs/>
        </w:rPr>
        <w:t xml:space="preserve">. </w:t>
      </w:r>
    </w:p>
    <w:p w14:paraId="4516850C" w14:textId="0495B201" w:rsidR="00AE6323" w:rsidRPr="00AE6323" w:rsidRDefault="00AE6323" w:rsidP="00BF22AC">
      <w:pPr>
        <w:autoSpaceDE w:val="0"/>
        <w:autoSpaceDN w:val="0"/>
        <w:adjustRightInd w:val="0"/>
        <w:spacing w:line="480" w:lineRule="auto"/>
        <w:ind w:firstLine="720"/>
        <w:rPr>
          <w:rFonts w:cs="Times New Roman"/>
          <w:lang w:eastAsia="es-CO"/>
        </w:rPr>
      </w:pPr>
      <w:r w:rsidRPr="00AE6323">
        <w:rPr>
          <w:rFonts w:cs="Times New Roman"/>
          <w:lang w:eastAsia="es-CO"/>
        </w:rPr>
        <w:t>En primer l</w:t>
      </w:r>
      <w:r w:rsidR="00BF22AC">
        <w:rPr>
          <w:rFonts w:cs="Times New Roman"/>
          <w:lang w:eastAsia="es-CO"/>
        </w:rPr>
        <w:t>ugar, e</w:t>
      </w:r>
      <w:r w:rsidR="00BF22AC" w:rsidRPr="00BF22AC">
        <w:rPr>
          <w:rFonts w:cs="Times New Roman"/>
          <w:lang w:eastAsia="es-CO"/>
        </w:rPr>
        <w:t xml:space="preserve">n relación al desarrollo económico, Francois Perroux (1984) plantea que el crecimiento implica cambios cualitativos, no solo cuantitativos. Este concepto es clave para Aguachica, ya que la creación de una Zona Franca no solo supondría un aumento en la inversión y empleo, sino la creación de un ecosistema productivo que dinamice el potencial económico y </w:t>
      </w:r>
      <w:r w:rsidR="00BF22AC" w:rsidRPr="00BF22AC">
        <w:rPr>
          <w:rFonts w:cs="Times New Roman"/>
          <w:lang w:eastAsia="es-CO"/>
        </w:rPr>
        <w:lastRenderedPageBreak/>
        <w:t xml:space="preserve">laboral de la región. De acuerdo con Perroux, una Zona Franca en Aguachica podría </w:t>
      </w:r>
      <w:r w:rsidR="00BF22AC">
        <w:rPr>
          <w:rFonts w:cs="Times New Roman"/>
          <w:lang w:eastAsia="es-CO"/>
        </w:rPr>
        <w:t>“</w:t>
      </w:r>
      <w:r w:rsidR="00BF22AC" w:rsidRPr="00BF22AC">
        <w:rPr>
          <w:rFonts w:cs="Times New Roman"/>
          <w:lang w:eastAsia="es-CO"/>
        </w:rPr>
        <w:t>actuar como núcleo de interacción productiva entre empresas e instituciones, fortaleciendo capacidades y fomentando el bienestar socioeconómico</w:t>
      </w:r>
      <w:r w:rsidRPr="000A1AE1">
        <w:rPr>
          <w:rFonts w:cs="Times New Roman"/>
          <w:lang w:eastAsia="es-CO"/>
        </w:rPr>
        <w:t>”</w:t>
      </w:r>
      <w:r w:rsidR="00B93993">
        <w:rPr>
          <w:rFonts w:cs="Times New Roman"/>
          <w:lang w:eastAsia="es-CO"/>
        </w:rPr>
        <w:t xml:space="preserve"> </w:t>
      </w:r>
      <w:r w:rsidRPr="00AE6323">
        <w:rPr>
          <w:rFonts w:cs="Times New Roman"/>
          <w:lang w:eastAsia="es-CO"/>
        </w:rPr>
        <w:t>de acuerdo a lo</w:t>
      </w:r>
      <w:r w:rsidRPr="00AE6323">
        <w:rPr>
          <w:rFonts w:cs="Times New Roman"/>
          <w:i/>
          <w:iCs/>
          <w:lang w:eastAsia="es-CO"/>
        </w:rPr>
        <w:t xml:space="preserve"> </w:t>
      </w:r>
      <w:r w:rsidRPr="00AE6323">
        <w:rPr>
          <w:rFonts w:cs="Times New Roman"/>
          <w:lang w:eastAsia="es-CO"/>
        </w:rPr>
        <w:t xml:space="preserve">Citado por </w:t>
      </w:r>
      <w:sdt>
        <w:sdtPr>
          <w:rPr>
            <w:rFonts w:cs="Times New Roman"/>
            <w:lang w:eastAsia="es-CO"/>
          </w:rPr>
          <w:id w:val="-555555420"/>
          <w:citation/>
        </w:sdtPr>
        <w:sdtEndPr/>
        <w:sdtContent>
          <w:r w:rsidR="00B93993">
            <w:rPr>
              <w:rFonts w:cs="Times New Roman"/>
              <w:lang w:eastAsia="es-CO"/>
            </w:rPr>
            <w:fldChar w:fldCharType="begin"/>
          </w:r>
          <w:r w:rsidR="00B93993">
            <w:rPr>
              <w:rFonts w:cs="Times New Roman"/>
              <w:lang w:val="es-ES" w:eastAsia="es-CO"/>
            </w:rPr>
            <w:instrText xml:space="preserve"> CITATION Bar66 \l 3082 </w:instrText>
          </w:r>
          <w:r w:rsidR="00B93993">
            <w:rPr>
              <w:rFonts w:cs="Times New Roman"/>
              <w:lang w:eastAsia="es-CO"/>
            </w:rPr>
            <w:fldChar w:fldCharType="separate"/>
          </w:r>
          <w:r w:rsidR="00901E21" w:rsidRPr="00901E21">
            <w:rPr>
              <w:rFonts w:cs="Times New Roman"/>
              <w:noProof/>
              <w:lang w:val="es-ES" w:eastAsia="es-CO"/>
            </w:rPr>
            <w:t>(Baró, 1966)</w:t>
          </w:r>
          <w:r w:rsidR="00B93993">
            <w:rPr>
              <w:rFonts w:cs="Times New Roman"/>
              <w:lang w:eastAsia="es-CO"/>
            </w:rPr>
            <w:fldChar w:fldCharType="end"/>
          </w:r>
        </w:sdtContent>
      </w:sdt>
      <w:r w:rsidRPr="00AE6323">
        <w:rPr>
          <w:rFonts w:cs="Times New Roman"/>
          <w:lang w:eastAsia="es-CO"/>
        </w:rPr>
        <w:t xml:space="preserve">.  </w:t>
      </w:r>
    </w:p>
    <w:p w14:paraId="33AB4B11" w14:textId="7EA4322F" w:rsid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Por consiguiente, </w:t>
      </w:r>
      <w:r w:rsidR="00B93993" w:rsidRPr="00B93993">
        <w:rPr>
          <w:rFonts w:cs="Times New Roman"/>
          <w:lang w:eastAsia="es-CO"/>
        </w:rPr>
        <w:t>El crecimiento económico, en términos generales, se refiere al incremento de indicadores clave como la producción de bienes y servicios, el ahorro, la inversión, la mano de obra, la tecnología y la productividad. Para alcanzar un desarrollo económico sostenido, es esencial que las empresas sean competitivas. En este sentido, la contribución del profesor Michael Porter en su teoría de la ventaja competitiva es fundamental, al afirmar que "la competitividad está determinada por la productividad, entendida como el valor del producto generado por una unidad de trabajo o capital. La productividad depende tanto de la calidad de los productos como de la eficiencia en su producción"</w:t>
      </w:r>
      <w:r w:rsidRPr="00AE6323">
        <w:rPr>
          <w:rFonts w:cs="Times New Roman"/>
          <w:lang w:eastAsia="es-CO"/>
        </w:rPr>
        <w:t xml:space="preserve"> </w:t>
      </w:r>
      <w:r w:rsidR="00762EBA" w:rsidRPr="00B93993">
        <w:rPr>
          <w:rFonts w:cs="Times New Roman"/>
          <w:noProof/>
          <w:lang w:val="es-ES" w:eastAsia="es-CO"/>
        </w:rPr>
        <w:t>(Argote, 2016</w:t>
      </w:r>
      <w:r w:rsidR="00762EBA">
        <w:rPr>
          <w:rFonts w:cs="Times New Roman"/>
          <w:noProof/>
          <w:lang w:val="es-ES" w:eastAsia="es-CO"/>
        </w:rPr>
        <w:t>,p.2</w:t>
      </w:r>
      <w:r w:rsidR="00762EBA" w:rsidRPr="00B93993">
        <w:rPr>
          <w:rFonts w:cs="Times New Roman"/>
          <w:noProof/>
          <w:lang w:val="es-ES" w:eastAsia="es-CO"/>
        </w:rPr>
        <w:t>)</w:t>
      </w:r>
      <w:r w:rsidRPr="00AE6323">
        <w:rPr>
          <w:rFonts w:cs="Times New Roman"/>
          <w:lang w:eastAsia="es-CO"/>
        </w:rPr>
        <w:t>.</w:t>
      </w:r>
    </w:p>
    <w:p w14:paraId="3B2742F1" w14:textId="73F3F8C3" w:rsidR="00457409" w:rsidRPr="00AE6323" w:rsidRDefault="00457409" w:rsidP="0015136C">
      <w:pPr>
        <w:autoSpaceDE w:val="0"/>
        <w:autoSpaceDN w:val="0"/>
        <w:adjustRightInd w:val="0"/>
        <w:spacing w:line="480" w:lineRule="auto"/>
        <w:ind w:firstLine="720"/>
        <w:rPr>
          <w:rFonts w:cs="Times New Roman"/>
          <w:lang w:eastAsia="es-CO"/>
        </w:rPr>
      </w:pPr>
      <w:r w:rsidRPr="00457409">
        <w:rPr>
          <w:rFonts w:cs="Times New Roman"/>
          <w:lang w:eastAsia="es-CO"/>
        </w:rPr>
        <w:t>La teoría de la ventaja competitiva de Michael Porter (Argote, 2016) se alinea con el objetivo de Aguachica de fortalecer su competitividad en el mercado. Porter afirma que la productividad depende tanto de la calidad del producto como de la eficiencia en su producción. En una Zona Franca, las empresas pueden optimizar costos mediante servicios compartidos y aprovechar incentivos para la adquisición de insumos a bajo costo, mejorando así su competitividad. Este enfoque podría posicionar a Aguachica como un centro productivo atractivo, capaz de atraer inversión nacional e internacional, con beneficios económicos a nivel regional</w:t>
      </w:r>
    </w:p>
    <w:p w14:paraId="4D6B90C9" w14:textId="58ABB995" w:rsidR="00AE6323" w:rsidRPr="00AE6323" w:rsidRDefault="006055D3" w:rsidP="0015136C">
      <w:pPr>
        <w:autoSpaceDE w:val="0"/>
        <w:autoSpaceDN w:val="0"/>
        <w:adjustRightInd w:val="0"/>
        <w:spacing w:line="480" w:lineRule="auto"/>
        <w:ind w:firstLine="720"/>
        <w:rPr>
          <w:rFonts w:cs="Times New Roman"/>
          <w:lang w:eastAsia="es-CO"/>
        </w:rPr>
      </w:pPr>
      <w:r>
        <w:rPr>
          <w:rFonts w:cs="Times New Roman"/>
          <w:lang w:eastAsia="es-CO"/>
        </w:rPr>
        <w:t>Así</w:t>
      </w:r>
      <w:r w:rsidR="00762E82">
        <w:rPr>
          <w:rFonts w:cs="Times New Roman"/>
          <w:lang w:eastAsia="es-CO"/>
        </w:rPr>
        <w:t xml:space="preserve"> mismo, l</w:t>
      </w:r>
      <w:r w:rsidR="00762E82" w:rsidRPr="00762E82">
        <w:rPr>
          <w:rFonts w:cs="Times New Roman"/>
          <w:lang w:eastAsia="es-CO"/>
        </w:rPr>
        <w:t xml:space="preserve">as zonas francas se consideran un motor clave del desarrollo global contemporáneo, y representan uno de los mecanismos más utilizados por los países para atraer inversión extranjera. A lo largo del tiempo, el impacto de estos proyectos industriales ha evolucionado significativamente, alcanzando logros notables. En los años 90, las zonas francas se percibían principalmente como una oportunidad exclusiva para impulsar las exportaciones. Sin </w:t>
      </w:r>
      <w:r w:rsidR="00762E82" w:rsidRPr="00762E82">
        <w:rPr>
          <w:rFonts w:cs="Times New Roman"/>
          <w:lang w:eastAsia="es-CO"/>
        </w:rPr>
        <w:lastRenderedPageBreak/>
        <w:t>embargo, a partir de la primera década del siglo XXI, se han consolidado como una valiosa herramienta para la generación de empleo en las regiones donde se establecen</w:t>
      </w:r>
      <w:r w:rsidR="00762EBA">
        <w:rPr>
          <w:rFonts w:cs="Times New Roman"/>
          <w:lang w:eastAsia="es-CO"/>
        </w:rPr>
        <w:t xml:space="preserve">, esto según </w:t>
      </w:r>
      <w:r w:rsidR="00762EBA" w:rsidRPr="00762E82">
        <w:rPr>
          <w:rFonts w:cs="Times New Roman"/>
          <w:noProof/>
          <w:lang w:val="es-ES" w:eastAsia="es-CO"/>
        </w:rPr>
        <w:t>Garcí</w:t>
      </w:r>
      <w:r w:rsidR="009377F2">
        <w:rPr>
          <w:rFonts w:cs="Times New Roman"/>
          <w:noProof/>
          <w:lang w:val="es-ES" w:eastAsia="es-CO"/>
        </w:rPr>
        <w:t xml:space="preserve">a et al, </w:t>
      </w:r>
      <w:r w:rsidR="00762EBA" w:rsidRPr="00762E82">
        <w:rPr>
          <w:rFonts w:cs="Times New Roman"/>
          <w:noProof/>
          <w:lang w:val="es-ES" w:eastAsia="es-CO"/>
        </w:rPr>
        <w:t xml:space="preserve"> </w:t>
      </w:r>
      <w:r w:rsidR="00762EBA">
        <w:rPr>
          <w:rFonts w:cs="Times New Roman"/>
          <w:noProof/>
          <w:lang w:val="es-ES" w:eastAsia="es-CO"/>
        </w:rPr>
        <w:t>(</w:t>
      </w:r>
      <w:r w:rsidR="00762EBA" w:rsidRPr="00762E82">
        <w:rPr>
          <w:rFonts w:cs="Times New Roman"/>
          <w:noProof/>
          <w:lang w:val="es-ES" w:eastAsia="es-CO"/>
        </w:rPr>
        <w:t>2017</w:t>
      </w:r>
      <w:r w:rsidR="00762EBA">
        <w:rPr>
          <w:rFonts w:cs="Times New Roman"/>
          <w:noProof/>
          <w:lang w:val="es-ES" w:eastAsia="es-CO"/>
        </w:rPr>
        <w:t>)</w:t>
      </w:r>
      <w:r w:rsidR="00AE6323" w:rsidRPr="00AE6323">
        <w:rPr>
          <w:rFonts w:cs="Times New Roman"/>
          <w:lang w:eastAsia="es-CO"/>
        </w:rPr>
        <w:t xml:space="preserve">. </w:t>
      </w:r>
    </w:p>
    <w:p w14:paraId="7BE56288" w14:textId="3A31398F" w:rsidR="00AE6323" w:rsidRPr="00AE6323" w:rsidRDefault="006055D3" w:rsidP="00762EBA">
      <w:pPr>
        <w:autoSpaceDE w:val="0"/>
        <w:autoSpaceDN w:val="0"/>
        <w:adjustRightInd w:val="0"/>
        <w:spacing w:line="480" w:lineRule="auto"/>
        <w:ind w:firstLine="720"/>
        <w:rPr>
          <w:rFonts w:cs="Times New Roman"/>
          <w:lang w:eastAsia="es-CO"/>
        </w:rPr>
      </w:pPr>
      <w:r>
        <w:rPr>
          <w:rFonts w:cs="Times New Roman"/>
          <w:lang w:eastAsia="es-CO"/>
        </w:rPr>
        <w:t xml:space="preserve">Así, </w:t>
      </w:r>
      <w:r w:rsidRPr="006055D3">
        <w:rPr>
          <w:rFonts w:cs="Times New Roman"/>
          <w:lang w:eastAsia="es-CO"/>
        </w:rPr>
        <w:t>La evolución más significativa de las zonas francas ha tenido lugar desde principios del siglo XX, especialmente después de la Segunda Guerra Mundial. Hoy en día, este régimen se ha implementado en todos los continentes. Sin embargo, su impacto más destacado se ha observado en Asia y Latinoamérica, donde se encuentran sus principales refere</w:t>
      </w:r>
      <w:r>
        <w:rPr>
          <w:rFonts w:cs="Times New Roman"/>
          <w:lang w:eastAsia="es-CO"/>
        </w:rPr>
        <w:t xml:space="preserve">ntes a nivel global </w:t>
      </w:r>
      <w:r w:rsidR="009377F2" w:rsidRPr="00901E21">
        <w:rPr>
          <w:rFonts w:cs="Times New Roman"/>
          <w:noProof/>
          <w:lang w:val="es-ES" w:eastAsia="es-CO"/>
        </w:rPr>
        <w:t>(García</w:t>
      </w:r>
      <w:r w:rsidR="009377F2">
        <w:rPr>
          <w:rFonts w:cs="Times New Roman"/>
          <w:noProof/>
          <w:lang w:val="es-ES" w:eastAsia="es-CO"/>
        </w:rPr>
        <w:t xml:space="preserve"> et al,</w:t>
      </w:r>
      <w:r w:rsidR="009377F2" w:rsidRPr="00901E21">
        <w:rPr>
          <w:rFonts w:cs="Times New Roman"/>
          <w:noProof/>
          <w:lang w:val="es-ES" w:eastAsia="es-CO"/>
        </w:rPr>
        <w:t xml:space="preserve"> 2017)</w:t>
      </w:r>
    </w:p>
    <w:p w14:paraId="29777D7C" w14:textId="10DAFA35" w:rsidR="00AE6323" w:rsidRPr="00AE6323" w:rsidRDefault="00762EBA" w:rsidP="00762EBA">
      <w:pPr>
        <w:autoSpaceDE w:val="0"/>
        <w:autoSpaceDN w:val="0"/>
        <w:adjustRightInd w:val="0"/>
        <w:spacing w:line="480" w:lineRule="auto"/>
        <w:ind w:firstLine="720"/>
        <w:rPr>
          <w:rFonts w:cs="Times New Roman"/>
          <w:lang w:eastAsia="es-CO"/>
        </w:rPr>
      </w:pPr>
      <w:r>
        <w:rPr>
          <w:rFonts w:cs="Times New Roman"/>
          <w:lang w:eastAsia="es-CO"/>
        </w:rPr>
        <w:t>Los autores</w:t>
      </w:r>
      <w:r w:rsidR="00AE6323" w:rsidRPr="00AE6323">
        <w:rPr>
          <w:rFonts w:cs="Times New Roman"/>
          <w:lang w:eastAsia="es-CO"/>
        </w:rPr>
        <w:t xml:space="preserve"> señalan que el crecimiento de estos complejos industriales se ve mediado por el </w:t>
      </w:r>
      <w:r w:rsidR="00AE6323" w:rsidRPr="00762EBA">
        <w:rPr>
          <w:rFonts w:cs="Times New Roman"/>
          <w:lang w:eastAsia="es-CO"/>
        </w:rPr>
        <w:t>“</w:t>
      </w:r>
      <w:r w:rsidR="002C4741" w:rsidRPr="00762EBA">
        <w:rPr>
          <w:rFonts w:cs="Times New Roman"/>
          <w:lang w:eastAsia="es-CO"/>
        </w:rPr>
        <w:t>El surgimiento de nuevas condiciones y políticas para el comercio internacional, como los tratados de libre comercio (TLC), los acuerdos comerciales transregionales e intercontinentales, así como la reducción y eliminación de aranceles</w:t>
      </w:r>
      <w:r w:rsidR="00AE6323" w:rsidRPr="00762EBA">
        <w:rPr>
          <w:rFonts w:cs="Times New Roman"/>
          <w:lang w:eastAsia="es-CO"/>
        </w:rPr>
        <w:t>”</w:t>
      </w:r>
      <w:r w:rsidR="002C4741">
        <w:rPr>
          <w:rFonts w:cs="Times New Roman"/>
          <w:lang w:eastAsia="es-CO"/>
        </w:rPr>
        <w:t xml:space="preserve"> </w:t>
      </w:r>
      <w:r w:rsidRPr="00762EBA">
        <w:rPr>
          <w:rFonts w:cs="Times New Roman"/>
          <w:noProof/>
          <w:lang w:val="es-ES" w:eastAsia="es-CO"/>
        </w:rPr>
        <w:t>(García</w:t>
      </w:r>
      <w:r w:rsidR="009377F2">
        <w:rPr>
          <w:rFonts w:cs="Times New Roman"/>
          <w:noProof/>
          <w:lang w:val="es-ES" w:eastAsia="es-CO"/>
        </w:rPr>
        <w:t xml:space="preserve"> et al</w:t>
      </w:r>
      <w:r w:rsidRPr="00762EBA">
        <w:rPr>
          <w:rFonts w:cs="Times New Roman"/>
          <w:noProof/>
          <w:lang w:val="es-ES" w:eastAsia="es-CO"/>
        </w:rPr>
        <w:t>, 2017</w:t>
      </w:r>
      <w:r>
        <w:rPr>
          <w:rFonts w:cs="Times New Roman"/>
          <w:noProof/>
          <w:lang w:val="es-ES" w:eastAsia="es-CO"/>
        </w:rPr>
        <w:t>,p.222</w:t>
      </w:r>
      <w:r w:rsidRPr="00762EBA">
        <w:rPr>
          <w:rFonts w:cs="Times New Roman"/>
          <w:noProof/>
          <w:lang w:val="es-ES" w:eastAsia="es-CO"/>
        </w:rPr>
        <w:t>)</w:t>
      </w:r>
      <w:r w:rsidR="002C4741">
        <w:rPr>
          <w:rFonts w:cs="Times New Roman"/>
          <w:lang w:eastAsia="es-CO"/>
        </w:rPr>
        <w:t xml:space="preserve">, </w:t>
      </w:r>
      <w:r w:rsidR="00AE6323" w:rsidRPr="00AE6323">
        <w:rPr>
          <w:rFonts w:cs="Times New Roman"/>
          <w:lang w:eastAsia="es-CO"/>
        </w:rPr>
        <w:t>medidas que han permitido la vinculación de las empresas a los países a través de las diferentes dinámicas industriales.</w:t>
      </w:r>
    </w:p>
    <w:p w14:paraId="29278FB7" w14:textId="527A5F1F" w:rsidR="00AE6323" w:rsidRPr="00AE6323" w:rsidRDefault="00AE6323" w:rsidP="0015136C">
      <w:pPr>
        <w:autoSpaceDE w:val="0"/>
        <w:autoSpaceDN w:val="0"/>
        <w:adjustRightInd w:val="0"/>
        <w:spacing w:line="480" w:lineRule="auto"/>
        <w:ind w:firstLine="720"/>
        <w:rPr>
          <w:rFonts w:cs="Times New Roman"/>
        </w:rPr>
      </w:pPr>
      <w:r w:rsidRPr="00AE6323">
        <w:rPr>
          <w:rFonts w:cs="Times New Roman"/>
          <w:lang w:eastAsia="es-CO"/>
        </w:rPr>
        <w:t>De acuerdo a lo re</w:t>
      </w:r>
      <w:r w:rsidR="002C4741">
        <w:rPr>
          <w:rFonts w:cs="Times New Roman"/>
          <w:lang w:eastAsia="es-CO"/>
        </w:rPr>
        <w:t xml:space="preserve">portado por </w:t>
      </w:r>
      <w:r w:rsidR="00711C4D" w:rsidRPr="002C4741">
        <w:rPr>
          <w:rFonts w:cs="Times New Roman"/>
          <w:noProof/>
          <w:lang w:val="es-ES" w:eastAsia="es-CO"/>
        </w:rPr>
        <w:t>Herrera</w:t>
      </w:r>
      <w:r w:rsidR="009377F2">
        <w:rPr>
          <w:rFonts w:cs="Times New Roman"/>
          <w:noProof/>
          <w:lang w:val="es-ES" w:eastAsia="es-CO"/>
        </w:rPr>
        <w:t xml:space="preserve"> et al,</w:t>
      </w:r>
      <w:r w:rsidR="00711C4D">
        <w:rPr>
          <w:rFonts w:cs="Times New Roman"/>
          <w:noProof/>
          <w:lang w:val="es-ES" w:eastAsia="es-CO"/>
        </w:rPr>
        <w:t xml:space="preserve"> (</w:t>
      </w:r>
      <w:r w:rsidR="00711C4D" w:rsidRPr="002C4741">
        <w:rPr>
          <w:rFonts w:cs="Times New Roman"/>
          <w:noProof/>
          <w:lang w:val="es-ES" w:eastAsia="es-CO"/>
        </w:rPr>
        <w:t>2018)</w:t>
      </w:r>
      <w:r w:rsidRPr="00AE6323">
        <w:rPr>
          <w:rFonts w:cs="Times New Roman"/>
          <w:lang w:eastAsia="es-CO"/>
        </w:rPr>
        <w:t xml:space="preserve"> </w:t>
      </w:r>
      <w:r w:rsidR="00F7586F" w:rsidRPr="00F7586F">
        <w:rPr>
          <w:rFonts w:cs="Times New Roman"/>
          <w:lang w:eastAsia="es-CO"/>
        </w:rPr>
        <w:t>Desde la perspectiva de la teoría de la ventaja competitiva de Michael Porter, se puede aplicar directamente el modelo del diamante a las zonas francas. Por un lado, estas áreas facilitan la creación de encadenamientos productivos, permitiendo la importación libre de aranceles de componentes para bienes finales o productos intermedios. Además, se ofrecen incentivos para la adquisición de insumos a bajo costo y se reducen gastos al contratar servicios compartidos entre las empresas ubicadas dentro de la zona delimitada.</w:t>
      </w:r>
    </w:p>
    <w:p w14:paraId="6DC131E6" w14:textId="343067CD" w:rsidR="00AE6323" w:rsidRPr="00AE6323" w:rsidRDefault="00F7586F" w:rsidP="0015136C">
      <w:pPr>
        <w:autoSpaceDE w:val="0"/>
        <w:autoSpaceDN w:val="0"/>
        <w:adjustRightInd w:val="0"/>
        <w:spacing w:line="480" w:lineRule="auto"/>
        <w:ind w:firstLine="720"/>
        <w:rPr>
          <w:rFonts w:cs="Times New Roman"/>
          <w:lang w:eastAsia="es-CO"/>
        </w:rPr>
      </w:pPr>
      <w:r>
        <w:rPr>
          <w:rFonts w:cs="Times New Roman"/>
          <w:lang w:eastAsia="es-CO"/>
        </w:rPr>
        <w:lastRenderedPageBreak/>
        <w:t>Sujeto al párrafo anterior</w:t>
      </w:r>
      <w:r w:rsidR="00711C4D">
        <w:rPr>
          <w:rFonts w:cs="Times New Roman"/>
          <w:lang w:eastAsia="es-CO"/>
        </w:rPr>
        <w:t xml:space="preserve">, los autores </w:t>
      </w:r>
      <w:r w:rsidR="00AE6323" w:rsidRPr="00AE6323">
        <w:rPr>
          <w:rFonts w:cs="Times New Roman"/>
          <w:lang w:eastAsia="es-CO"/>
        </w:rPr>
        <w:t>enfatizan en el modelo de las cinco fuerzas del sector de Porter, ya que tiene como finalidad el analizar de manera acertada un modelo de negociación, basado en la competitividad, los cuales se describen de la siguiente forma:</w:t>
      </w:r>
    </w:p>
    <w:p w14:paraId="51CB556A" w14:textId="1F9A7B5B" w:rsidR="00F7586F" w:rsidRPr="00F7586F" w:rsidRDefault="00F7586F" w:rsidP="0015136C">
      <w:pPr>
        <w:autoSpaceDE w:val="0"/>
        <w:autoSpaceDN w:val="0"/>
        <w:adjustRightInd w:val="0"/>
        <w:spacing w:line="480" w:lineRule="auto"/>
        <w:ind w:firstLine="720"/>
        <w:rPr>
          <w:rFonts w:cs="Times New Roman"/>
          <w:lang w:eastAsia="es-CO"/>
        </w:rPr>
      </w:pPr>
      <w:r w:rsidRPr="00F7586F">
        <w:rPr>
          <w:rFonts w:cs="Times New Roman"/>
          <w:lang w:eastAsia="es-CO"/>
        </w:rPr>
        <w:t>Primero, la amenaza de nuevos competidores se refiere a la posibilidad de que empresas externas ingresen al mercado, ofreciendo productos o servicios similares en el mismo sector. Esta entrada puede representar un desafío económico significativo para las empresas ya establecidas, ya que los nuevos competidores podrían ofrecer precios más bajos, productos innovadores o mejores servicios que capturen la atención de los consumidores. Además, la entrada de estos competidores puede aumentar la saturación del mercado, lo que intensifica la competencia y puede reducir las cuotas de mercado de las empresas existentes. Por lo tanto, las empresas deben estar constantemente innovando y mejorando sus ofertas para mantener su posición en el mercado.</w:t>
      </w:r>
    </w:p>
    <w:p w14:paraId="7B464094" w14:textId="260EC4A3" w:rsidR="00F7586F" w:rsidRPr="00F7586F" w:rsidRDefault="00F7586F" w:rsidP="0015136C">
      <w:pPr>
        <w:autoSpaceDE w:val="0"/>
        <w:autoSpaceDN w:val="0"/>
        <w:adjustRightInd w:val="0"/>
        <w:spacing w:line="480" w:lineRule="auto"/>
        <w:ind w:firstLine="720"/>
        <w:rPr>
          <w:rFonts w:cs="Times New Roman"/>
          <w:lang w:eastAsia="es-CO"/>
        </w:rPr>
      </w:pPr>
      <w:r w:rsidRPr="00F7586F">
        <w:rPr>
          <w:rFonts w:cs="Times New Roman"/>
          <w:lang w:eastAsia="es-CO"/>
        </w:rPr>
        <w:t>Otra fuerza clave es la rivalidad entre los competidores actuales, la cual determina el nivel de competitividad y rentabilidad en el sector. La intensidad de esta rivalidad puede variar significativamente dependiendo de factores como el número de empresas en el sector, la diversidad de sus estrategias, y la madurez del mercado. En sectores altamente competitivos, las empresas pueden verse obligadas a reducir precios, mejorar la calidad de sus productos o aumentar sus esfuerzos de marketing para mantener o aumentar su participación en el mercado. Esta competencia puede ser beneficiosa para los consumidores, pero puede presionar los márgenes de ganancia y dificultar el crecimiento sostenido de las empresas.</w:t>
      </w:r>
    </w:p>
    <w:p w14:paraId="4E0CF6A2" w14:textId="512854DE" w:rsidR="00F7586F" w:rsidRPr="00F7586F" w:rsidRDefault="00F7586F" w:rsidP="0015136C">
      <w:pPr>
        <w:autoSpaceDE w:val="0"/>
        <w:autoSpaceDN w:val="0"/>
        <w:adjustRightInd w:val="0"/>
        <w:spacing w:line="480" w:lineRule="auto"/>
        <w:ind w:firstLine="720"/>
        <w:rPr>
          <w:rFonts w:cs="Times New Roman"/>
          <w:lang w:eastAsia="es-CO"/>
        </w:rPr>
      </w:pPr>
      <w:r w:rsidRPr="00F7586F">
        <w:rPr>
          <w:rFonts w:cs="Times New Roman"/>
          <w:lang w:eastAsia="es-CO"/>
        </w:rPr>
        <w:t xml:space="preserve">En cuanto al poder de negociación de los proveedores, estos son esenciales para proporcionar los insumos necesarios, ya sean materias primas, componentes específicos o soporte tecnológico. Sin estos recursos, la empresa no podría operar eficientemente, lo que subraya la importancia de mantener relaciones sólidas y favorables con los proveedores. Además, un </w:t>
      </w:r>
      <w:r w:rsidRPr="00F7586F">
        <w:rPr>
          <w:rFonts w:cs="Times New Roman"/>
          <w:lang w:eastAsia="es-CO"/>
        </w:rPr>
        <w:lastRenderedPageBreak/>
        <w:t>proveedor con un poder de negociación elevado podría imponer condiciones desfavorables, como precios más altos o plazos de entrega más largos, que afectarían la rentabilidad de la empresa. Por lo tanto, es crucial que las empresas logren negociaciones favorables que impulsen su crecimiento, optimizando sus costos sin comprometer la calidad de los insumos y, en última instancia, sin afectar negativamente sus márgenes de ganancia.</w:t>
      </w:r>
    </w:p>
    <w:p w14:paraId="60206799" w14:textId="3248E29D" w:rsidR="00F7586F" w:rsidRPr="00F7586F" w:rsidRDefault="00F7586F" w:rsidP="00F17F5F">
      <w:pPr>
        <w:autoSpaceDE w:val="0"/>
        <w:autoSpaceDN w:val="0"/>
        <w:adjustRightInd w:val="0"/>
        <w:spacing w:line="480" w:lineRule="auto"/>
        <w:ind w:firstLine="720"/>
        <w:rPr>
          <w:rFonts w:cs="Times New Roman"/>
          <w:lang w:eastAsia="es-CO"/>
        </w:rPr>
      </w:pPr>
      <w:r w:rsidRPr="00F7586F">
        <w:rPr>
          <w:rFonts w:cs="Times New Roman"/>
          <w:lang w:eastAsia="es-CO"/>
        </w:rPr>
        <w:t>El poder de negociación de los compradores es otro factor crítico, ya que ellos son los consumidores finales de los productos o servicios. Las empresas deben diseñar estrategias competitivas centradas en satisfacer las necesidades de los compradores, quienes tienen la capacidad de influir en el éxito del producto, decidir si lo adquieren o no, e incluso afectar la volatilidad de los precios, lo que a su vez influye en el comportamiento del mercado.</w:t>
      </w:r>
    </w:p>
    <w:p w14:paraId="07CA20ED" w14:textId="1C3BCECD" w:rsidR="00C77102" w:rsidRPr="00AE6323" w:rsidRDefault="00F7586F" w:rsidP="007B763D">
      <w:pPr>
        <w:autoSpaceDE w:val="0"/>
        <w:autoSpaceDN w:val="0"/>
        <w:adjustRightInd w:val="0"/>
        <w:spacing w:line="480" w:lineRule="auto"/>
        <w:ind w:firstLine="720"/>
        <w:rPr>
          <w:rFonts w:cs="Times New Roman"/>
          <w:lang w:eastAsia="es-CO"/>
        </w:rPr>
      </w:pPr>
      <w:r w:rsidRPr="00F7586F">
        <w:rPr>
          <w:rFonts w:cs="Times New Roman"/>
          <w:lang w:eastAsia="es-CO"/>
        </w:rPr>
        <w:t>Finalmente, la quinta fuerza es la amenaza de productos sustitutos, es decir, aquellos que satisfacen las mismas necesidades que los productos o servicios de la empresa, pero que pueden ser ofrecidos a gran escala y con mayor diversidad. Estos sustitutos pueden reducir la demanda de los productos de la empresa, y su impacto puede aumentar con los avances tecnológicos y los cambios en la cultura económica.</w:t>
      </w:r>
      <w:r w:rsidR="00C77102">
        <w:rPr>
          <w:rFonts w:cs="Times New Roman"/>
          <w:lang w:eastAsia="es-CO"/>
        </w:rPr>
        <w:t xml:space="preserve"> </w:t>
      </w:r>
      <w:r w:rsidR="00AE6323" w:rsidRPr="00AE6323">
        <w:rPr>
          <w:rFonts w:cs="Times New Roman"/>
          <w:lang w:eastAsia="es-CO"/>
        </w:rPr>
        <w:t xml:space="preserve">Además, la teoría de Porter se puede complementar con la teoría de las ventajas comparativas de David Ricardo donde expone que “un país exporta bienes en los cuales tiene un costo relativo ventajoso y no un costo absoluto en comparación con otros países” </w:t>
      </w:r>
      <w:r w:rsidR="00F17F5F" w:rsidRPr="00C77102">
        <w:rPr>
          <w:rFonts w:cs="Times New Roman"/>
          <w:noProof/>
          <w:lang w:val="es-ES" w:eastAsia="es-CO"/>
        </w:rPr>
        <w:t>(Pinzón</w:t>
      </w:r>
      <w:r w:rsidR="009377F2">
        <w:rPr>
          <w:rFonts w:cs="Times New Roman"/>
          <w:noProof/>
          <w:lang w:val="es-ES" w:eastAsia="es-CO"/>
        </w:rPr>
        <w:t xml:space="preserve"> et al,</w:t>
      </w:r>
      <w:r w:rsidR="00F17F5F" w:rsidRPr="00C77102">
        <w:rPr>
          <w:rFonts w:cs="Times New Roman"/>
          <w:noProof/>
          <w:lang w:val="es-ES" w:eastAsia="es-CO"/>
        </w:rPr>
        <w:t xml:space="preserve"> 2015</w:t>
      </w:r>
      <w:r w:rsidR="00E86045">
        <w:rPr>
          <w:rFonts w:cs="Times New Roman"/>
          <w:noProof/>
          <w:lang w:val="es-ES" w:eastAsia="es-CO"/>
        </w:rPr>
        <w:t>,p.4)</w:t>
      </w:r>
    </w:p>
    <w:p w14:paraId="6796E350" w14:textId="77777777" w:rsidR="00AE6323" w:rsidRDefault="00AE6323" w:rsidP="00E86045">
      <w:pPr>
        <w:pStyle w:val="Ttulo3"/>
      </w:pPr>
      <w:bookmarkStart w:id="22" w:name="_Toc183783024"/>
      <w:r w:rsidRPr="00AE6323">
        <w:t>Teoría del poder de mercado</w:t>
      </w:r>
      <w:bookmarkEnd w:id="22"/>
    </w:p>
    <w:p w14:paraId="479C55E3" w14:textId="77777777" w:rsidR="00507E3E" w:rsidRPr="00507E3E" w:rsidRDefault="00507E3E" w:rsidP="00507E3E"/>
    <w:p w14:paraId="3D0AF171" w14:textId="56E58C87" w:rsidR="00AE6323" w:rsidRPr="00AE6323" w:rsidRDefault="00C77102" w:rsidP="00E86045">
      <w:pPr>
        <w:spacing w:after="400" w:line="480" w:lineRule="auto"/>
        <w:ind w:firstLine="720"/>
        <w:contextualSpacing/>
        <w:rPr>
          <w:rFonts w:cs="Times New Roman"/>
        </w:rPr>
      </w:pPr>
      <w:r w:rsidRPr="00C77102">
        <w:rPr>
          <w:rFonts w:cs="Times New Roman"/>
        </w:rPr>
        <w:t xml:space="preserve">Hymer argumenta que la existencia de mercados imperfectos es lo que impulsa a una empresa a invertir en el extranjero. Estos mercados imperfectos brindan a las empresas ciertas ventajas específicas, como habilidades o capacidades que les otorgan una posición competitiva </w:t>
      </w:r>
      <w:r w:rsidRPr="00C77102">
        <w:rPr>
          <w:rFonts w:cs="Times New Roman"/>
        </w:rPr>
        <w:lastRenderedPageBreak/>
        <w:t xml:space="preserve">favorable frente a sus rivales. Son estas ventajas las que permiten a las empresas transnacionales superar las barreras de entrada que enfrentan al llevar a cabo </w:t>
      </w:r>
      <w:r>
        <w:rPr>
          <w:rFonts w:cs="Times New Roman"/>
        </w:rPr>
        <w:t>sus operaciones internacionales, s</w:t>
      </w:r>
      <w:r w:rsidRPr="00C77102">
        <w:rPr>
          <w:rFonts w:cs="Times New Roman"/>
        </w:rPr>
        <w:t>egún Hymer, las principales fuentes de estas ventajas específicas radican en la tecnolog</w:t>
      </w:r>
      <w:r>
        <w:rPr>
          <w:rFonts w:cs="Times New Roman"/>
        </w:rPr>
        <w:t xml:space="preserve">ía y el conocimiento que poseen </w:t>
      </w:r>
      <w:r w:rsidR="00E86045" w:rsidRPr="00C77102">
        <w:rPr>
          <w:rFonts w:cs="Times New Roman"/>
          <w:noProof/>
          <w:lang w:val="es-ES"/>
        </w:rPr>
        <w:t xml:space="preserve">Paz </w:t>
      </w:r>
      <w:r w:rsidR="00E86045">
        <w:rPr>
          <w:rFonts w:cs="Times New Roman"/>
          <w:noProof/>
          <w:lang w:val="es-ES"/>
        </w:rPr>
        <w:t>(</w:t>
      </w:r>
      <w:r w:rsidR="00E86045" w:rsidRPr="00C77102">
        <w:rPr>
          <w:rFonts w:cs="Times New Roman"/>
          <w:noProof/>
          <w:lang w:val="es-ES"/>
        </w:rPr>
        <w:t>2002)</w:t>
      </w:r>
      <w:r w:rsidR="00AE6323" w:rsidRPr="00AE6323">
        <w:rPr>
          <w:rFonts w:cs="Times New Roman"/>
        </w:rPr>
        <w:t xml:space="preserve">. </w:t>
      </w:r>
    </w:p>
    <w:p w14:paraId="67DD4CAC" w14:textId="77777777" w:rsidR="00AE6323" w:rsidRDefault="00AE6323" w:rsidP="00E86045">
      <w:pPr>
        <w:pStyle w:val="Ttulo3"/>
      </w:pPr>
      <w:bookmarkStart w:id="23" w:name="_Toc183783025"/>
      <w:r w:rsidRPr="00AE6323">
        <w:t>Teoría de la internalización</w:t>
      </w:r>
      <w:bookmarkEnd w:id="23"/>
    </w:p>
    <w:p w14:paraId="5397C2D3" w14:textId="77777777" w:rsidR="00507E3E" w:rsidRPr="00507E3E" w:rsidRDefault="00507E3E" w:rsidP="00507E3E"/>
    <w:p w14:paraId="584D7056" w14:textId="6E400194" w:rsidR="00AE6323" w:rsidRPr="00AE6323" w:rsidRDefault="00AE6323" w:rsidP="0015136C">
      <w:pPr>
        <w:spacing w:after="400" w:line="480" w:lineRule="auto"/>
        <w:ind w:firstLine="720"/>
        <w:contextualSpacing/>
        <w:rPr>
          <w:rFonts w:cs="Times New Roman"/>
        </w:rPr>
      </w:pPr>
      <w:r w:rsidRPr="00AE6323">
        <w:rPr>
          <w:rFonts w:cs="Times New Roman"/>
        </w:rPr>
        <w:t>Esta teoría parte del trabajo de Coase y del posterior desarrollo del mismo sobre la existencia de costes de transacción (CT) como factor que explica el surgimiento de la organización/empresa. El razonamiento que se plantea, básicamente, es el siguiente: en la realidad, muchos mercados no operan bajo los supuestos de competencia perfecta existiendo una serie de CT en los que incurre una empresa al utilizar el mercado externo para realizar sus transacciones</w:t>
      </w:r>
      <w:r w:rsidR="00710E91">
        <w:rPr>
          <w:rFonts w:cs="Times New Roman"/>
        </w:rPr>
        <w:t>,</w:t>
      </w:r>
      <w:r w:rsidRPr="00AE6323">
        <w:rPr>
          <w:rFonts w:cs="Times New Roman"/>
        </w:rPr>
        <w:t xml:space="preserve"> </w:t>
      </w:r>
      <w:r w:rsidR="00E86045" w:rsidRPr="0096172D">
        <w:rPr>
          <w:rFonts w:cs="Times New Roman"/>
          <w:noProof/>
          <w:lang w:val="es-ES"/>
        </w:rPr>
        <w:t>Paz</w:t>
      </w:r>
      <w:r w:rsidR="00E86045">
        <w:rPr>
          <w:rFonts w:cs="Times New Roman"/>
          <w:noProof/>
          <w:lang w:val="es-ES"/>
        </w:rPr>
        <w:t xml:space="preserve"> (</w:t>
      </w:r>
      <w:r w:rsidR="00E86045" w:rsidRPr="0096172D">
        <w:rPr>
          <w:rFonts w:cs="Times New Roman"/>
          <w:noProof/>
          <w:lang w:val="es-ES"/>
        </w:rPr>
        <w:t>2002)</w:t>
      </w:r>
      <w:r w:rsidRPr="00AE6323">
        <w:rPr>
          <w:rFonts w:cs="Times New Roman"/>
        </w:rPr>
        <w:t xml:space="preserve">. </w:t>
      </w:r>
    </w:p>
    <w:p w14:paraId="2DDB801D" w14:textId="7E2F0E2E" w:rsidR="00AE6323" w:rsidRDefault="00CD2554" w:rsidP="0015136C">
      <w:pPr>
        <w:spacing w:after="400" w:line="480" w:lineRule="auto"/>
        <w:ind w:firstLine="720"/>
        <w:contextualSpacing/>
        <w:rPr>
          <w:rFonts w:cs="Times New Roman"/>
        </w:rPr>
      </w:pPr>
      <w:r w:rsidRPr="00CD2554">
        <w:rPr>
          <w:rFonts w:cs="Times New Roman"/>
        </w:rPr>
        <w:t xml:space="preserve">Las decisiones empresariales están influenciadas por la estructura del mercado y sus imperfecciones, posicionando a la empresa como un agente reactivo ante estas distorsiones. El desafío principal es minimizar costos en un entorno donde tanto los costos de producción como la demanda se consideran variables externas. Esta perspectiva se aplica al estudio de las empresas transnacionales y ha dado lugar a una corriente de análisis conocida como </w:t>
      </w:r>
      <w:r>
        <w:rPr>
          <w:rFonts w:cs="Times New Roman"/>
        </w:rPr>
        <w:t>la teoría de la internalización</w:t>
      </w:r>
      <w:r w:rsidR="00710E91">
        <w:rPr>
          <w:rFonts w:cs="Times New Roman"/>
        </w:rPr>
        <w:t>,</w:t>
      </w:r>
      <w:r w:rsidR="00AE6323" w:rsidRPr="00AE6323">
        <w:rPr>
          <w:rFonts w:cs="Times New Roman"/>
        </w:rPr>
        <w:t xml:space="preserve"> </w:t>
      </w:r>
      <w:r w:rsidR="00E86045" w:rsidRPr="00CD2554">
        <w:rPr>
          <w:rFonts w:cs="Times New Roman"/>
          <w:noProof/>
          <w:lang w:val="es-ES"/>
        </w:rPr>
        <w:t xml:space="preserve">Paz </w:t>
      </w:r>
      <w:r w:rsidR="00E86045">
        <w:rPr>
          <w:rFonts w:cs="Times New Roman"/>
          <w:noProof/>
          <w:lang w:val="es-ES"/>
        </w:rPr>
        <w:t>(</w:t>
      </w:r>
      <w:r w:rsidR="00E86045" w:rsidRPr="00CD2554">
        <w:rPr>
          <w:rFonts w:cs="Times New Roman"/>
          <w:noProof/>
          <w:lang w:val="es-ES"/>
        </w:rPr>
        <w:t>2002)</w:t>
      </w:r>
      <w:r w:rsidR="00AE6323" w:rsidRPr="00AE6323">
        <w:rPr>
          <w:rFonts w:cs="Times New Roman"/>
        </w:rPr>
        <w:t xml:space="preserve">. </w:t>
      </w:r>
    </w:p>
    <w:p w14:paraId="58CEAF73" w14:textId="22B4690E" w:rsidR="00AE6323" w:rsidRPr="00AE6323" w:rsidRDefault="00710E91" w:rsidP="0015136C">
      <w:pPr>
        <w:spacing w:after="400" w:line="480" w:lineRule="auto"/>
        <w:ind w:firstLine="720"/>
        <w:contextualSpacing/>
        <w:rPr>
          <w:rFonts w:cs="Times New Roman"/>
          <w:b/>
        </w:rPr>
      </w:pPr>
      <w:r w:rsidRPr="00710E91">
        <w:rPr>
          <w:rFonts w:cs="Times New Roman"/>
        </w:rPr>
        <w:t xml:space="preserve">La teoría de la internalización y los costos de transacción, basada en las ideas de Coase y desarrollada posteriormente por Hymer y Paz (2002), plantea que una Zona Franca permite minimizar costos y aumentar eficiencia operativa. Para Aguachica, establecer una Zona Franca significaría reducir los costos asociados a transacciones externas, ya que las empresas en la zona pueden gestionar sus operaciones bajo un mismo régimen de exención arancelaria y simplificación </w:t>
      </w:r>
      <w:r w:rsidRPr="00710E91">
        <w:rPr>
          <w:rFonts w:cs="Times New Roman"/>
        </w:rPr>
        <w:lastRenderedPageBreak/>
        <w:t>administrativa. Este beneficio podría posicionar a la región como un centro de negocios competitivo a nivel nacional e internacional.</w:t>
      </w:r>
    </w:p>
    <w:p w14:paraId="0C2DC398" w14:textId="77777777" w:rsidR="00AE6323" w:rsidRDefault="00AE6323" w:rsidP="00E86045">
      <w:pPr>
        <w:pStyle w:val="Ttulo3"/>
      </w:pPr>
      <w:bookmarkStart w:id="24" w:name="_Toc183783026"/>
      <w:r w:rsidRPr="00AE6323">
        <w:t>Teoría de Redes</w:t>
      </w:r>
      <w:bookmarkEnd w:id="24"/>
      <w:r w:rsidRPr="00AE6323">
        <w:t xml:space="preserve"> </w:t>
      </w:r>
    </w:p>
    <w:p w14:paraId="0019FEEF" w14:textId="77777777" w:rsidR="00507E3E" w:rsidRPr="00507E3E" w:rsidRDefault="00507E3E" w:rsidP="00507E3E"/>
    <w:p w14:paraId="12117F92" w14:textId="0B06A934" w:rsidR="00AE6323" w:rsidRPr="00E86045" w:rsidRDefault="00CD2554" w:rsidP="00E86045">
      <w:pPr>
        <w:spacing w:line="480" w:lineRule="auto"/>
        <w:ind w:firstLine="720"/>
        <w:contextualSpacing/>
        <w:rPr>
          <w:rFonts w:cs="Times New Roman"/>
          <w:b/>
        </w:rPr>
      </w:pPr>
      <w:r w:rsidRPr="00CD2554">
        <w:rPr>
          <w:rFonts w:cs="Times New Roman"/>
        </w:rPr>
        <w:t>Los autores consideran que la entrada en mercados internacionales está condicionada por las interacciones organizativas entre las empresas locales y sus redes globales. En otras palabras, las oportunidades en mercados exteriores llegan a las empresas locales a través de los contactos dentro de sus redes. Para estos autores, las redes empresariales comprenden las relaciones entre las empresas y sus clientes, distribuidores, la industria y las autoridades gubernamentales</w:t>
      </w:r>
      <w:r w:rsidR="00E86045">
        <w:rPr>
          <w:rFonts w:cs="Times New Roman"/>
        </w:rPr>
        <w:t>, esto según</w:t>
      </w:r>
      <w:r w:rsidRPr="00CD2554">
        <w:rPr>
          <w:rFonts w:cs="Times New Roman"/>
        </w:rPr>
        <w:t xml:space="preserve"> </w:t>
      </w:r>
      <w:r w:rsidR="00E86045" w:rsidRPr="00CD2554">
        <w:rPr>
          <w:rFonts w:cs="Times New Roman"/>
          <w:noProof/>
          <w:lang w:val="es-ES"/>
        </w:rPr>
        <w:t>Ortiz</w:t>
      </w:r>
      <w:r w:rsidR="009377F2">
        <w:rPr>
          <w:rFonts w:cs="Times New Roman"/>
          <w:noProof/>
          <w:lang w:val="es-ES"/>
        </w:rPr>
        <w:t xml:space="preserve"> et al,</w:t>
      </w:r>
      <w:r w:rsidR="00E86045">
        <w:rPr>
          <w:rFonts w:cs="Times New Roman"/>
          <w:noProof/>
          <w:lang w:val="es-ES"/>
        </w:rPr>
        <w:t xml:space="preserve"> (</w:t>
      </w:r>
      <w:r w:rsidR="00E86045" w:rsidRPr="00CD2554">
        <w:rPr>
          <w:rFonts w:cs="Times New Roman"/>
          <w:noProof/>
          <w:lang w:val="es-ES"/>
        </w:rPr>
        <w:t>2016)</w:t>
      </w:r>
      <w:r w:rsidR="00AE6323" w:rsidRPr="00AE6323">
        <w:rPr>
          <w:rFonts w:cs="Times New Roman"/>
        </w:rPr>
        <w:t>.</w:t>
      </w:r>
    </w:p>
    <w:p w14:paraId="4457BFAF" w14:textId="77777777" w:rsidR="00AE6323" w:rsidRDefault="00AE6323" w:rsidP="00E86045">
      <w:pPr>
        <w:pStyle w:val="Ttulo3"/>
        <w:rPr>
          <w:lang w:val="pt-BR"/>
        </w:rPr>
      </w:pPr>
      <w:bookmarkStart w:id="25" w:name="_Toc183783027"/>
      <w:r w:rsidRPr="00AE6323">
        <w:rPr>
          <w:lang w:val="pt-BR"/>
        </w:rPr>
        <w:t>Teoría de Heckscher – Ohlin (H-O)</w:t>
      </w:r>
      <w:bookmarkEnd w:id="25"/>
    </w:p>
    <w:p w14:paraId="0055C7FB" w14:textId="77777777" w:rsidR="00507E3E" w:rsidRPr="00507E3E" w:rsidRDefault="00507E3E" w:rsidP="00507E3E">
      <w:pPr>
        <w:rPr>
          <w:lang w:val="pt-BR"/>
        </w:rPr>
      </w:pPr>
    </w:p>
    <w:p w14:paraId="34A72D99" w14:textId="13EEFB7C" w:rsidR="00AE6323" w:rsidRDefault="00AE6323" w:rsidP="00E86045">
      <w:pPr>
        <w:spacing w:after="400" w:line="480" w:lineRule="auto"/>
        <w:ind w:firstLine="720"/>
        <w:contextualSpacing/>
        <w:rPr>
          <w:rFonts w:cs="Times New Roman"/>
        </w:rPr>
      </w:pPr>
      <w:r w:rsidRPr="00AE6323">
        <w:rPr>
          <w:rFonts w:cs="Times New Roman"/>
        </w:rPr>
        <w:t xml:space="preserve">El modelo Hecksher-Ohlin predice que si un país tiene una abundancia relativa de un factor (trabajo o capital), tendrá una ventaja comparativa y competitiva en aquellos bienes que requieran una mayor cantidad de ese factor, es decir que los países tienden a exportar los bienes que son intensivos en los factores con que están abundantemente dotados </w:t>
      </w:r>
      <w:r w:rsidR="009377F2" w:rsidRPr="00901E21">
        <w:rPr>
          <w:rFonts w:cs="Times New Roman"/>
          <w:noProof/>
          <w:lang w:val="es-ES"/>
        </w:rPr>
        <w:t>(Krugman</w:t>
      </w:r>
      <w:r w:rsidR="009377F2">
        <w:rPr>
          <w:rFonts w:cs="Times New Roman"/>
          <w:noProof/>
          <w:lang w:val="es-ES"/>
        </w:rPr>
        <w:t xml:space="preserve"> et al</w:t>
      </w:r>
      <w:r w:rsidR="009377F2" w:rsidRPr="00901E21">
        <w:rPr>
          <w:rFonts w:cs="Times New Roman"/>
          <w:noProof/>
          <w:lang w:val="es-ES"/>
        </w:rPr>
        <w:t>, 2006)</w:t>
      </w:r>
      <w:r w:rsidRPr="00AE6323">
        <w:rPr>
          <w:rFonts w:cs="Times New Roman"/>
        </w:rPr>
        <w:t>. Al mencionado modelo también se le conoce como la teoría de las proporciones factoriale</w:t>
      </w:r>
      <w:r w:rsidR="00E86045">
        <w:rPr>
          <w:rFonts w:cs="Times New Roman"/>
        </w:rPr>
        <w:t>s</w:t>
      </w:r>
    </w:p>
    <w:p w14:paraId="2049E772" w14:textId="3854838F" w:rsidR="007E367D" w:rsidRPr="007E367D" w:rsidRDefault="007E367D" w:rsidP="007E367D">
      <w:pPr>
        <w:rPr>
          <w:rFonts w:cs="Times New Roman"/>
        </w:rPr>
      </w:pPr>
      <w:r w:rsidRPr="007E367D">
        <w:rPr>
          <w:rFonts w:cs="Times New Roman"/>
        </w:rPr>
        <w:t>En el marco del comercio internacional, la teoría de la ventaja comparativa de Ricardo, complementada por el modelo de Heckscher-Ohlin (Krugman</w:t>
      </w:r>
      <w:r w:rsidR="009377F2">
        <w:rPr>
          <w:rFonts w:cs="Times New Roman"/>
        </w:rPr>
        <w:t xml:space="preserve"> et al</w:t>
      </w:r>
      <w:r w:rsidRPr="007E367D">
        <w:rPr>
          <w:rFonts w:cs="Times New Roman"/>
        </w:rPr>
        <w:t>, 2006), es fundamental para Aguachica. Ambas teorías sostienen que una región debe concentrarse en productos donde tenga ventaja relativa de costos o abundancia de factores. La implementación de una Zona Franca podría potenciar las ventajas de Aguachica en sectores específicos, incentivando la producción y exportación de bienes en los que posee una ventaja comparativa, lo cual generaría un flujo económico positivo para la región.</w:t>
      </w:r>
    </w:p>
    <w:p w14:paraId="0C8D176F" w14:textId="77777777" w:rsidR="00AE6323" w:rsidRDefault="00AE6323" w:rsidP="00E86045">
      <w:pPr>
        <w:pStyle w:val="Ttulo3"/>
      </w:pPr>
      <w:r w:rsidRPr="00AE6323">
        <w:lastRenderedPageBreak/>
        <w:t xml:space="preserve"> </w:t>
      </w:r>
      <w:bookmarkStart w:id="26" w:name="_Toc183783028"/>
      <w:r w:rsidRPr="00AE6323">
        <w:t>Teoría de costos de transacción</w:t>
      </w:r>
      <w:bookmarkEnd w:id="26"/>
    </w:p>
    <w:p w14:paraId="75E5A1A7" w14:textId="77777777" w:rsidR="00507E3E" w:rsidRPr="00507E3E" w:rsidRDefault="00507E3E" w:rsidP="00507E3E"/>
    <w:p w14:paraId="7D251ACA" w14:textId="0EF74E9C" w:rsidR="00AE6323" w:rsidRPr="00AE6323" w:rsidRDefault="00E86045" w:rsidP="0015136C">
      <w:pPr>
        <w:spacing w:after="400" w:line="480" w:lineRule="auto"/>
        <w:ind w:firstLine="720"/>
        <w:contextualSpacing/>
        <w:rPr>
          <w:rFonts w:cs="Times New Roman"/>
        </w:rPr>
      </w:pPr>
      <w:r>
        <w:rPr>
          <w:rFonts w:cs="Times New Roman"/>
        </w:rPr>
        <w:t xml:space="preserve">Según </w:t>
      </w:r>
      <w:r w:rsidRPr="00CD2554">
        <w:rPr>
          <w:rFonts w:cs="Times New Roman"/>
          <w:noProof/>
          <w:lang w:val="es-ES"/>
        </w:rPr>
        <w:t xml:space="preserve">Salgado </w:t>
      </w:r>
      <w:r>
        <w:rPr>
          <w:rFonts w:cs="Times New Roman"/>
          <w:noProof/>
          <w:lang w:val="es-ES"/>
        </w:rPr>
        <w:t>(</w:t>
      </w:r>
      <w:r w:rsidRPr="00CD2554">
        <w:rPr>
          <w:rFonts w:cs="Times New Roman"/>
          <w:noProof/>
          <w:lang w:val="es-ES"/>
        </w:rPr>
        <w:t>2003)</w:t>
      </w:r>
      <w:r>
        <w:rPr>
          <w:rFonts w:cs="Times New Roman"/>
        </w:rPr>
        <w:t>, t</w:t>
      </w:r>
      <w:r w:rsidR="00AE6323" w:rsidRPr="00AE6323">
        <w:rPr>
          <w:rFonts w:cs="Times New Roman"/>
        </w:rPr>
        <w:t>iene como objetivos identificar las fuentes de los costos de transacción (aquellas características o dimensiones de una transacción que hacen el intercambio problemático o sumamente costoso) y especificar el mecanismo de gobierno que puede coordinar de la manera más eficiente la transacción, de tal forma que se logren economizar dichos costos</w:t>
      </w:r>
      <w:r>
        <w:rPr>
          <w:rFonts w:cs="Times New Roman"/>
        </w:rPr>
        <w:t>.</w:t>
      </w:r>
      <w:r w:rsidR="00AE6323" w:rsidRPr="00AE6323">
        <w:rPr>
          <w:rFonts w:cs="Times New Roman"/>
        </w:rPr>
        <w:t xml:space="preserve"> </w:t>
      </w:r>
    </w:p>
    <w:p w14:paraId="4AF744D4" w14:textId="7748D5EB" w:rsidR="00AE6323" w:rsidRDefault="00CD2554" w:rsidP="0015136C">
      <w:pPr>
        <w:widowControl w:val="0"/>
        <w:spacing w:line="480" w:lineRule="auto"/>
        <w:rPr>
          <w:rFonts w:ascii="TimesNewRomanPSMT" w:hAnsi="TimesNewRomanPSMT" w:cs="TimesNewRomanPSMT"/>
          <w:lang w:eastAsia="es-CO"/>
        </w:rPr>
      </w:pPr>
      <w:r>
        <w:rPr>
          <w:rFonts w:cs="Times New Roman"/>
          <w:lang w:eastAsia="es-CO"/>
        </w:rPr>
        <w:t xml:space="preserve">Finalmente, </w:t>
      </w:r>
      <w:r w:rsidR="00CC3513">
        <w:rPr>
          <w:rFonts w:cs="Times New Roman"/>
          <w:lang w:eastAsia="es-CO"/>
        </w:rPr>
        <w:t>h</w:t>
      </w:r>
      <w:r w:rsidRPr="00CD2554">
        <w:rPr>
          <w:rFonts w:cs="Times New Roman"/>
          <w:lang w:eastAsia="es-CO"/>
        </w:rPr>
        <w:t>ay múltiples enfoques teóricos sobre las zonas francas (ZF) que ayudan a identificar los factores que impulsan su desarrollo y crecimiento económico. Estos planteamientos facilitan la formulación de estrategias para evaluar y potenciar las zonas francas en la Región del Sur del Cesar. Estos factores incluyen aspectos de competitividad, generación de empleo, comercio y tecnología, impulsados tanto por inversión nacional como extranjera</w:t>
      </w:r>
      <w:r w:rsidR="00AE6323">
        <w:rPr>
          <w:rFonts w:ascii="TimesNewRomanPSMT" w:hAnsi="TimesNewRomanPSMT" w:cs="TimesNewRomanPSMT"/>
          <w:lang w:eastAsia="es-CO"/>
        </w:rPr>
        <w:t>.</w:t>
      </w:r>
    </w:p>
    <w:p w14:paraId="41A81B09" w14:textId="7EE1C8EF" w:rsidR="00C56C42" w:rsidRPr="00C56C42" w:rsidRDefault="00C56C42" w:rsidP="00C56C42">
      <w:pPr>
        <w:widowControl w:val="0"/>
        <w:spacing w:line="480" w:lineRule="auto"/>
        <w:rPr>
          <w:rFonts w:ascii="TimesNewRomanPSMT" w:hAnsi="TimesNewRomanPSMT" w:cs="TimesNewRomanPSMT"/>
          <w:lang w:eastAsia="es-CO"/>
        </w:rPr>
      </w:pPr>
      <w:r w:rsidRPr="00C56C42">
        <w:rPr>
          <w:rFonts w:ascii="TimesNewRomanPSMT" w:hAnsi="TimesNewRomanPSMT" w:cs="TimesNewRomanPSMT"/>
          <w:b/>
          <w:lang w:eastAsia="es-CO"/>
        </w:rPr>
        <w:t>Síntesis final del marco teórico:</w:t>
      </w:r>
    </w:p>
    <w:p w14:paraId="5983D4A9" w14:textId="36E68624" w:rsidR="00C56C42" w:rsidRPr="00C56C42" w:rsidRDefault="00C56C42" w:rsidP="00C56C42">
      <w:pPr>
        <w:widowControl w:val="0"/>
        <w:spacing w:line="480" w:lineRule="auto"/>
        <w:rPr>
          <w:rFonts w:ascii="TimesNewRomanPSMT" w:hAnsi="TimesNewRomanPSMT" w:cs="TimesNewRomanPSMT"/>
          <w:lang w:eastAsia="es-CO"/>
        </w:rPr>
      </w:pPr>
      <w:r w:rsidRPr="00C56C42">
        <w:rPr>
          <w:rFonts w:ascii="TimesNewRomanPSMT" w:hAnsi="TimesNewRomanPSMT" w:cs="TimesNewRomanPSMT"/>
          <w:lang w:eastAsia="es-CO"/>
        </w:rPr>
        <w:t>En resumen, el marco teórico de este estudio aborda diferentes enfoques y teorías que contribuyen al análisis de las Zonas Francas (ZF) en Aguachica desde múltiples perspectivas. El modelo OLI de Dunning establece un marco conceptual para entender las ventajas que Aguachica podría obtener en términos de propiedad, ubicación e internacionalización, elementos esenciales para atraer inversión extranjera y fomentar el desarrollo socioeconómico en la región. Por su parte, la teoría de la ventaja competitiva de Porter permite analizar cómo Aguachica podría posicionarse en el mercado a través de mejoras en productividad y competitividad, esenciales para el éxito de una ZF.</w:t>
      </w:r>
    </w:p>
    <w:p w14:paraId="6CBB648B" w14:textId="44B4DCBC" w:rsidR="00C56C42" w:rsidRPr="00C56C42" w:rsidRDefault="00C56C42" w:rsidP="00C56C42">
      <w:pPr>
        <w:widowControl w:val="0"/>
        <w:spacing w:line="480" w:lineRule="auto"/>
        <w:rPr>
          <w:rFonts w:ascii="TimesNewRomanPSMT" w:hAnsi="TimesNewRomanPSMT" w:cs="TimesNewRomanPSMT"/>
          <w:lang w:eastAsia="es-CO"/>
        </w:rPr>
      </w:pPr>
      <w:r w:rsidRPr="00C56C42">
        <w:rPr>
          <w:rFonts w:ascii="TimesNewRomanPSMT" w:hAnsi="TimesNewRomanPSMT" w:cs="TimesNewRomanPSMT"/>
          <w:lang w:eastAsia="es-CO"/>
        </w:rPr>
        <w:t xml:space="preserve">Asimismo, las teorías de Perroux y Porter destacan el potencial de las ZF como motores de crecimiento económico sostenible, no solo a través de la generación de empleo y atracción de inversión, sino también mediante la creación de un ecosistema productivo en la región. La teoría </w:t>
      </w:r>
      <w:r w:rsidRPr="00C56C42">
        <w:rPr>
          <w:rFonts w:ascii="TimesNewRomanPSMT" w:hAnsi="TimesNewRomanPSMT" w:cs="TimesNewRomanPSMT"/>
          <w:lang w:eastAsia="es-CO"/>
        </w:rPr>
        <w:lastRenderedPageBreak/>
        <w:t>de Hymer, centrada en los mercados imperfectos, y la teoría de la internalización de Coase y Hymer, refuerzan la idea de que una ZF en Aguachica podría permitir la reducción de costos transaccionales, generando un entorno más competitivo y favorable para las empresas.</w:t>
      </w:r>
    </w:p>
    <w:p w14:paraId="4AC9076F" w14:textId="6984E0FA" w:rsidR="00C56C42" w:rsidRDefault="00C56C42" w:rsidP="00C56C42">
      <w:pPr>
        <w:widowControl w:val="0"/>
        <w:spacing w:line="480" w:lineRule="auto"/>
        <w:rPr>
          <w:rFonts w:ascii="TimesNewRomanPSMT" w:hAnsi="TimesNewRomanPSMT" w:cs="TimesNewRomanPSMT"/>
          <w:lang w:eastAsia="es-CO"/>
        </w:rPr>
      </w:pPr>
      <w:r w:rsidRPr="00C56C42">
        <w:rPr>
          <w:rFonts w:ascii="TimesNewRomanPSMT" w:hAnsi="TimesNewRomanPSMT" w:cs="TimesNewRomanPSMT"/>
          <w:lang w:eastAsia="es-CO"/>
        </w:rPr>
        <w:t>Por otro lado, la teoría de redes señala la importancia de las conexiones empresariales para el éxito de los proyectos internacionales, sugiriendo que Aguachica podría beneficiarse de una ZF mediante la integración con redes globales y locales, potenciando la interacción entre empresas, clientes y autoridades. Finalmente, el modelo Heckscher-Ohlin y la teoría de las ventajas comparativas de Ricardo enfatizan que Aguachica podría centrarse en sectores donde tenga ventajas relativas, incentivando la producción y exportación en aquellos bienes que utilicen intensivamente sus recursos abundantes.</w:t>
      </w:r>
    </w:p>
    <w:p w14:paraId="34C70C3F" w14:textId="77777777" w:rsidR="00327237" w:rsidRDefault="00327237" w:rsidP="00C56C42">
      <w:pPr>
        <w:widowControl w:val="0"/>
        <w:spacing w:line="480" w:lineRule="auto"/>
        <w:rPr>
          <w:rFonts w:ascii="TimesNewRomanPSMT" w:hAnsi="TimesNewRomanPSMT" w:cs="TimesNewRomanPSMT"/>
          <w:lang w:eastAsia="es-CO"/>
        </w:rPr>
      </w:pPr>
      <w:r>
        <w:rPr>
          <w:rFonts w:ascii="TimesNewRomanPSMT" w:hAnsi="TimesNewRomanPSMT" w:cs="TimesNewRomanPSMT"/>
          <w:lang w:eastAsia="es-CO"/>
        </w:rPr>
        <w:t>Es válido resaltar, que e</w:t>
      </w:r>
      <w:r w:rsidRPr="00327237">
        <w:rPr>
          <w:rFonts w:ascii="TimesNewRomanPSMT" w:hAnsi="TimesNewRomanPSMT" w:cs="TimesNewRomanPSMT"/>
          <w:lang w:eastAsia="es-CO"/>
        </w:rPr>
        <w:t>l marco teórico de este estudio se fundamenta en teorías económicas como el modelo OLI de Dunning y la teoría de las ventajas competitivas de Porter, cuya conexión con el contexto de Aguachica resulta crucial para su aplicabilidad. El modelo OLI, que combina ventajas de propiedad, localización e internalización, encuentra en Aguachica un escenario favorable debido a su ubicación estratégica en el sur del Cesar, cercana a corredores logísticos y productivos que pueden potenciar su competitividad como nodo industrial y comercial. Las ventajas de localización, como la disponibilidad de suelo y la posibilidad de concentrar actividades productivas, pueden ser complementadas por incentivos fiscales y aduaneros propios de una Zona Franca, optimizando así costos operativos y logísticos.</w:t>
      </w:r>
    </w:p>
    <w:p w14:paraId="667B7467" w14:textId="155A0DAC" w:rsidR="00327237" w:rsidRPr="00C56C42" w:rsidRDefault="00327237" w:rsidP="00C56C42">
      <w:pPr>
        <w:widowControl w:val="0"/>
        <w:spacing w:line="480" w:lineRule="auto"/>
        <w:rPr>
          <w:rFonts w:ascii="TimesNewRomanPSMT" w:hAnsi="TimesNewRomanPSMT" w:cs="TimesNewRomanPSMT"/>
          <w:lang w:eastAsia="es-CO"/>
        </w:rPr>
      </w:pPr>
      <w:r w:rsidRPr="00327237">
        <w:rPr>
          <w:rFonts w:ascii="TimesNewRomanPSMT" w:hAnsi="TimesNewRomanPSMT" w:cs="TimesNewRomanPSMT"/>
          <w:lang w:eastAsia="es-CO"/>
        </w:rPr>
        <w:t xml:space="preserve">Asimismo, la teoría de Porter permite analizar cómo Aguachica puede fortalecerse en el mercado a través de su capacidad para generar encadenamientos productivos en sectores como la agroindustria y la manufactura ligera, que aprovechen recursos locales y creen ventajas competitivas sostenibles. Estos enfoques teóricos, al integrarse con un análisis profundo de las </w:t>
      </w:r>
      <w:r w:rsidRPr="00327237">
        <w:rPr>
          <w:rFonts w:ascii="TimesNewRomanPSMT" w:hAnsi="TimesNewRomanPSMT" w:cs="TimesNewRomanPSMT"/>
          <w:lang w:eastAsia="es-CO"/>
        </w:rPr>
        <w:lastRenderedPageBreak/>
        <w:t>condiciones locales, no solo validan la viabilidad económica de la zona franca, sino que también guían la formulación de estrategias específicas para su implementación exitosa en este territorio.</w:t>
      </w:r>
    </w:p>
    <w:p w14:paraId="17EC5C1B" w14:textId="1D2F07C4" w:rsidR="00AE6323" w:rsidRDefault="00C56C42" w:rsidP="00507E3E">
      <w:pPr>
        <w:widowControl w:val="0"/>
        <w:rPr>
          <w:rFonts w:ascii="TimesNewRomanPSMT" w:hAnsi="TimesNewRomanPSMT" w:cs="TimesNewRomanPSMT"/>
          <w:lang w:eastAsia="es-CO"/>
        </w:rPr>
      </w:pPr>
      <w:r w:rsidRPr="00C56C42">
        <w:rPr>
          <w:rFonts w:ascii="TimesNewRomanPSMT" w:hAnsi="TimesNewRomanPSMT" w:cs="TimesNewRomanPSMT"/>
          <w:lang w:eastAsia="es-CO"/>
        </w:rPr>
        <w:t>Esta convergencia teórica proporciona una base sólida para entender los factores críticos en la implementación de una ZF en Aguachica, ofreciendo un enfoque integral que abarca desde la reducción de costos hasta el fortalecimiento de redes y la competitividad regional. Estos elementos permitirán evaluar las condiciones fundamentales para la creación de una ZF en el municipio, con el fin de generar un impacto positivo y sostenible en la economía local y regional.</w:t>
      </w:r>
    </w:p>
    <w:p w14:paraId="05777819" w14:textId="77777777" w:rsidR="00507E3E" w:rsidRDefault="00507E3E" w:rsidP="00507E3E">
      <w:pPr>
        <w:widowControl w:val="0"/>
        <w:rPr>
          <w:rFonts w:ascii="TimesNewRomanPSMT" w:hAnsi="TimesNewRomanPSMT" w:cs="TimesNewRomanPSMT"/>
          <w:lang w:eastAsia="es-CO"/>
        </w:rPr>
      </w:pPr>
    </w:p>
    <w:p w14:paraId="1E26C767" w14:textId="4D153822" w:rsidR="00C95AF3" w:rsidRDefault="00F22CC6" w:rsidP="00E86045">
      <w:pPr>
        <w:pStyle w:val="Ttulo2"/>
        <w:rPr>
          <w:rStyle w:val="nfasisintenso"/>
          <w:i w:val="0"/>
          <w:iCs w:val="0"/>
          <w:color w:val="auto"/>
        </w:rPr>
      </w:pPr>
      <w:bookmarkStart w:id="27" w:name="_Toc183783029"/>
      <w:r w:rsidRPr="00E86045">
        <w:rPr>
          <w:rStyle w:val="nfasisintenso"/>
          <w:i w:val="0"/>
          <w:iCs w:val="0"/>
          <w:color w:val="auto"/>
        </w:rPr>
        <w:t>MARCO CONCEPTUA</w:t>
      </w:r>
      <w:r>
        <w:rPr>
          <w:rStyle w:val="nfasisintenso"/>
          <w:i w:val="0"/>
          <w:iCs w:val="0"/>
          <w:color w:val="auto"/>
        </w:rPr>
        <w:t>L</w:t>
      </w:r>
      <w:bookmarkEnd w:id="27"/>
    </w:p>
    <w:p w14:paraId="31C1355F" w14:textId="77777777" w:rsidR="00507E3E" w:rsidRPr="00507E3E" w:rsidRDefault="00507E3E" w:rsidP="00507E3E"/>
    <w:p w14:paraId="02CC8CF4"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Con el fin de contextualizar el objeto de estudio y darle aplicabilidad para medir el nivel de competitividad de las zonas francas permanentes, se procede a definir que son estas, su división, usuarios, que es competitividad, tipos de ventaja competitiva y se hace referencia a algunos modelos teóricos. </w:t>
      </w:r>
    </w:p>
    <w:p w14:paraId="7C481ADE" w14:textId="77777777" w:rsidR="00AE6323" w:rsidRPr="00AE6323" w:rsidRDefault="00AE6323" w:rsidP="0015136C">
      <w:pPr>
        <w:autoSpaceDE w:val="0"/>
        <w:autoSpaceDN w:val="0"/>
        <w:adjustRightInd w:val="0"/>
        <w:spacing w:line="480" w:lineRule="auto"/>
        <w:ind w:firstLine="720"/>
        <w:rPr>
          <w:rFonts w:cs="Times New Roman"/>
          <w:b/>
          <w:bCs/>
          <w:lang w:eastAsia="es-CO"/>
        </w:rPr>
      </w:pPr>
      <w:r w:rsidRPr="00AE6323">
        <w:rPr>
          <w:rFonts w:cs="Times New Roman"/>
          <w:b/>
          <w:bCs/>
          <w:lang w:eastAsia="es-CO"/>
        </w:rPr>
        <w:t>Zona Franca.</w:t>
      </w:r>
    </w:p>
    <w:p w14:paraId="753BB99F"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Según Londoño y Gálvez (2016) la ZF se define como un área delimitada dentro del territorio nacional donde se desarrollan actividades industriales de bienes y servicios, o actividades comerciales, bajo una normatividad especial en materia tributaria, aduanera, y de comercio exterior. No obstante, las mercancías ingresadas a este sector se consideran fuera del territorio aduanero nacional para efectos de impuestos en exportaciones e importaciones.</w:t>
      </w:r>
    </w:p>
    <w:p w14:paraId="0F4D0D2A"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De otro modo su finalidad es ser instrumento de gran impacto para la creación de empleo y captación de nuevas inversiones de capital, ser un sector con un componente clave es decir que promueva la competitividad en la región, en donde se desarrollen procesos industriales altamente </w:t>
      </w:r>
      <w:r w:rsidRPr="00AE6323">
        <w:rPr>
          <w:rFonts w:cs="Times New Roman"/>
          <w:lang w:eastAsia="es-CO"/>
        </w:rPr>
        <w:lastRenderedPageBreak/>
        <w:t>productivos y eficientes bajo los conceptos de seguridad, trasparencia, tecnología, producción limitada, y buenas prácticas empresariales. Además, facilita la venta</w:t>
      </w:r>
    </w:p>
    <w:p w14:paraId="19FEB63D" w14:textId="21D3AAE8"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simplificando procedimientos de comercio de bienes y servicios Zapata </w:t>
      </w:r>
      <w:r w:rsidR="00E86045">
        <w:rPr>
          <w:rFonts w:cs="Times New Roman"/>
          <w:lang w:eastAsia="es-CO"/>
        </w:rPr>
        <w:t>(</w:t>
      </w:r>
      <w:r w:rsidRPr="00AE6323">
        <w:rPr>
          <w:rFonts w:cs="Times New Roman"/>
          <w:lang w:eastAsia="es-CO"/>
        </w:rPr>
        <w:t xml:space="preserve">2012) </w:t>
      </w:r>
    </w:p>
    <w:p w14:paraId="5BA1FB8E" w14:textId="505055A1" w:rsidR="00AE6323" w:rsidRDefault="00AE6323" w:rsidP="0015136C">
      <w:pPr>
        <w:autoSpaceDE w:val="0"/>
        <w:autoSpaceDN w:val="0"/>
        <w:adjustRightInd w:val="0"/>
        <w:spacing w:line="480" w:lineRule="auto"/>
        <w:ind w:firstLine="720"/>
        <w:rPr>
          <w:rFonts w:cs="Times New Roman"/>
          <w:lang w:eastAsia="es-CO"/>
        </w:rPr>
      </w:pPr>
      <w:r w:rsidRPr="00AE6323">
        <w:rPr>
          <w:rFonts w:cs="Times New Roman"/>
        </w:rPr>
        <w:t>Según la ley 1004 de 2005 define la</w:t>
      </w:r>
      <w:r w:rsidRPr="00AE6323">
        <w:rPr>
          <w:rFonts w:cs="Times New Roman"/>
          <w:b/>
          <w:bCs/>
          <w:i/>
          <w:iCs/>
          <w:lang w:eastAsia="es-CO"/>
        </w:rPr>
        <w:t xml:space="preserve"> </w:t>
      </w:r>
      <w:r w:rsidRPr="00AE6323">
        <w:rPr>
          <w:rFonts w:cs="Times New Roman"/>
          <w:lang w:eastAsia="es-CO"/>
        </w:rPr>
        <w:t>ZF es el área geográfica delimitada dentro del territorio nacional, en donde se desarrollan actividades industriales de bienes y de servicios, o actividades comerciales, bajo una Normatividad especial en Materia Tributaria,</w:t>
      </w:r>
    </w:p>
    <w:p w14:paraId="34F1E90A" w14:textId="77777777" w:rsidR="00E86045" w:rsidRPr="00AE6323" w:rsidRDefault="00E86045" w:rsidP="00507E3E">
      <w:pPr>
        <w:autoSpaceDE w:val="0"/>
        <w:autoSpaceDN w:val="0"/>
        <w:adjustRightInd w:val="0"/>
        <w:ind w:firstLine="720"/>
        <w:rPr>
          <w:rFonts w:cs="Times New Roman"/>
          <w:lang w:eastAsia="es-CO"/>
        </w:rPr>
      </w:pPr>
    </w:p>
    <w:p w14:paraId="703C55AB" w14:textId="77777777" w:rsidR="00AE6323" w:rsidRDefault="00AE6323" w:rsidP="0015136C">
      <w:pPr>
        <w:autoSpaceDE w:val="0"/>
        <w:autoSpaceDN w:val="0"/>
        <w:adjustRightInd w:val="0"/>
        <w:spacing w:line="480" w:lineRule="auto"/>
        <w:ind w:firstLine="720"/>
        <w:rPr>
          <w:rFonts w:cs="Times New Roman"/>
          <w:b/>
          <w:bCs/>
          <w:lang w:eastAsia="es-CO"/>
        </w:rPr>
      </w:pPr>
      <w:r w:rsidRPr="00E86045">
        <w:rPr>
          <w:rFonts w:cs="Times New Roman"/>
          <w:b/>
          <w:bCs/>
          <w:lang w:eastAsia="es-CO"/>
        </w:rPr>
        <w:t>Aduanera y de Comercio Exterior.</w:t>
      </w:r>
    </w:p>
    <w:p w14:paraId="62BC8846" w14:textId="77777777" w:rsidR="00507E3E" w:rsidRPr="00E86045" w:rsidRDefault="00507E3E" w:rsidP="0015136C">
      <w:pPr>
        <w:autoSpaceDE w:val="0"/>
        <w:autoSpaceDN w:val="0"/>
        <w:adjustRightInd w:val="0"/>
        <w:spacing w:line="480" w:lineRule="auto"/>
        <w:ind w:firstLine="720"/>
        <w:rPr>
          <w:rFonts w:cs="Times New Roman"/>
          <w:b/>
          <w:bCs/>
          <w:lang w:eastAsia="es-CO"/>
        </w:rPr>
      </w:pPr>
    </w:p>
    <w:p w14:paraId="55AF6E37"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De acuerdo a lo descrito por Chacón y Arias (2016) las mercancías ingresadas en estas zonas se consideran fuera del Territorio Aduanero Nacional para efectos de los Impuestos a las Importaciones y a las Exportaciones; mencionan además los tipos de ZF de la siguiente manera: </w:t>
      </w:r>
    </w:p>
    <w:p w14:paraId="46241FCD" w14:textId="1AAAB43A" w:rsidR="00AE6323" w:rsidRPr="00AE6323" w:rsidRDefault="00AE6323" w:rsidP="0015136C">
      <w:pPr>
        <w:autoSpaceDE w:val="0"/>
        <w:autoSpaceDN w:val="0"/>
        <w:adjustRightInd w:val="0"/>
        <w:spacing w:line="480" w:lineRule="auto"/>
        <w:ind w:firstLine="720"/>
        <w:rPr>
          <w:rFonts w:cs="Times New Roman"/>
          <w:b/>
          <w:bCs/>
          <w:i/>
          <w:iCs/>
          <w:lang w:eastAsia="es-CO"/>
        </w:rPr>
      </w:pPr>
      <w:r w:rsidRPr="00AE6323">
        <w:rPr>
          <w:rFonts w:cs="Times New Roman"/>
          <w:b/>
          <w:bCs/>
          <w:lang w:eastAsia="es-CO"/>
        </w:rPr>
        <w:t>Tipos De Zonas Francas</w:t>
      </w:r>
    </w:p>
    <w:p w14:paraId="72E4E3EB" w14:textId="56CC638D" w:rsidR="00AE6323" w:rsidRPr="00085A80" w:rsidRDefault="00AE6323" w:rsidP="00085A80">
      <w:pPr>
        <w:pStyle w:val="Prrafodelista"/>
        <w:numPr>
          <w:ilvl w:val="0"/>
          <w:numId w:val="28"/>
        </w:numPr>
        <w:autoSpaceDE w:val="0"/>
        <w:autoSpaceDN w:val="0"/>
        <w:adjustRightInd w:val="0"/>
        <w:spacing w:line="480" w:lineRule="auto"/>
        <w:rPr>
          <w:rFonts w:ascii="Times New Roman" w:hAnsi="Times New Roman"/>
          <w:b/>
          <w:bCs/>
          <w:lang w:eastAsia="es-CO"/>
        </w:rPr>
      </w:pPr>
      <w:r w:rsidRPr="00085A80">
        <w:rPr>
          <w:rFonts w:ascii="Times New Roman" w:hAnsi="Times New Roman"/>
          <w:b/>
          <w:bCs/>
          <w:lang w:eastAsia="es-CO"/>
        </w:rPr>
        <w:t>Zona Franca Permanente</w:t>
      </w:r>
    </w:p>
    <w:p w14:paraId="5208B684"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Es un área en la que se instalan múltiples empresas que gozan de un tratamiento tributario y aduanero especial y que es administrada por un usuario operador. Uno de sus requisitos primordiales es que tenga un área mínima de extensión continua no inferior a 20 hectáreas; debe tener las condiciones necesarias para ser dotada de infraestructura para las actividades industriales, comerciales o de servicios y a su vez las empresas que se encuentren dentro de la Zona Franca se les denominaran usuarios.</w:t>
      </w:r>
    </w:p>
    <w:p w14:paraId="334EC171" w14:textId="370A9E24" w:rsidR="00AE6323" w:rsidRPr="00085A80" w:rsidRDefault="00AE6323" w:rsidP="00085A80">
      <w:pPr>
        <w:pStyle w:val="Prrafodelista"/>
        <w:numPr>
          <w:ilvl w:val="0"/>
          <w:numId w:val="28"/>
        </w:numPr>
        <w:autoSpaceDE w:val="0"/>
        <w:autoSpaceDN w:val="0"/>
        <w:adjustRightInd w:val="0"/>
        <w:spacing w:line="480" w:lineRule="auto"/>
        <w:rPr>
          <w:rFonts w:ascii="Times New Roman" w:hAnsi="Times New Roman"/>
          <w:b/>
          <w:bCs/>
          <w:lang w:eastAsia="es-CO"/>
        </w:rPr>
      </w:pPr>
      <w:r w:rsidRPr="00085A80">
        <w:rPr>
          <w:rFonts w:ascii="Times New Roman" w:hAnsi="Times New Roman"/>
          <w:b/>
          <w:bCs/>
          <w:lang w:eastAsia="es-CO"/>
        </w:rPr>
        <w:t>Zona Franca Permanente Especial</w:t>
      </w:r>
    </w:p>
    <w:p w14:paraId="6F5FDD92"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lastRenderedPageBreak/>
        <w:t>Puede ser Uniempresarial. El decreto contempla la posibilidad de que se declare Zona Franca Permanente Especial, el territorio ocupado por sociedades ya creadas que están desarrollando actividades que generen un impacto positivo en</w:t>
      </w:r>
    </w:p>
    <w:p w14:paraId="4BC41BDB"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reconversión industrial y tecnológica. Sin embargo, el requisito del área mínima no se aplica, esta puede encontrarse dentro del Parque Franco o fuera del mismo. Cuando se refiere a “Uniempresarial” es que se autoriza que una sola empresa desarrolle actividades industriales de servicios, agroindustria o bienes en un área determinada, en cualquier parte del país. Dentro de las Zonas Francas Permanentes Especiales se encuentran: los Usuarios de Bienes (Sectoriales), Servicios, Agroindustriales, Portuarias y Aeroportuarias.</w:t>
      </w:r>
    </w:p>
    <w:p w14:paraId="3D6D771A" w14:textId="77777777" w:rsidR="00AE6323" w:rsidRPr="00085A80" w:rsidRDefault="00AE6323" w:rsidP="00085A80">
      <w:pPr>
        <w:pStyle w:val="Prrafodelista"/>
        <w:numPr>
          <w:ilvl w:val="0"/>
          <w:numId w:val="28"/>
        </w:numPr>
        <w:autoSpaceDE w:val="0"/>
        <w:autoSpaceDN w:val="0"/>
        <w:adjustRightInd w:val="0"/>
        <w:spacing w:line="480" w:lineRule="auto"/>
        <w:rPr>
          <w:rFonts w:ascii="Times New Roman" w:hAnsi="Times New Roman"/>
          <w:b/>
          <w:bCs/>
          <w:lang w:eastAsia="es-CO"/>
        </w:rPr>
      </w:pPr>
      <w:r w:rsidRPr="00085A80">
        <w:rPr>
          <w:rFonts w:ascii="Times New Roman" w:hAnsi="Times New Roman"/>
          <w:b/>
          <w:bCs/>
          <w:lang w:eastAsia="es-CO"/>
        </w:rPr>
        <w:t>Zonas Francas Transitorias</w:t>
      </w:r>
    </w:p>
    <w:p w14:paraId="2B7EF26B"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Son áreas delimitadas del territorio nacional donde se celebran ferias y eventos internacionales de importancia para la economía. La compone un usuario de zona franca transitoria y el expositor</w:t>
      </w:r>
    </w:p>
    <w:p w14:paraId="4026C1C5" w14:textId="5E87BBFE"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Así mismo, el Régimen establece que la Zona Franca tiene como finalidad Rojas y Gómez</w:t>
      </w:r>
      <w:r w:rsidR="00085A80">
        <w:rPr>
          <w:rFonts w:cs="Times New Roman"/>
          <w:lang w:eastAsia="es-CO"/>
        </w:rPr>
        <w:t xml:space="preserve"> (</w:t>
      </w:r>
      <w:r w:rsidRPr="00AE6323">
        <w:rPr>
          <w:rFonts w:cs="Times New Roman"/>
          <w:lang w:eastAsia="es-CO"/>
        </w:rPr>
        <w:t xml:space="preserve">2021) </w:t>
      </w:r>
    </w:p>
    <w:p w14:paraId="29E486AC" w14:textId="77777777" w:rsidR="00AE6323" w:rsidRPr="00AE6323" w:rsidRDefault="00AE6323" w:rsidP="0015136C">
      <w:pPr>
        <w:autoSpaceDE w:val="0"/>
        <w:autoSpaceDN w:val="0"/>
        <w:adjustRightInd w:val="0"/>
        <w:spacing w:line="480" w:lineRule="auto"/>
        <w:ind w:firstLine="720"/>
        <w:rPr>
          <w:rFonts w:cs="Times New Roman"/>
          <w:b/>
          <w:bCs/>
          <w:lang w:eastAsia="es-CO"/>
        </w:rPr>
      </w:pPr>
      <w:r w:rsidRPr="00AE6323">
        <w:rPr>
          <w:rFonts w:cs="Times New Roman"/>
          <w:b/>
          <w:bCs/>
          <w:lang w:eastAsia="es-CO"/>
        </w:rPr>
        <w:t>Finalidad de las zonas francas:</w:t>
      </w:r>
    </w:p>
    <w:p w14:paraId="3F0F41BC" w14:textId="77777777" w:rsidR="00AE6323" w:rsidRPr="00AE6323" w:rsidRDefault="00AE6323" w:rsidP="0015136C">
      <w:pPr>
        <w:pStyle w:val="Prrafodelista"/>
        <w:numPr>
          <w:ilvl w:val="0"/>
          <w:numId w:val="1"/>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Ser instrumento para la creación de empleo y para la captación de nuevas inversiones de capital.</w:t>
      </w:r>
    </w:p>
    <w:p w14:paraId="4759AD8D" w14:textId="77777777" w:rsidR="00AE6323" w:rsidRPr="00AE6323" w:rsidRDefault="00AE6323" w:rsidP="0015136C">
      <w:pPr>
        <w:pStyle w:val="Prrafodelista"/>
        <w:numPr>
          <w:ilvl w:val="0"/>
          <w:numId w:val="1"/>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Ser un polo de desarrollo que promueva la competitividad en las regiones donde se establezca.</w:t>
      </w:r>
    </w:p>
    <w:p w14:paraId="5663D569" w14:textId="77777777" w:rsidR="00AE6323" w:rsidRPr="00AE6323" w:rsidRDefault="00AE6323" w:rsidP="0015136C">
      <w:pPr>
        <w:pStyle w:val="Prrafodelista"/>
        <w:numPr>
          <w:ilvl w:val="0"/>
          <w:numId w:val="1"/>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Desarrollar procesos industriales altamente productivos y competitivos, bajo los conceptos de seguridad, transparencia, tecnología, producción limpia, y buenas prácticas empresariales.</w:t>
      </w:r>
    </w:p>
    <w:p w14:paraId="4EFEF928" w14:textId="77777777" w:rsidR="00AE6323" w:rsidRPr="00AE6323" w:rsidRDefault="00AE6323" w:rsidP="0015136C">
      <w:pPr>
        <w:pStyle w:val="Prrafodelista"/>
        <w:numPr>
          <w:ilvl w:val="0"/>
          <w:numId w:val="1"/>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lastRenderedPageBreak/>
        <w:t>Promover la generación de economías de escala.</w:t>
      </w:r>
    </w:p>
    <w:p w14:paraId="26A94F78" w14:textId="77777777" w:rsidR="00AE6323" w:rsidRPr="00AE6323" w:rsidRDefault="00AE6323" w:rsidP="0015136C">
      <w:pPr>
        <w:pStyle w:val="Prrafodelista"/>
        <w:numPr>
          <w:ilvl w:val="0"/>
          <w:numId w:val="1"/>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Simplificar los procedimientos del comercio de bienes y servicios, para facilitar su venta.</w:t>
      </w:r>
    </w:p>
    <w:p w14:paraId="485A8390" w14:textId="77777777" w:rsidR="00AE6323" w:rsidRPr="00AE6323" w:rsidRDefault="00AE6323" w:rsidP="0015136C">
      <w:pPr>
        <w:autoSpaceDE w:val="0"/>
        <w:autoSpaceDN w:val="0"/>
        <w:adjustRightInd w:val="0"/>
        <w:spacing w:line="480" w:lineRule="auto"/>
        <w:ind w:firstLine="720"/>
        <w:rPr>
          <w:rFonts w:cs="Times New Roman"/>
          <w:b/>
          <w:bCs/>
          <w:lang w:eastAsia="es-CO"/>
        </w:rPr>
      </w:pPr>
      <w:r w:rsidRPr="00AE6323">
        <w:rPr>
          <w:rFonts w:cs="Times New Roman"/>
          <w:b/>
          <w:bCs/>
          <w:lang w:eastAsia="es-CO"/>
        </w:rPr>
        <w:t>Beneficios de una zona franca:</w:t>
      </w:r>
    </w:p>
    <w:p w14:paraId="53760467"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De acuerdo a lo reportado por Trejos (2017) entre los beneficios considerados que tiene la ZF está la presunción de extraterritorialidad aduanera que tiene por objeto considerar como si estuvieran en el exterior del país, las mercancías ingresadas a las Zonas o Depósitos Francos, con el propósito de eximirlas del pago de derechos, impuestos y demás gravámenes que se perciban por las Aduanas.</w:t>
      </w:r>
    </w:p>
    <w:p w14:paraId="4BA54097" w14:textId="1843E687" w:rsidR="00AE6323" w:rsidRPr="00AE6323" w:rsidRDefault="00AE6323" w:rsidP="00085A80">
      <w:pPr>
        <w:autoSpaceDE w:val="0"/>
        <w:autoSpaceDN w:val="0"/>
        <w:adjustRightInd w:val="0"/>
        <w:spacing w:line="480" w:lineRule="auto"/>
        <w:ind w:firstLine="720"/>
        <w:rPr>
          <w:rFonts w:cs="Times New Roman"/>
          <w:lang w:eastAsia="es-CO"/>
        </w:rPr>
      </w:pPr>
      <w:r w:rsidRPr="00AE6323">
        <w:rPr>
          <w:rFonts w:cs="Times New Roman"/>
          <w:lang w:eastAsia="es-CO"/>
        </w:rPr>
        <w:t>Este beneficio está dirigido a las Sociedades Administradoras de Zonas Francas y a los Usuarios que se instalen dentro de los recintos de Zona Franca.</w:t>
      </w:r>
    </w:p>
    <w:p w14:paraId="3B289AB7" w14:textId="77777777" w:rsidR="00507E3E" w:rsidRDefault="00AE6323" w:rsidP="00085A80">
      <w:pPr>
        <w:spacing w:line="480" w:lineRule="auto"/>
        <w:ind w:firstLine="720"/>
        <w:rPr>
          <w:rFonts w:cs="Times New Roman"/>
          <w:color w:val="000000" w:themeColor="text1"/>
          <w:shd w:val="clear" w:color="auto" w:fill="FFFFFF"/>
        </w:rPr>
      </w:pPr>
      <w:r w:rsidRPr="00AE6323">
        <w:rPr>
          <w:rFonts w:cs="Times New Roman"/>
          <w:color w:val="000000" w:themeColor="text1"/>
          <w:shd w:val="clear" w:color="auto" w:fill="FFFFFF"/>
        </w:rPr>
        <w:t xml:space="preserve">Desde el Ministerio </w:t>
      </w:r>
      <w:r w:rsidRPr="00AE6323">
        <w:rPr>
          <w:rFonts w:cs="Times New Roman"/>
          <w:bCs/>
          <w:lang w:val="es-ES" w:eastAsia="zh-CN" w:bidi="hi-IN"/>
        </w:rPr>
        <w:t>de Comercio, Industria y Turismo</w:t>
      </w:r>
      <w:r w:rsidRPr="00AE6323">
        <w:rPr>
          <w:rFonts w:cs="Times New Roman"/>
          <w:color w:val="000000" w:themeColor="text1"/>
          <w:shd w:val="clear" w:color="auto" w:fill="FFFFFF"/>
        </w:rPr>
        <w:t>, el régimen de zonas francas tiene los siguientes beneficios tributarios, aduaneros y de comercio exterior</w:t>
      </w:r>
      <w:r w:rsidR="00085A80">
        <w:rPr>
          <w:rFonts w:cs="Times New Roman"/>
          <w:color w:val="000000" w:themeColor="text1"/>
          <w:shd w:val="clear" w:color="auto" w:fill="FFFFFF"/>
        </w:rPr>
        <w:t>.</w:t>
      </w:r>
    </w:p>
    <w:p w14:paraId="4F312AF0" w14:textId="1FC425AA" w:rsidR="00AE6323" w:rsidRPr="00AE6323" w:rsidRDefault="00AE6323" w:rsidP="00085A80">
      <w:pPr>
        <w:spacing w:line="480" w:lineRule="auto"/>
        <w:ind w:firstLine="720"/>
        <w:rPr>
          <w:rFonts w:cs="Times New Roman"/>
          <w:color w:val="000000" w:themeColor="text1"/>
          <w:shd w:val="clear" w:color="auto" w:fill="FFFFFF"/>
        </w:rPr>
      </w:pPr>
      <w:r w:rsidRPr="00AE6323">
        <w:rPr>
          <w:rFonts w:cs="Times New Roman"/>
          <w:color w:val="000000" w:themeColor="text1"/>
        </w:rPr>
        <w:br/>
      </w:r>
      <w:r w:rsidRPr="00AE6323">
        <w:rPr>
          <w:rStyle w:val="Textoennegrita"/>
          <w:rFonts w:cs="Times New Roman"/>
          <w:color w:val="000000" w:themeColor="text1"/>
          <w:shd w:val="clear" w:color="auto" w:fill="FFFFFF"/>
        </w:rPr>
        <w:t>Tributarios:</w:t>
      </w:r>
    </w:p>
    <w:p w14:paraId="2C4907B7" w14:textId="77777777" w:rsidR="00AE6323" w:rsidRPr="00AE6323" w:rsidRDefault="00AE6323" w:rsidP="0015136C">
      <w:pPr>
        <w:numPr>
          <w:ilvl w:val="0"/>
          <w:numId w:val="4"/>
        </w:numPr>
        <w:shd w:val="clear" w:color="auto" w:fill="FFFFFF"/>
        <w:spacing w:before="100" w:beforeAutospacing="1" w:after="100" w:afterAutospacing="1" w:line="480" w:lineRule="auto"/>
        <w:ind w:firstLine="720"/>
        <w:rPr>
          <w:rFonts w:cs="Times New Roman"/>
          <w:color w:val="000000" w:themeColor="text1"/>
        </w:rPr>
      </w:pPr>
      <w:r w:rsidRPr="00AE6323">
        <w:rPr>
          <w:rFonts w:cs="Times New Roman"/>
          <w:color w:val="000000" w:themeColor="text1"/>
        </w:rPr>
        <w:t>Tarifa única del impuesto sobre la renta del 20%</w:t>
      </w:r>
    </w:p>
    <w:p w14:paraId="75C4CD34" w14:textId="77777777" w:rsidR="00507E3E" w:rsidRPr="00507E3E" w:rsidRDefault="00AE6323" w:rsidP="0015136C">
      <w:pPr>
        <w:numPr>
          <w:ilvl w:val="0"/>
          <w:numId w:val="4"/>
        </w:numPr>
        <w:shd w:val="clear" w:color="auto" w:fill="FFFFFF"/>
        <w:spacing w:before="100" w:beforeAutospacing="1" w:after="100" w:afterAutospacing="1" w:line="480" w:lineRule="auto"/>
        <w:ind w:firstLine="720"/>
        <w:rPr>
          <w:rStyle w:val="Textoennegrita"/>
          <w:rFonts w:cs="Times New Roman"/>
          <w:b w:val="0"/>
          <w:bCs w:val="0"/>
          <w:color w:val="000000" w:themeColor="text1"/>
        </w:rPr>
      </w:pPr>
      <w:r w:rsidRPr="00AE6323">
        <w:rPr>
          <w:rFonts w:cs="Times New Roman"/>
          <w:color w:val="000000" w:themeColor="text1"/>
        </w:rPr>
        <w:t>Las compras de materias primas, partes insumos y bienes terminados que realicen los usuarios de zonas francas a proveedores en el territorio aduanero nacional y entre usuarios de zonas francas, siempre que los mismos sean necesarios para el desarrollo del objeto social de estos usuarios están exentas de IVA.</w:t>
      </w:r>
      <w:r w:rsidRPr="00AE6323">
        <w:rPr>
          <w:rFonts w:cs="Times New Roman"/>
          <w:color w:val="000000" w:themeColor="text1"/>
        </w:rPr>
        <w:br/>
      </w:r>
    </w:p>
    <w:p w14:paraId="08B9B8BF" w14:textId="1A0133B0" w:rsidR="00AE6323" w:rsidRPr="00AE6323" w:rsidRDefault="00AE6323" w:rsidP="00507E3E">
      <w:pPr>
        <w:shd w:val="clear" w:color="auto" w:fill="FFFFFF"/>
        <w:spacing w:before="100" w:beforeAutospacing="1" w:after="100" w:afterAutospacing="1" w:line="480" w:lineRule="auto"/>
        <w:ind w:left="720" w:firstLine="0"/>
        <w:rPr>
          <w:rFonts w:cs="Times New Roman"/>
          <w:color w:val="000000" w:themeColor="text1"/>
        </w:rPr>
      </w:pPr>
      <w:r w:rsidRPr="00AE6323">
        <w:rPr>
          <w:rStyle w:val="Textoennegrita"/>
          <w:rFonts w:cs="Times New Roman"/>
          <w:color w:val="000000" w:themeColor="text1"/>
          <w:shd w:val="clear" w:color="auto" w:fill="FFFFFF"/>
        </w:rPr>
        <w:t>Aduaneros:</w:t>
      </w:r>
    </w:p>
    <w:p w14:paraId="42E5B3AA" w14:textId="77777777" w:rsidR="00507E3E" w:rsidRPr="00507E3E" w:rsidRDefault="00AE6323" w:rsidP="0015136C">
      <w:pPr>
        <w:numPr>
          <w:ilvl w:val="0"/>
          <w:numId w:val="5"/>
        </w:numPr>
        <w:shd w:val="clear" w:color="auto" w:fill="FFFFFF"/>
        <w:spacing w:before="100" w:beforeAutospacing="1" w:after="100" w:afterAutospacing="1" w:line="480" w:lineRule="auto"/>
        <w:ind w:firstLine="720"/>
        <w:rPr>
          <w:rStyle w:val="Textoennegrita"/>
          <w:rFonts w:cs="Times New Roman"/>
          <w:b w:val="0"/>
          <w:bCs w:val="0"/>
          <w:color w:val="000000" w:themeColor="text1"/>
        </w:rPr>
      </w:pPr>
      <w:r w:rsidRPr="00AE6323">
        <w:rPr>
          <w:rFonts w:cs="Times New Roman"/>
          <w:color w:val="000000" w:themeColor="text1"/>
        </w:rPr>
        <w:lastRenderedPageBreak/>
        <w:t>Exención del pago de los tributos aduaneros (arancel e IVA) por la introducción de bienes del exterior mientras permanezcan dentro de la zona franca</w:t>
      </w:r>
      <w:r w:rsidRPr="00AE6323">
        <w:rPr>
          <w:rFonts w:cs="Times New Roman"/>
          <w:color w:val="000000" w:themeColor="text1"/>
        </w:rPr>
        <w:br/>
      </w:r>
    </w:p>
    <w:p w14:paraId="57F132E1" w14:textId="012A507C" w:rsidR="00AE6323" w:rsidRPr="00AE6323" w:rsidRDefault="00AE6323" w:rsidP="00507E3E">
      <w:pPr>
        <w:shd w:val="clear" w:color="auto" w:fill="FFFFFF"/>
        <w:spacing w:before="100" w:beforeAutospacing="1" w:after="100" w:afterAutospacing="1" w:line="480" w:lineRule="auto"/>
        <w:ind w:left="720" w:firstLine="0"/>
        <w:rPr>
          <w:rFonts w:cs="Times New Roman"/>
          <w:color w:val="000000" w:themeColor="text1"/>
        </w:rPr>
      </w:pPr>
      <w:r w:rsidRPr="00AE6323">
        <w:rPr>
          <w:rStyle w:val="Textoennegrita"/>
          <w:rFonts w:cs="Times New Roman"/>
          <w:color w:val="000000" w:themeColor="text1"/>
          <w:shd w:val="clear" w:color="auto" w:fill="FFFFFF"/>
        </w:rPr>
        <w:t>Comercio exterior:</w:t>
      </w:r>
    </w:p>
    <w:p w14:paraId="5B39C41E" w14:textId="77777777" w:rsidR="00AE6323" w:rsidRPr="00AE6323" w:rsidRDefault="00AE6323" w:rsidP="0015136C">
      <w:pPr>
        <w:numPr>
          <w:ilvl w:val="0"/>
          <w:numId w:val="6"/>
        </w:numPr>
        <w:shd w:val="clear" w:color="auto" w:fill="FFFFFF"/>
        <w:spacing w:before="100" w:beforeAutospacing="1" w:after="100" w:afterAutospacing="1" w:line="480" w:lineRule="auto"/>
        <w:ind w:firstLine="720"/>
        <w:rPr>
          <w:rFonts w:cs="Times New Roman"/>
          <w:color w:val="000000" w:themeColor="text1"/>
        </w:rPr>
      </w:pPr>
      <w:r w:rsidRPr="00AE6323">
        <w:rPr>
          <w:rFonts w:cs="Times New Roman"/>
          <w:color w:val="000000" w:themeColor="text1"/>
        </w:rPr>
        <w:t>Los bienes procedentes del exterior se introducen a la zona franca y no se consideran una importación con tal de que estén consignados a favor de un usuario en el documento de transporte.</w:t>
      </w:r>
    </w:p>
    <w:p w14:paraId="52259FB2" w14:textId="77777777" w:rsidR="00AE6323" w:rsidRPr="00AE6323" w:rsidRDefault="00AE6323" w:rsidP="0015136C">
      <w:pPr>
        <w:numPr>
          <w:ilvl w:val="0"/>
          <w:numId w:val="6"/>
        </w:numPr>
        <w:shd w:val="clear" w:color="auto" w:fill="FFFFFF"/>
        <w:spacing w:before="100" w:beforeAutospacing="1" w:after="100" w:afterAutospacing="1" w:line="480" w:lineRule="auto"/>
        <w:ind w:firstLine="720"/>
        <w:rPr>
          <w:rFonts w:cs="Times New Roman"/>
          <w:color w:val="000000" w:themeColor="text1"/>
        </w:rPr>
      </w:pPr>
      <w:r w:rsidRPr="00AE6323">
        <w:rPr>
          <w:rFonts w:cs="Times New Roman"/>
          <w:color w:val="000000" w:themeColor="text1"/>
        </w:rPr>
        <w:t>Las operaciones de exportación se autorizan por el usuario operador; no se requiere autorización de embarque ni declaración de exportación.</w:t>
      </w:r>
    </w:p>
    <w:p w14:paraId="086C3F9E" w14:textId="77777777" w:rsidR="00AE6323" w:rsidRPr="00AE6323" w:rsidRDefault="00AE6323" w:rsidP="0015136C">
      <w:pPr>
        <w:numPr>
          <w:ilvl w:val="0"/>
          <w:numId w:val="6"/>
        </w:numPr>
        <w:shd w:val="clear" w:color="auto" w:fill="FFFFFF"/>
        <w:spacing w:before="100" w:beforeAutospacing="1" w:after="100" w:afterAutospacing="1" w:line="480" w:lineRule="auto"/>
        <w:ind w:firstLine="720"/>
        <w:rPr>
          <w:rFonts w:cs="Times New Roman"/>
          <w:color w:val="000000" w:themeColor="text1"/>
        </w:rPr>
      </w:pPr>
      <w:r w:rsidRPr="00AE6323">
        <w:rPr>
          <w:rFonts w:cs="Times New Roman"/>
          <w:color w:val="000000" w:themeColor="text1"/>
        </w:rPr>
        <w:t>Posibilidad de retirar temporalmente las materias primas para procesamiento parcial fuera de la zona franca.</w:t>
      </w:r>
    </w:p>
    <w:p w14:paraId="3BD13C9B" w14:textId="77777777" w:rsidR="00AE6323" w:rsidRPr="00AE6323" w:rsidRDefault="00AE6323" w:rsidP="0015136C">
      <w:pPr>
        <w:numPr>
          <w:ilvl w:val="0"/>
          <w:numId w:val="6"/>
        </w:numPr>
        <w:shd w:val="clear" w:color="auto" w:fill="FFFFFF"/>
        <w:spacing w:before="100" w:beforeAutospacing="1" w:after="100" w:afterAutospacing="1" w:line="480" w:lineRule="auto"/>
        <w:ind w:firstLine="720"/>
        <w:rPr>
          <w:rFonts w:cs="Times New Roman"/>
          <w:color w:val="000000" w:themeColor="text1"/>
        </w:rPr>
      </w:pPr>
      <w:r w:rsidRPr="00AE6323">
        <w:rPr>
          <w:rFonts w:cs="Times New Roman"/>
          <w:color w:val="000000" w:themeColor="text1"/>
        </w:rPr>
        <w:t>No se establece un tiempo máximo de permanencia para las mercancías que ingresan a la zona franca.</w:t>
      </w:r>
    </w:p>
    <w:p w14:paraId="650EE697" w14:textId="77777777" w:rsidR="00AE6323" w:rsidRPr="00AE6323" w:rsidRDefault="00AE6323" w:rsidP="0015136C">
      <w:pPr>
        <w:numPr>
          <w:ilvl w:val="0"/>
          <w:numId w:val="6"/>
        </w:numPr>
        <w:shd w:val="clear" w:color="auto" w:fill="FFFFFF"/>
        <w:spacing w:before="100" w:beforeAutospacing="1" w:after="100" w:afterAutospacing="1" w:line="480" w:lineRule="auto"/>
        <w:ind w:firstLine="720"/>
        <w:rPr>
          <w:rFonts w:cs="Times New Roman"/>
          <w:color w:val="000000" w:themeColor="text1"/>
        </w:rPr>
      </w:pPr>
      <w:r w:rsidRPr="00AE6323">
        <w:rPr>
          <w:rFonts w:cs="Times New Roman"/>
          <w:color w:val="000000" w:themeColor="text1"/>
        </w:rPr>
        <w:t>No existe restricción para la venta a terceros países y al territorio nacional de bienes o servicios producidos en zona franca.</w:t>
      </w:r>
    </w:p>
    <w:p w14:paraId="07B1185C" w14:textId="77777777" w:rsidR="00AE6323" w:rsidRPr="00AE6323" w:rsidRDefault="00AE6323" w:rsidP="0015136C">
      <w:pPr>
        <w:autoSpaceDE w:val="0"/>
        <w:autoSpaceDN w:val="0"/>
        <w:adjustRightInd w:val="0"/>
        <w:spacing w:line="480" w:lineRule="auto"/>
        <w:ind w:firstLine="720"/>
        <w:rPr>
          <w:rFonts w:cs="Times New Roman"/>
          <w:b/>
          <w:bCs/>
          <w:lang w:eastAsia="es-CO"/>
        </w:rPr>
      </w:pPr>
      <w:r w:rsidRPr="00AE6323">
        <w:rPr>
          <w:rFonts w:cs="Times New Roman"/>
          <w:b/>
          <w:bCs/>
          <w:lang w:eastAsia="es-CO"/>
        </w:rPr>
        <w:t>Usuarios de zonas francas</w:t>
      </w:r>
    </w:p>
    <w:p w14:paraId="30002B4F" w14:textId="0F1937AD"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Las Zonas Francas son administradas y dirigidas por sociedades de carácter privado denominadas usuario operador, responsables de verificar el cumplimiento de las normas de comercio exterior. Las empresas que se instalan en una Zona Franca se denominan usuarios y se clasifican de acuerdo con la actividad que desarrollan </w:t>
      </w:r>
      <w:r w:rsidR="00085A80" w:rsidRPr="00AE6323">
        <w:rPr>
          <w:rFonts w:cs="Times New Roman"/>
          <w:color w:val="222222"/>
          <w:shd w:val="clear" w:color="auto" w:fill="FFFFFF"/>
        </w:rPr>
        <w:t>Aristizábal</w:t>
      </w:r>
      <w:r w:rsidR="00085A80">
        <w:rPr>
          <w:rFonts w:cs="Times New Roman"/>
          <w:color w:val="222222"/>
          <w:shd w:val="clear" w:color="auto" w:fill="FFFFFF"/>
        </w:rPr>
        <w:t xml:space="preserve"> (</w:t>
      </w:r>
      <w:r w:rsidRPr="00AE6323">
        <w:rPr>
          <w:rFonts w:cs="Times New Roman"/>
          <w:color w:val="222222"/>
          <w:shd w:val="clear" w:color="auto" w:fill="FFFFFF"/>
        </w:rPr>
        <w:t>2009)</w:t>
      </w:r>
      <w:r w:rsidRPr="00AE6323">
        <w:rPr>
          <w:rFonts w:cs="Times New Roman"/>
          <w:lang w:eastAsia="es-CO"/>
        </w:rPr>
        <w:t>:</w:t>
      </w:r>
    </w:p>
    <w:p w14:paraId="118A3DC9" w14:textId="77777777" w:rsidR="00AE6323" w:rsidRPr="00AE6323" w:rsidRDefault="00AE6323" w:rsidP="0015136C">
      <w:pPr>
        <w:pStyle w:val="Prrafodelista"/>
        <w:numPr>
          <w:ilvl w:val="0"/>
          <w:numId w:val="2"/>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Usuario de Bienes industriales: que se encarga de producir, fabricar, transformar o ensamblar bienes en una Zona Franca y destinarlos prioritariamente a los mercados externos.</w:t>
      </w:r>
    </w:p>
    <w:p w14:paraId="7F70F174" w14:textId="77777777" w:rsidR="00AE6323" w:rsidRPr="00AE6323" w:rsidRDefault="00AE6323" w:rsidP="0015136C">
      <w:pPr>
        <w:pStyle w:val="Prrafodelista"/>
        <w:numPr>
          <w:ilvl w:val="0"/>
          <w:numId w:val="2"/>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lastRenderedPageBreak/>
        <w:t>Usuario de Servicios: el cual se constituye para prestar servicios en una Zona Franca y destinarlos, prioritariamente, a los mercados externos.</w:t>
      </w:r>
    </w:p>
    <w:p w14:paraId="1B9861EA" w14:textId="153A2A1A" w:rsidR="00AE6323" w:rsidRPr="00AE6323" w:rsidRDefault="00AE6323" w:rsidP="0015136C">
      <w:pPr>
        <w:pStyle w:val="Prrafodelista"/>
        <w:numPr>
          <w:ilvl w:val="0"/>
          <w:numId w:val="2"/>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Usuario Comercial: persona jurídica que se constituye para prestar servicios de almacenamiento, conservación, manipulación, distribución, empaque, re empaque, clasificación o limpieza de bienes destinados a los mercados externos o al mercado nacional.</w:t>
      </w:r>
    </w:p>
    <w:p w14:paraId="4F5E62B6" w14:textId="77777777" w:rsidR="00507E3E" w:rsidRDefault="00507E3E" w:rsidP="0015136C">
      <w:pPr>
        <w:autoSpaceDE w:val="0"/>
        <w:autoSpaceDN w:val="0"/>
        <w:adjustRightInd w:val="0"/>
        <w:spacing w:line="480" w:lineRule="auto"/>
        <w:ind w:firstLine="720"/>
        <w:rPr>
          <w:rFonts w:cs="Times New Roman"/>
          <w:b/>
          <w:bCs/>
          <w:lang w:eastAsia="es-CO"/>
        </w:rPr>
      </w:pPr>
    </w:p>
    <w:p w14:paraId="3FF0FEF0" w14:textId="77777777" w:rsidR="00AE6323" w:rsidRPr="00AE6323" w:rsidRDefault="00AE6323" w:rsidP="0015136C">
      <w:pPr>
        <w:autoSpaceDE w:val="0"/>
        <w:autoSpaceDN w:val="0"/>
        <w:adjustRightInd w:val="0"/>
        <w:spacing w:line="480" w:lineRule="auto"/>
        <w:ind w:firstLine="720"/>
        <w:rPr>
          <w:rFonts w:cs="Times New Roman"/>
          <w:b/>
          <w:bCs/>
          <w:lang w:eastAsia="es-CO"/>
        </w:rPr>
      </w:pPr>
      <w:r w:rsidRPr="00AE6323">
        <w:rPr>
          <w:rFonts w:cs="Times New Roman"/>
          <w:b/>
          <w:bCs/>
          <w:lang w:eastAsia="es-CO"/>
        </w:rPr>
        <w:t>Ventajas de las zonas francas:</w:t>
      </w:r>
    </w:p>
    <w:p w14:paraId="1B71081E"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 xml:space="preserve">El país anfitrión le ofrece al inversionista la posibilidad de penetrar mercados extranjeros, por cuanto ha confirmado acuerdos bilaterales o multilaterales con terceros Países que así lo permitan. </w:t>
      </w:r>
    </w:p>
    <w:p w14:paraId="5A5132F3"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Que los exportadores salgan de los mercados bajos, obligándose a entrar a mercados más sofisticados y diferenciados, donde el valor agregado, la diferenciación del producto, la calidad, el diseño, el mercado y los servicios constituyen la base competitiva.</w:t>
      </w:r>
    </w:p>
    <w:p w14:paraId="781C7C20"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Ofrecen una ubicación geográfica estratégica a lo largo del territorio nacional, pues están cerca de aeropuertos, puertos o vías terrestres que facilitan el transporte de mercancías.</w:t>
      </w:r>
    </w:p>
    <w:p w14:paraId="77D2CE62"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Agilizan y simplifican las Importaciones.</w:t>
      </w:r>
    </w:p>
    <w:p w14:paraId="6D44820E"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Los despachos y trámites son más ágiles en las salidas a Mercados Externos (Exportaciones).</w:t>
      </w:r>
    </w:p>
    <w:p w14:paraId="783E480C"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Generan empleo y atraen Inversión Extranjera.</w:t>
      </w:r>
    </w:p>
    <w:p w14:paraId="085EE308"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Ofrecen óptimos tiempos en nacionalización de productos para el Mercado Local (horas)</w:t>
      </w:r>
    </w:p>
    <w:p w14:paraId="3B386852"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Productos 100% con Integración Nacional, no requiere Nacionalización.</w:t>
      </w:r>
    </w:p>
    <w:p w14:paraId="7E06F763"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Bajos niveles de inventario y nacionalizaciones parciales.</w:t>
      </w:r>
    </w:p>
    <w:p w14:paraId="6C4D9CDB"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Mejores condiciones de Seguridad.</w:t>
      </w:r>
    </w:p>
    <w:p w14:paraId="78875C31" w14:textId="77777777"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lastRenderedPageBreak/>
        <w:t>Brindan la posibilidad de firmar Contratos de Estabilidad Jurídica con el Estado Colombiano hasta por 20 años.</w:t>
      </w:r>
    </w:p>
    <w:p w14:paraId="7BE8AD85" w14:textId="0DA548AF" w:rsidR="00AE6323" w:rsidRPr="00AE6323" w:rsidRDefault="00AE6323" w:rsidP="0015136C">
      <w:pPr>
        <w:pStyle w:val="Prrafodelista"/>
        <w:numPr>
          <w:ilvl w:val="0"/>
          <w:numId w:val="3"/>
        </w:numPr>
        <w:autoSpaceDE w:val="0"/>
        <w:autoSpaceDN w:val="0"/>
        <w:adjustRightInd w:val="0"/>
        <w:spacing w:line="480" w:lineRule="auto"/>
        <w:ind w:firstLine="720"/>
        <w:rPr>
          <w:rFonts w:ascii="Times New Roman" w:hAnsi="Times New Roman"/>
          <w:sz w:val="22"/>
          <w:szCs w:val="22"/>
          <w:lang w:eastAsia="es-CO"/>
        </w:rPr>
      </w:pPr>
      <w:r w:rsidRPr="00AE6323">
        <w:rPr>
          <w:rFonts w:ascii="Times New Roman" w:hAnsi="Times New Roman"/>
          <w:sz w:val="22"/>
          <w:szCs w:val="22"/>
          <w:lang w:eastAsia="es-CO"/>
        </w:rPr>
        <w:t>Ofrecen incentivos en materia Cambiaria, Tributaria, Aduane</w:t>
      </w:r>
      <w:r w:rsidR="00507E3E">
        <w:rPr>
          <w:rFonts w:ascii="Times New Roman" w:hAnsi="Times New Roman"/>
          <w:sz w:val="22"/>
          <w:szCs w:val="22"/>
          <w:lang w:eastAsia="es-CO"/>
        </w:rPr>
        <w:t>ro y de Comercio Exterior.</w:t>
      </w:r>
    </w:p>
    <w:p w14:paraId="18E20E29" w14:textId="77777777" w:rsidR="00507E3E" w:rsidRDefault="00507E3E" w:rsidP="0015136C">
      <w:pPr>
        <w:autoSpaceDE w:val="0"/>
        <w:autoSpaceDN w:val="0"/>
        <w:adjustRightInd w:val="0"/>
        <w:spacing w:line="480" w:lineRule="auto"/>
        <w:ind w:firstLine="720"/>
        <w:rPr>
          <w:rFonts w:cs="Times New Roman"/>
          <w:b/>
          <w:bCs/>
          <w:lang w:eastAsia="es-CO"/>
        </w:rPr>
      </w:pPr>
    </w:p>
    <w:p w14:paraId="2855D2E9" w14:textId="77777777" w:rsidR="00AE6323" w:rsidRPr="00AE6323" w:rsidRDefault="00AE6323" w:rsidP="0015136C">
      <w:pPr>
        <w:autoSpaceDE w:val="0"/>
        <w:autoSpaceDN w:val="0"/>
        <w:adjustRightInd w:val="0"/>
        <w:spacing w:line="480" w:lineRule="auto"/>
        <w:ind w:firstLine="720"/>
        <w:rPr>
          <w:rFonts w:cs="Times New Roman"/>
          <w:b/>
          <w:bCs/>
          <w:lang w:eastAsia="es-CO"/>
        </w:rPr>
      </w:pPr>
      <w:r w:rsidRPr="00AE6323">
        <w:rPr>
          <w:rFonts w:cs="Times New Roman"/>
          <w:b/>
          <w:bCs/>
          <w:lang w:eastAsia="es-CO"/>
        </w:rPr>
        <w:t>¿Qué es la competitividad?</w:t>
      </w:r>
    </w:p>
    <w:p w14:paraId="4488248D" w14:textId="3345F14B"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Para contextualizar el tema, Londoño y Gálvez (2016), expone los puntos de vista de algunos autores sobre la importancia de la competitiva en las tendencias de un mundo globalizado. Según Fiault (1991), la competitividad está asociada a la productividad de las empresas, pero en muchos casos tiende a subestimarse debido a que es un concepto gerencial ambiguo, que en ocasiones no se abarca desde todos los puntos de vista posibles, por eso el autor plantea todos los criterios y parámetros para que la competitividad se presente de una manera eficiente y con calidad, ya que este último es otro concepto que va implícito a la productividad y que apunta a la competitividad.</w:t>
      </w:r>
    </w:p>
    <w:p w14:paraId="2F94A550" w14:textId="2045406B" w:rsid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De otro lado, Scheel (2000), plantea un modelo con un enfoque hacia la competitividad denominado el CompStrat, este consiste en sumergir al lector en una diversidad de casos a nivel mundial de las empresas más exitosas y competitivas, con la particularidad de que el interesado decidirá por voluntad propia el tipo de competitividad a aplicar según las características de la organización, entre estas se tiene: Hiper competitividad, complementariedad, competitividad colaborativa, coadaptabilidad, competitividad basada en core competencies, Monitor Group, competitividad Clásica y Competitividad en la Zona de cero tiempos.</w:t>
      </w:r>
    </w:p>
    <w:p w14:paraId="1D469F24" w14:textId="77777777" w:rsidR="00507E3E" w:rsidRPr="00AE6323" w:rsidRDefault="00507E3E" w:rsidP="0015136C">
      <w:pPr>
        <w:autoSpaceDE w:val="0"/>
        <w:autoSpaceDN w:val="0"/>
        <w:adjustRightInd w:val="0"/>
        <w:spacing w:line="480" w:lineRule="auto"/>
        <w:ind w:firstLine="720"/>
        <w:rPr>
          <w:rFonts w:cs="Times New Roman"/>
          <w:lang w:eastAsia="es-CO"/>
        </w:rPr>
      </w:pPr>
    </w:p>
    <w:p w14:paraId="7496BC0F" w14:textId="77777777" w:rsidR="00AE6323" w:rsidRPr="00AE6323" w:rsidRDefault="00AE6323" w:rsidP="0015136C">
      <w:pPr>
        <w:autoSpaceDE w:val="0"/>
        <w:autoSpaceDN w:val="0"/>
        <w:adjustRightInd w:val="0"/>
        <w:spacing w:line="480" w:lineRule="auto"/>
        <w:ind w:firstLine="720"/>
        <w:rPr>
          <w:rFonts w:cs="Times New Roman"/>
          <w:b/>
          <w:bCs/>
          <w:lang w:eastAsia="es-CO"/>
        </w:rPr>
      </w:pPr>
      <w:r w:rsidRPr="00AE6323">
        <w:rPr>
          <w:rFonts w:cs="Times New Roman"/>
          <w:b/>
          <w:bCs/>
          <w:lang w:eastAsia="es-CO"/>
        </w:rPr>
        <w:lastRenderedPageBreak/>
        <w:t>Tipos de Ventaja Competitiva.</w:t>
      </w:r>
    </w:p>
    <w:p w14:paraId="55B98F06" w14:textId="0F371508"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El concepto de ventaja competitiva hace referencia a cualquier característica particular de la empresa que le permite distinguirse de los demás competidores del sector mejorando sus utilidades. Se conocen tres tipos de ventaja competitiva Londoño y Gálvez</w:t>
      </w:r>
      <w:r w:rsidR="00085A80">
        <w:rPr>
          <w:rFonts w:cs="Times New Roman"/>
          <w:lang w:eastAsia="es-CO"/>
        </w:rPr>
        <w:t xml:space="preserve"> (</w:t>
      </w:r>
      <w:r w:rsidRPr="00AE6323">
        <w:rPr>
          <w:rFonts w:cs="Times New Roman"/>
          <w:lang w:eastAsia="es-CO"/>
        </w:rPr>
        <w:t>2016):</w:t>
      </w:r>
    </w:p>
    <w:p w14:paraId="4AB0B185" w14:textId="1F429818" w:rsidR="00AE6323" w:rsidRPr="00AE6323" w:rsidRDefault="00AE6323" w:rsidP="0015136C">
      <w:pPr>
        <w:autoSpaceDE w:val="0"/>
        <w:autoSpaceDN w:val="0"/>
        <w:adjustRightInd w:val="0"/>
        <w:spacing w:line="480" w:lineRule="auto"/>
        <w:ind w:firstLine="720"/>
        <w:rPr>
          <w:rFonts w:cs="Times New Roman"/>
          <w:lang w:eastAsia="es-CO"/>
        </w:rPr>
      </w:pPr>
      <w:r w:rsidRPr="00085A80">
        <w:rPr>
          <w:rFonts w:cs="Times New Roman"/>
          <w:b/>
          <w:bCs/>
          <w:lang w:eastAsia="es-CO"/>
        </w:rPr>
        <w:t>Ventaja en costos</w:t>
      </w:r>
      <w:r w:rsidRPr="00AE6323">
        <w:rPr>
          <w:rFonts w:cs="Times New Roman"/>
          <w:b/>
          <w:bCs/>
          <w:i/>
          <w:iCs/>
          <w:lang w:eastAsia="es-CO"/>
        </w:rPr>
        <w:t>:</w:t>
      </w:r>
      <w:r w:rsidRPr="00AE6323">
        <w:rPr>
          <w:rFonts w:cs="Times New Roman"/>
          <w:lang w:eastAsia="es-CO"/>
        </w:rPr>
        <w:t xml:space="preserve"> </w:t>
      </w:r>
      <w:r w:rsidR="00085A80">
        <w:rPr>
          <w:rFonts w:cs="Times New Roman"/>
          <w:lang w:eastAsia="es-CO"/>
        </w:rPr>
        <w:t xml:space="preserve">según </w:t>
      </w:r>
      <w:r w:rsidR="00085A80" w:rsidRPr="00AE6323">
        <w:rPr>
          <w:rFonts w:cs="Times New Roman"/>
          <w:lang w:eastAsia="es-CO"/>
        </w:rPr>
        <w:t xml:space="preserve">Ramos </w:t>
      </w:r>
      <w:r w:rsidR="00085A80">
        <w:rPr>
          <w:rFonts w:cs="Times New Roman"/>
          <w:lang w:eastAsia="es-CO"/>
        </w:rPr>
        <w:t>(</w:t>
      </w:r>
      <w:r w:rsidR="00085A80" w:rsidRPr="00AE6323">
        <w:rPr>
          <w:rFonts w:cs="Times New Roman"/>
          <w:lang w:eastAsia="es-CO"/>
        </w:rPr>
        <w:t>2010)</w:t>
      </w:r>
      <w:r w:rsidR="00085A80">
        <w:rPr>
          <w:rFonts w:cs="Times New Roman"/>
          <w:lang w:eastAsia="es-CO"/>
        </w:rPr>
        <w:t>,</w:t>
      </w:r>
      <w:r w:rsidR="00085A80" w:rsidRPr="00AE6323">
        <w:rPr>
          <w:rFonts w:cs="Times New Roman"/>
          <w:lang w:eastAsia="es-CO"/>
        </w:rPr>
        <w:t xml:space="preserve"> </w:t>
      </w:r>
      <w:r w:rsidR="00085A80">
        <w:rPr>
          <w:rFonts w:cs="Times New Roman"/>
          <w:lang w:eastAsia="es-CO"/>
        </w:rPr>
        <w:t>r</w:t>
      </w:r>
      <w:r w:rsidRPr="00AE6323">
        <w:rPr>
          <w:rFonts w:cs="Times New Roman"/>
          <w:lang w:eastAsia="es-CO"/>
        </w:rPr>
        <w:t xml:space="preserve">egularmente este tipo de ventaja competitiva está asociada con economías de escala, sin embargo, este tipo de ventaja consiste en la implementación de sofisticas infraestructuras para la eficiente producción productos, logrando la obtención de grandes volúmenes que permitan la reducción en costos y así tener una defensa ante la competencia </w:t>
      </w:r>
    </w:p>
    <w:p w14:paraId="5EA55EB7" w14:textId="1A26830F" w:rsidR="00AE6323" w:rsidRPr="00AE6323" w:rsidRDefault="00AE6323" w:rsidP="008F617E">
      <w:pPr>
        <w:autoSpaceDE w:val="0"/>
        <w:autoSpaceDN w:val="0"/>
        <w:adjustRightInd w:val="0"/>
        <w:spacing w:line="480" w:lineRule="auto"/>
        <w:ind w:firstLine="708"/>
        <w:rPr>
          <w:rFonts w:cs="Times New Roman"/>
          <w:lang w:eastAsia="es-CO"/>
        </w:rPr>
      </w:pPr>
      <w:r w:rsidRPr="008F617E">
        <w:rPr>
          <w:rFonts w:cs="Times New Roman"/>
          <w:b/>
          <w:bCs/>
          <w:lang w:eastAsia="es-CO"/>
        </w:rPr>
        <w:t>Ventaja de diferenciación:</w:t>
      </w:r>
      <w:r w:rsidRPr="00AE6323">
        <w:rPr>
          <w:rFonts w:cs="Times New Roman"/>
          <w:lang w:eastAsia="es-CO"/>
        </w:rPr>
        <w:t xml:space="preserve"> Esta hace mención a las características del</w:t>
      </w:r>
      <w:r w:rsidR="008F617E">
        <w:rPr>
          <w:rFonts w:cs="Times New Roman"/>
          <w:lang w:eastAsia="es-CO"/>
        </w:rPr>
        <w:t xml:space="preserve"> </w:t>
      </w:r>
      <w:r w:rsidRPr="00AE6323">
        <w:rPr>
          <w:rFonts w:cs="Times New Roman"/>
          <w:lang w:eastAsia="es-CO"/>
        </w:rPr>
        <w:t>producto o de la empresa es decir a el diseño o marca del mismo, tecnología</w:t>
      </w:r>
      <w:r w:rsidR="008F617E">
        <w:rPr>
          <w:rFonts w:cs="Times New Roman"/>
          <w:lang w:eastAsia="es-CO"/>
        </w:rPr>
        <w:t xml:space="preserve"> </w:t>
      </w:r>
      <w:r w:rsidRPr="00AE6323">
        <w:rPr>
          <w:rFonts w:cs="Times New Roman"/>
          <w:lang w:eastAsia="es-CO"/>
        </w:rPr>
        <w:t>o en la calidad del servicio al cliente (Ramos, 2010)</w:t>
      </w:r>
    </w:p>
    <w:p w14:paraId="7F1B6C43" w14:textId="1BC51CDE" w:rsidR="00AE6323" w:rsidRPr="00AE6323" w:rsidRDefault="00AE6323" w:rsidP="0015136C">
      <w:pPr>
        <w:autoSpaceDE w:val="0"/>
        <w:autoSpaceDN w:val="0"/>
        <w:adjustRightInd w:val="0"/>
        <w:spacing w:line="480" w:lineRule="auto"/>
        <w:ind w:firstLine="720"/>
        <w:rPr>
          <w:rFonts w:cs="Times New Roman"/>
          <w:lang w:eastAsia="es-CO"/>
        </w:rPr>
      </w:pPr>
      <w:r w:rsidRPr="008F617E">
        <w:rPr>
          <w:rFonts w:cs="Times New Roman"/>
          <w:b/>
          <w:bCs/>
          <w:lang w:eastAsia="es-CO"/>
        </w:rPr>
        <w:t>Ventaja de alta segmentación</w:t>
      </w:r>
      <w:r w:rsidRPr="00AE6323">
        <w:rPr>
          <w:rFonts w:cs="Times New Roman"/>
          <w:b/>
          <w:bCs/>
          <w:i/>
          <w:iCs/>
          <w:lang w:eastAsia="es-CO"/>
        </w:rPr>
        <w:t>:</w:t>
      </w:r>
      <w:r w:rsidRPr="00AE6323">
        <w:rPr>
          <w:rFonts w:cs="Times New Roman"/>
          <w:lang w:eastAsia="es-CO"/>
        </w:rPr>
        <w:t xml:space="preserve"> Este tipo de ventaja permite tener un enfoque más claro con un cumplimiento de los objetivos de manera más eficiente y eficaz, ya que gran parte de los competidores ofertan a un mercado muy general, por ende, la aplicación de la alta segmentación permitirá disminuir el riesgo de factores como el de ser un producto o servicio substituto (Ramos, 2010). </w:t>
      </w:r>
    </w:p>
    <w:p w14:paraId="5A154ABD" w14:textId="77777777" w:rsidR="00AE6323" w:rsidRPr="00AE6323" w:rsidRDefault="00AE6323" w:rsidP="0015136C">
      <w:pPr>
        <w:autoSpaceDE w:val="0"/>
        <w:autoSpaceDN w:val="0"/>
        <w:adjustRightInd w:val="0"/>
        <w:spacing w:line="480" w:lineRule="auto"/>
        <w:ind w:firstLine="720"/>
        <w:rPr>
          <w:rFonts w:cs="Times New Roman"/>
          <w:b/>
          <w:bCs/>
          <w:lang w:eastAsia="es-CO"/>
        </w:rPr>
      </w:pPr>
      <w:r w:rsidRPr="00AE6323">
        <w:rPr>
          <w:rFonts w:cs="Times New Roman"/>
          <w:b/>
          <w:bCs/>
          <w:lang w:eastAsia="es-CO"/>
        </w:rPr>
        <w:t>Modelos de competitividad:</w:t>
      </w:r>
    </w:p>
    <w:p w14:paraId="7DE10CFF"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Para conocer la Zona Franca permanente más competitiva en Colombia, es necesario interactuar con modelos de competitividad tanto a nivel país, como a nivel regional. A continuación, se presentarán 4 modelos a nivel país, 2 a nivel regional y el modelo a utilizar planteado por Manuel Humberto Jiménez.</w:t>
      </w:r>
    </w:p>
    <w:p w14:paraId="3DBC98C2" w14:textId="725AFBF0" w:rsidR="00AE6323" w:rsidRPr="00AE6323" w:rsidRDefault="008F617E" w:rsidP="0015136C">
      <w:pPr>
        <w:autoSpaceDE w:val="0"/>
        <w:autoSpaceDN w:val="0"/>
        <w:adjustRightInd w:val="0"/>
        <w:spacing w:line="480" w:lineRule="auto"/>
        <w:ind w:firstLine="720"/>
        <w:rPr>
          <w:rFonts w:cs="Times New Roman"/>
          <w:lang w:eastAsia="es-CO"/>
        </w:rPr>
      </w:pPr>
      <w:r>
        <w:rPr>
          <w:rFonts w:cs="Times New Roman"/>
          <w:lang w:eastAsia="es-CO"/>
        </w:rPr>
        <w:lastRenderedPageBreak/>
        <w:t xml:space="preserve">Según </w:t>
      </w:r>
      <w:r w:rsidRPr="00AE6323">
        <w:rPr>
          <w:rFonts w:cs="Times New Roman"/>
          <w:lang w:eastAsia="es-CO"/>
        </w:rPr>
        <w:t>Diaz</w:t>
      </w:r>
      <w:r>
        <w:rPr>
          <w:rFonts w:cs="Times New Roman"/>
          <w:lang w:eastAsia="es-CO"/>
        </w:rPr>
        <w:t xml:space="preserve"> (</w:t>
      </w:r>
      <w:r w:rsidRPr="00AE6323">
        <w:rPr>
          <w:rFonts w:cs="Times New Roman"/>
          <w:lang w:eastAsia="es-CO"/>
        </w:rPr>
        <w:t xml:space="preserve">2010) </w:t>
      </w:r>
      <w:r w:rsidR="00AE6323" w:rsidRPr="00AE6323">
        <w:rPr>
          <w:rFonts w:cs="Times New Roman"/>
          <w:lang w:eastAsia="es-CO"/>
        </w:rPr>
        <w:t>El primer modelo a nivel país, hace referencia a la metodología diseñada por Michael Porter y adoptada por el Foro Económico Mundial, la cual considera 188 variables y son agrupadas en 12 factores los cuales son: 1) Instituciones, 2) Infraestructura, 3) Estabilidad macroeconómica, 4) Salud y 5) Educación primaria, 6) Educación superior y capacitación, 7) Eficiencia de los mercados de bienes, 8)Eficiencia de los mercados laborales, 9) Sofisticación del mercado financiero, 10)Disposición tecnológica, Tamaño del mercado, 11) Sofisticación de los negocios e 12) Innovación</w:t>
      </w:r>
      <w:r>
        <w:rPr>
          <w:rFonts w:cs="Times New Roman"/>
          <w:lang w:eastAsia="es-CO"/>
        </w:rPr>
        <w:t>.</w:t>
      </w:r>
    </w:p>
    <w:p w14:paraId="073D29B7" w14:textId="77777777" w:rsidR="00AE6323" w:rsidRP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El segundo modelo a nivel país, llamado el diamante de Porter y sus diferenciaciones; hace énfasis en los siguientes cuatro aspectos: 1) Condiciones de los factores, 2) Condiciones de la demanda, 3) Sectores afines y auxiliares) y 4) Estrategia, estructura y rivalidad de las empresas.</w:t>
      </w:r>
    </w:p>
    <w:p w14:paraId="052CC6B0" w14:textId="6150EC2B" w:rsidR="00AE6323" w:rsidRDefault="008F617E" w:rsidP="0015136C">
      <w:pPr>
        <w:autoSpaceDE w:val="0"/>
        <w:autoSpaceDN w:val="0"/>
        <w:adjustRightInd w:val="0"/>
        <w:spacing w:line="480" w:lineRule="auto"/>
        <w:ind w:firstLine="720"/>
        <w:rPr>
          <w:rFonts w:cs="Times New Roman"/>
          <w:lang w:eastAsia="es-CO"/>
        </w:rPr>
      </w:pPr>
      <w:r w:rsidRPr="00AE6323">
        <w:rPr>
          <w:rFonts w:cs="Times New Roman"/>
          <w:lang w:eastAsia="es-CO"/>
        </w:rPr>
        <w:t xml:space="preserve">Castaño </w:t>
      </w:r>
      <w:r>
        <w:rPr>
          <w:rFonts w:cs="Times New Roman"/>
          <w:lang w:eastAsia="es-CO"/>
        </w:rPr>
        <w:t>(</w:t>
      </w:r>
      <w:r w:rsidRPr="00AE6323">
        <w:rPr>
          <w:rFonts w:cs="Times New Roman"/>
          <w:lang w:eastAsia="es-CO"/>
        </w:rPr>
        <w:t>2011)</w:t>
      </w:r>
      <w:r>
        <w:rPr>
          <w:rFonts w:cs="Times New Roman"/>
          <w:lang w:eastAsia="es-CO"/>
        </w:rPr>
        <w:t xml:space="preserve"> menciona que e</w:t>
      </w:r>
      <w:r w:rsidR="00AE6323" w:rsidRPr="00AE6323">
        <w:rPr>
          <w:rFonts w:cs="Times New Roman"/>
          <w:lang w:eastAsia="es-CO"/>
        </w:rPr>
        <w:t>l tercer modelo a nivel país fue utilizado por el Instituto de Desarrollo por la Gerencia (IMD) que incluye 134 variables, las cuales están conformadas por 4 factores: 1) Desempeño Económico, 2) Eficiencia Gubernamental, 3) Eficiencia de Negocios, 4) Infraestructura. Cabe resaltar que dentro de cada factor se incluyen</w:t>
      </w:r>
      <w:r w:rsidR="00AE6323">
        <w:rPr>
          <w:rFonts w:cs="Times New Roman"/>
          <w:lang w:eastAsia="es-CO"/>
        </w:rPr>
        <w:t xml:space="preserve"> </w:t>
      </w:r>
      <w:r w:rsidR="00AE6323" w:rsidRPr="00AE6323">
        <w:rPr>
          <w:rFonts w:cs="Times New Roman"/>
          <w:lang w:eastAsia="es-CO"/>
        </w:rPr>
        <w:t xml:space="preserve">varios sub-factores </w:t>
      </w:r>
    </w:p>
    <w:p w14:paraId="54226186" w14:textId="5CE92753" w:rsidR="00AE6323" w:rsidRDefault="00AE6323" w:rsidP="0015136C">
      <w:pPr>
        <w:autoSpaceDE w:val="0"/>
        <w:autoSpaceDN w:val="0"/>
        <w:adjustRightInd w:val="0"/>
        <w:spacing w:line="480" w:lineRule="auto"/>
        <w:ind w:firstLine="720"/>
        <w:rPr>
          <w:rFonts w:cs="Times New Roman"/>
          <w:lang w:eastAsia="es-CO"/>
        </w:rPr>
      </w:pPr>
      <w:r w:rsidRPr="00AE6323">
        <w:rPr>
          <w:rFonts w:cs="Times New Roman"/>
          <w:lang w:eastAsia="es-CO"/>
        </w:rPr>
        <w:t>El Centro de Investigaciones para el Desarrollo (CID) de la Universidad Nacional, determino un modelo de competitividad departamental donde hace énfasis en las siguientes variables: 1) Infraestructura/localización, 2) Recursos Naturales, 3) Capital humano y empleo, 4) Empresas, 5) Innovación, 6) Instituciones, 7) Gestión del gobierno, 8) Inserción en la economía mundial, 9) Crecimiento económico, 10) Competitividad externa, 11) Calidad Humana</w:t>
      </w:r>
      <w:r w:rsidR="008F617E">
        <w:rPr>
          <w:rFonts w:cs="Times New Roman"/>
          <w:lang w:eastAsia="es-CO"/>
        </w:rPr>
        <w:t xml:space="preserve">, esto según </w:t>
      </w:r>
      <w:r w:rsidR="008F617E" w:rsidRPr="00AE6323">
        <w:rPr>
          <w:rFonts w:cs="Times New Roman"/>
          <w:lang w:eastAsia="es-CO"/>
        </w:rPr>
        <w:t>Ramírez</w:t>
      </w:r>
      <w:r w:rsidR="008F617E">
        <w:rPr>
          <w:rFonts w:cs="Times New Roman"/>
          <w:lang w:eastAsia="es-CO"/>
        </w:rPr>
        <w:t xml:space="preserve"> (</w:t>
      </w:r>
      <w:r w:rsidR="008F617E" w:rsidRPr="00AE6323">
        <w:rPr>
          <w:rFonts w:cs="Times New Roman"/>
          <w:lang w:eastAsia="es-CO"/>
        </w:rPr>
        <w:t>2006).</w:t>
      </w:r>
    </w:p>
    <w:p w14:paraId="65B2535D" w14:textId="77777777" w:rsidR="00507E3E" w:rsidRDefault="00507E3E" w:rsidP="00507E3E">
      <w:pPr>
        <w:autoSpaceDE w:val="0"/>
        <w:autoSpaceDN w:val="0"/>
        <w:adjustRightInd w:val="0"/>
        <w:ind w:firstLine="720"/>
        <w:rPr>
          <w:rFonts w:cs="Times New Roman"/>
          <w:lang w:eastAsia="es-CO"/>
        </w:rPr>
      </w:pPr>
    </w:p>
    <w:p w14:paraId="607AEFE3" w14:textId="7DF67C05" w:rsidR="00C95AF3" w:rsidRDefault="00F22CC6" w:rsidP="008F617E">
      <w:pPr>
        <w:pStyle w:val="Ttulo2"/>
        <w:rPr>
          <w:rStyle w:val="nfasisintenso"/>
          <w:i w:val="0"/>
          <w:iCs w:val="0"/>
          <w:color w:val="auto"/>
        </w:rPr>
      </w:pPr>
      <w:bookmarkStart w:id="28" w:name="_Toc183783030"/>
      <w:r w:rsidRPr="008F617E">
        <w:rPr>
          <w:rStyle w:val="nfasisintenso"/>
          <w:i w:val="0"/>
          <w:iCs w:val="0"/>
          <w:color w:val="auto"/>
        </w:rPr>
        <w:t>MARCO LEGAL</w:t>
      </w:r>
      <w:bookmarkEnd w:id="28"/>
    </w:p>
    <w:p w14:paraId="3953FA33" w14:textId="77777777" w:rsidR="00507E3E" w:rsidRPr="00507E3E" w:rsidRDefault="00507E3E" w:rsidP="00507E3E"/>
    <w:p w14:paraId="038E79FC" w14:textId="1307E9EA" w:rsidR="00AE6323" w:rsidRPr="00AE6323" w:rsidRDefault="00AE6323" w:rsidP="0015136C">
      <w:pPr>
        <w:widowControl w:val="0"/>
        <w:spacing w:line="480" w:lineRule="auto"/>
        <w:ind w:firstLine="720"/>
        <w:rPr>
          <w:rFonts w:cs="Times New Roman"/>
        </w:rPr>
      </w:pPr>
      <w:r w:rsidRPr="00AE6323">
        <w:rPr>
          <w:rFonts w:cs="Times New Roman"/>
        </w:rPr>
        <w:lastRenderedPageBreak/>
        <w:t>Para hacer referencia al marco legal histórico de las zonas francas en Colombia se debe hacer mención a la Ley 105 de 1958, por medio de la cual se crea la Zona Franca de Barranquilla y se da vía libre para el desarrollo de éstas en otras ciudades como: Cali, Buenaventura, Cartagena, Cúcuta y Santa Marta. Con la citada Ley, también se da la aceptación del capital privado para el desarrollo de dichas zonas francas (empresas de capital mixto). Dicha norma estuvo vigente hasta el año 1.991</w:t>
      </w:r>
      <w:r w:rsidR="008F617E">
        <w:rPr>
          <w:rFonts w:cs="Times New Roman"/>
        </w:rPr>
        <w:t xml:space="preserve">, esto según </w:t>
      </w:r>
      <w:r w:rsidR="008F617E" w:rsidRPr="00AE6323">
        <w:rPr>
          <w:rFonts w:cs="Times New Roman"/>
          <w:noProof/>
        </w:rPr>
        <w:t xml:space="preserve">Reyes </w:t>
      </w:r>
      <w:r w:rsidR="008F617E">
        <w:rPr>
          <w:rFonts w:cs="Times New Roman"/>
          <w:noProof/>
        </w:rPr>
        <w:t>(</w:t>
      </w:r>
      <w:r w:rsidR="008F617E" w:rsidRPr="00AE6323">
        <w:rPr>
          <w:rFonts w:cs="Times New Roman"/>
          <w:noProof/>
        </w:rPr>
        <w:t>2016</w:t>
      </w:r>
      <w:r w:rsidR="008F617E">
        <w:rPr>
          <w:rFonts w:cs="Times New Roman"/>
          <w:noProof/>
        </w:rPr>
        <w:t>)</w:t>
      </w:r>
    </w:p>
    <w:p w14:paraId="1BB4C86F" w14:textId="4453D849" w:rsidR="008F617E" w:rsidRDefault="008F617E" w:rsidP="0015136C">
      <w:pPr>
        <w:widowControl w:val="0"/>
        <w:spacing w:line="480" w:lineRule="auto"/>
        <w:ind w:firstLine="720"/>
        <w:rPr>
          <w:rFonts w:cs="Times New Roman"/>
        </w:rPr>
      </w:pPr>
      <w:r>
        <w:rPr>
          <w:rFonts w:cs="Times New Roman"/>
        </w:rPr>
        <w:t xml:space="preserve">Según </w:t>
      </w:r>
      <w:r w:rsidRPr="00AE6323">
        <w:rPr>
          <w:rFonts w:cs="Times New Roman"/>
          <w:noProof/>
        </w:rPr>
        <w:t xml:space="preserve">Reyes </w:t>
      </w:r>
      <w:r>
        <w:rPr>
          <w:rFonts w:cs="Times New Roman"/>
          <w:noProof/>
        </w:rPr>
        <w:t>(</w:t>
      </w:r>
      <w:r w:rsidRPr="00AE6323">
        <w:rPr>
          <w:rFonts w:cs="Times New Roman"/>
          <w:noProof/>
        </w:rPr>
        <w:t>2016)</w:t>
      </w:r>
      <w:r w:rsidRPr="00AE6323">
        <w:rPr>
          <w:rFonts w:cs="Times New Roman"/>
        </w:rPr>
        <w:t xml:space="preserve"> </w:t>
      </w:r>
      <w:r w:rsidR="00AE6323" w:rsidRPr="00AE6323">
        <w:rPr>
          <w:rFonts w:cs="Times New Roman"/>
        </w:rPr>
        <w:t>Con la Ley 7 de 1991, se da inicio a la apertura económica que promueve la internacionalización económica, el fomento del comercio exterior de bienes, la tecnología, los servicios y las exportaciones. Al apoyar la iniciativa privada, se dio inicio a las privatizaciones de las zonas francas de: Cúcuta, Barranquilla y Cartagena, desaparece la zona franca de Buenaventura y en adelante el capital de las zonas francas corresponderá al sector privado.</w:t>
      </w:r>
    </w:p>
    <w:p w14:paraId="007192CF" w14:textId="7921389C" w:rsidR="008F617E" w:rsidRPr="008F617E" w:rsidRDefault="008F617E" w:rsidP="008F617E">
      <w:pPr>
        <w:pStyle w:val="Descripcin"/>
        <w:spacing w:after="0"/>
        <w:rPr>
          <w:b/>
          <w:bCs/>
          <w:i w:val="0"/>
          <w:iCs w:val="0"/>
          <w:color w:val="auto"/>
          <w:sz w:val="24"/>
          <w:szCs w:val="24"/>
        </w:rPr>
      </w:pPr>
      <w:bookmarkStart w:id="29" w:name="_Toc178688996"/>
      <w:bookmarkStart w:id="30" w:name="_Toc183783069"/>
      <w:r w:rsidRPr="008F617E">
        <w:rPr>
          <w:b/>
          <w:bCs/>
          <w:i w:val="0"/>
          <w:iCs w:val="0"/>
          <w:color w:val="auto"/>
          <w:sz w:val="24"/>
          <w:szCs w:val="24"/>
        </w:rPr>
        <w:t xml:space="preserve">Tabla </w:t>
      </w:r>
      <w:r w:rsidRPr="008F617E">
        <w:rPr>
          <w:b/>
          <w:bCs/>
          <w:i w:val="0"/>
          <w:iCs w:val="0"/>
          <w:color w:val="auto"/>
          <w:sz w:val="24"/>
          <w:szCs w:val="24"/>
        </w:rPr>
        <w:fldChar w:fldCharType="begin"/>
      </w:r>
      <w:r w:rsidRPr="008F617E">
        <w:rPr>
          <w:b/>
          <w:bCs/>
          <w:i w:val="0"/>
          <w:iCs w:val="0"/>
          <w:color w:val="auto"/>
          <w:sz w:val="24"/>
          <w:szCs w:val="24"/>
        </w:rPr>
        <w:instrText xml:space="preserve"> SEQ Tabla \* ARABIC </w:instrText>
      </w:r>
      <w:r w:rsidRPr="008F617E">
        <w:rPr>
          <w:b/>
          <w:bCs/>
          <w:i w:val="0"/>
          <w:iCs w:val="0"/>
          <w:color w:val="auto"/>
          <w:sz w:val="24"/>
          <w:szCs w:val="24"/>
        </w:rPr>
        <w:fldChar w:fldCharType="separate"/>
      </w:r>
      <w:r w:rsidR="00901E21">
        <w:rPr>
          <w:b/>
          <w:bCs/>
          <w:i w:val="0"/>
          <w:iCs w:val="0"/>
          <w:noProof/>
          <w:color w:val="auto"/>
          <w:sz w:val="24"/>
          <w:szCs w:val="24"/>
        </w:rPr>
        <w:t>2</w:t>
      </w:r>
      <w:r w:rsidRPr="008F617E">
        <w:rPr>
          <w:b/>
          <w:bCs/>
          <w:i w:val="0"/>
          <w:iCs w:val="0"/>
          <w:color w:val="auto"/>
          <w:sz w:val="24"/>
          <w:szCs w:val="24"/>
        </w:rPr>
        <w:fldChar w:fldCharType="end"/>
      </w:r>
      <w:r w:rsidRPr="008F617E">
        <w:rPr>
          <w:b/>
          <w:bCs/>
          <w:i w:val="0"/>
          <w:iCs w:val="0"/>
          <w:color w:val="auto"/>
          <w:sz w:val="24"/>
          <w:szCs w:val="24"/>
        </w:rPr>
        <w:t>:</w:t>
      </w:r>
      <w:bookmarkEnd w:id="29"/>
      <w:bookmarkEnd w:id="30"/>
      <w:r w:rsidRPr="008F617E">
        <w:rPr>
          <w:b/>
          <w:bCs/>
          <w:i w:val="0"/>
          <w:iCs w:val="0"/>
          <w:color w:val="auto"/>
          <w:sz w:val="24"/>
          <w:szCs w:val="24"/>
        </w:rPr>
        <w:t xml:space="preserve"> </w:t>
      </w:r>
    </w:p>
    <w:p w14:paraId="43CA87F3" w14:textId="1F8F65E7" w:rsidR="008F617E" w:rsidRPr="006C3145" w:rsidRDefault="008F617E" w:rsidP="008F617E">
      <w:pPr>
        <w:pStyle w:val="Descripcin"/>
        <w:spacing w:after="0"/>
        <w:rPr>
          <w:i w:val="0"/>
          <w:iCs w:val="0"/>
          <w:color w:val="auto"/>
          <w:sz w:val="24"/>
          <w:szCs w:val="24"/>
        </w:rPr>
      </w:pPr>
      <w:bookmarkStart w:id="31" w:name="_Toc178688997"/>
      <w:bookmarkStart w:id="32" w:name="_Toc183783070"/>
      <w:r w:rsidRPr="006C3145">
        <w:rPr>
          <w:i w:val="0"/>
          <w:iCs w:val="0"/>
          <w:color w:val="auto"/>
          <w:sz w:val="24"/>
          <w:szCs w:val="24"/>
        </w:rPr>
        <w:t>Normatividad a nivel nacional</w:t>
      </w:r>
      <w:bookmarkEnd w:id="31"/>
      <w:bookmarkEnd w:id="32"/>
    </w:p>
    <w:p w14:paraId="5B451ABE" w14:textId="77777777" w:rsidR="008F617E" w:rsidRPr="008F617E" w:rsidRDefault="008F617E" w:rsidP="008F617E"/>
    <w:tbl>
      <w:tblPr>
        <w:tblW w:w="966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200"/>
        <w:gridCol w:w="2600"/>
        <w:gridCol w:w="5860"/>
      </w:tblGrid>
      <w:tr w:rsidR="00697E21" w:rsidRPr="00697E21" w14:paraId="7256D61A" w14:textId="77777777" w:rsidTr="008F617E">
        <w:trPr>
          <w:trHeight w:val="300"/>
        </w:trPr>
        <w:tc>
          <w:tcPr>
            <w:tcW w:w="1200" w:type="dxa"/>
            <w:tcBorders>
              <w:top w:val="single" w:sz="4" w:space="0" w:color="auto"/>
              <w:bottom w:val="single" w:sz="4" w:space="0" w:color="auto"/>
            </w:tcBorders>
            <w:shd w:val="clear" w:color="auto" w:fill="auto"/>
            <w:vAlign w:val="center"/>
            <w:hideMark/>
          </w:tcPr>
          <w:p w14:paraId="2EE4A23E"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Año</w:t>
            </w:r>
          </w:p>
        </w:tc>
        <w:tc>
          <w:tcPr>
            <w:tcW w:w="2600" w:type="dxa"/>
            <w:tcBorders>
              <w:top w:val="single" w:sz="4" w:space="0" w:color="auto"/>
              <w:bottom w:val="single" w:sz="4" w:space="0" w:color="auto"/>
            </w:tcBorders>
            <w:shd w:val="clear" w:color="auto" w:fill="auto"/>
            <w:vAlign w:val="center"/>
            <w:hideMark/>
          </w:tcPr>
          <w:p w14:paraId="1430F168"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Norma</w:t>
            </w:r>
          </w:p>
        </w:tc>
        <w:tc>
          <w:tcPr>
            <w:tcW w:w="5860" w:type="dxa"/>
            <w:tcBorders>
              <w:top w:val="single" w:sz="4" w:space="0" w:color="auto"/>
              <w:bottom w:val="single" w:sz="4" w:space="0" w:color="auto"/>
            </w:tcBorders>
            <w:shd w:val="clear" w:color="auto" w:fill="auto"/>
            <w:vAlign w:val="center"/>
            <w:hideMark/>
          </w:tcPr>
          <w:p w14:paraId="34A9D4D6"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Descripción</w:t>
            </w:r>
          </w:p>
        </w:tc>
      </w:tr>
      <w:tr w:rsidR="00697E21" w:rsidRPr="00697E21" w14:paraId="37C1A4D1" w14:textId="77777777" w:rsidTr="008F617E">
        <w:trPr>
          <w:trHeight w:val="600"/>
        </w:trPr>
        <w:tc>
          <w:tcPr>
            <w:tcW w:w="1200" w:type="dxa"/>
            <w:vMerge w:val="restart"/>
            <w:tcBorders>
              <w:top w:val="single" w:sz="4" w:space="0" w:color="auto"/>
            </w:tcBorders>
            <w:shd w:val="clear" w:color="auto" w:fill="auto"/>
            <w:vAlign w:val="center"/>
            <w:hideMark/>
          </w:tcPr>
          <w:p w14:paraId="0860A4C6"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1999</w:t>
            </w:r>
          </w:p>
        </w:tc>
        <w:tc>
          <w:tcPr>
            <w:tcW w:w="2600" w:type="dxa"/>
            <w:tcBorders>
              <w:top w:val="single" w:sz="4" w:space="0" w:color="auto"/>
            </w:tcBorders>
            <w:shd w:val="clear" w:color="auto" w:fill="auto"/>
            <w:vAlign w:val="center"/>
            <w:hideMark/>
          </w:tcPr>
          <w:p w14:paraId="7E9E072F"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2685 de 1999</w:t>
            </w:r>
          </w:p>
        </w:tc>
        <w:tc>
          <w:tcPr>
            <w:tcW w:w="5860" w:type="dxa"/>
            <w:tcBorders>
              <w:top w:val="single" w:sz="4" w:space="0" w:color="auto"/>
            </w:tcBorders>
            <w:shd w:val="clear" w:color="auto" w:fill="auto"/>
            <w:vAlign w:val="center"/>
            <w:hideMark/>
          </w:tcPr>
          <w:p w14:paraId="0F868C50"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el Estatuto Aduanero, regulando aspectos clave del comercio internacional y aduanero en Colombia.</w:t>
            </w:r>
          </w:p>
        </w:tc>
      </w:tr>
      <w:tr w:rsidR="00697E21" w:rsidRPr="00697E21" w14:paraId="2EB424EB" w14:textId="77777777" w:rsidTr="008F617E">
        <w:trPr>
          <w:trHeight w:val="600"/>
        </w:trPr>
        <w:tc>
          <w:tcPr>
            <w:tcW w:w="1200" w:type="dxa"/>
            <w:vMerge/>
            <w:vAlign w:val="center"/>
            <w:hideMark/>
          </w:tcPr>
          <w:p w14:paraId="1ADCB1E8"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1FA1CBCD"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383 de 2007</w:t>
            </w:r>
          </w:p>
        </w:tc>
        <w:tc>
          <w:tcPr>
            <w:tcW w:w="5860" w:type="dxa"/>
            <w:shd w:val="clear" w:color="auto" w:fill="auto"/>
            <w:vAlign w:val="center"/>
            <w:hideMark/>
          </w:tcPr>
          <w:p w14:paraId="1D144BFF"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Modificaciones al Estatuto Aduanero del Decreto 2685 de 1999 para actualizar y ajustar su aplicación.</w:t>
            </w:r>
          </w:p>
        </w:tc>
      </w:tr>
      <w:tr w:rsidR="00697E21" w:rsidRPr="00697E21" w14:paraId="34E56DB6" w14:textId="77777777" w:rsidTr="008F617E">
        <w:trPr>
          <w:trHeight w:val="600"/>
        </w:trPr>
        <w:tc>
          <w:tcPr>
            <w:tcW w:w="1200" w:type="dxa"/>
            <w:vMerge/>
            <w:vAlign w:val="center"/>
            <w:hideMark/>
          </w:tcPr>
          <w:p w14:paraId="4FF91673"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21DF13C5"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4051 de 2007</w:t>
            </w:r>
          </w:p>
        </w:tc>
        <w:tc>
          <w:tcPr>
            <w:tcW w:w="5860" w:type="dxa"/>
            <w:shd w:val="clear" w:color="auto" w:fill="auto"/>
            <w:vAlign w:val="center"/>
            <w:hideMark/>
          </w:tcPr>
          <w:p w14:paraId="060625D1"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Añade nuevas disposiciones al Estatuto Aduanero para mejorar la regulación del comercio exterior.</w:t>
            </w:r>
          </w:p>
        </w:tc>
      </w:tr>
      <w:tr w:rsidR="00697E21" w:rsidRPr="00697E21" w14:paraId="49CBD2FC" w14:textId="77777777" w:rsidTr="008F617E">
        <w:trPr>
          <w:trHeight w:val="600"/>
        </w:trPr>
        <w:tc>
          <w:tcPr>
            <w:tcW w:w="1200" w:type="dxa"/>
            <w:vMerge/>
            <w:vAlign w:val="center"/>
            <w:hideMark/>
          </w:tcPr>
          <w:p w14:paraId="60AEAE17"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2859936E"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780 de 2008</w:t>
            </w:r>
          </w:p>
        </w:tc>
        <w:tc>
          <w:tcPr>
            <w:tcW w:w="5860" w:type="dxa"/>
            <w:shd w:val="clear" w:color="auto" w:fill="auto"/>
            <w:vAlign w:val="center"/>
            <w:hideMark/>
          </w:tcPr>
          <w:p w14:paraId="0F79AC18"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Introduce cambios adicionales al Estatuto Aduanero para ajustar procedimientos y normas.</w:t>
            </w:r>
          </w:p>
        </w:tc>
      </w:tr>
      <w:tr w:rsidR="00697E21" w:rsidRPr="00697E21" w14:paraId="66F802A7" w14:textId="77777777" w:rsidTr="008F617E">
        <w:trPr>
          <w:trHeight w:val="600"/>
        </w:trPr>
        <w:tc>
          <w:tcPr>
            <w:tcW w:w="1200" w:type="dxa"/>
            <w:vMerge/>
            <w:vAlign w:val="center"/>
            <w:hideMark/>
          </w:tcPr>
          <w:p w14:paraId="2B69E537"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188B3664"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4584 de 2009</w:t>
            </w:r>
          </w:p>
        </w:tc>
        <w:tc>
          <w:tcPr>
            <w:tcW w:w="5860" w:type="dxa"/>
            <w:shd w:val="clear" w:color="auto" w:fill="auto"/>
            <w:vAlign w:val="center"/>
            <w:hideMark/>
          </w:tcPr>
          <w:p w14:paraId="2FB251C7"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Continúa con modificaciones para la optimización del sistema aduanero.</w:t>
            </w:r>
          </w:p>
        </w:tc>
      </w:tr>
      <w:tr w:rsidR="00697E21" w:rsidRPr="00697E21" w14:paraId="23C11EC2" w14:textId="77777777" w:rsidTr="008F617E">
        <w:trPr>
          <w:trHeight w:val="600"/>
        </w:trPr>
        <w:tc>
          <w:tcPr>
            <w:tcW w:w="1200" w:type="dxa"/>
            <w:vMerge/>
            <w:vAlign w:val="center"/>
            <w:hideMark/>
          </w:tcPr>
          <w:p w14:paraId="538AA5D2"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09084B60"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4809 de 2010</w:t>
            </w:r>
          </w:p>
        </w:tc>
        <w:tc>
          <w:tcPr>
            <w:tcW w:w="5860" w:type="dxa"/>
            <w:shd w:val="clear" w:color="auto" w:fill="auto"/>
            <w:vAlign w:val="center"/>
            <w:hideMark/>
          </w:tcPr>
          <w:p w14:paraId="1E404C70"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nuevas reglas para el manejo de zonas francas y comercio exterior.</w:t>
            </w:r>
          </w:p>
        </w:tc>
      </w:tr>
      <w:tr w:rsidR="00697E21" w:rsidRPr="00697E21" w14:paraId="533BF775" w14:textId="77777777" w:rsidTr="008F617E">
        <w:trPr>
          <w:trHeight w:val="600"/>
        </w:trPr>
        <w:tc>
          <w:tcPr>
            <w:tcW w:w="1200" w:type="dxa"/>
            <w:vMerge/>
            <w:vAlign w:val="center"/>
            <w:hideMark/>
          </w:tcPr>
          <w:p w14:paraId="42C5C98D"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38D1EE3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4801 de 2010</w:t>
            </w:r>
          </w:p>
        </w:tc>
        <w:tc>
          <w:tcPr>
            <w:tcW w:w="5860" w:type="dxa"/>
            <w:shd w:val="clear" w:color="auto" w:fill="auto"/>
            <w:vAlign w:val="center"/>
            <w:hideMark/>
          </w:tcPr>
          <w:p w14:paraId="68AD164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Actualiza y modifica aspectos específicos del Estatuto Aduanero.</w:t>
            </w:r>
          </w:p>
        </w:tc>
      </w:tr>
      <w:tr w:rsidR="00697E21" w:rsidRPr="00697E21" w14:paraId="3367650C" w14:textId="77777777" w:rsidTr="008F617E">
        <w:trPr>
          <w:trHeight w:val="600"/>
        </w:trPr>
        <w:tc>
          <w:tcPr>
            <w:tcW w:w="1200" w:type="dxa"/>
            <w:vMerge/>
            <w:vAlign w:val="center"/>
            <w:hideMark/>
          </w:tcPr>
          <w:p w14:paraId="3E912BA8"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624491F0"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1769 de 2010</w:t>
            </w:r>
          </w:p>
        </w:tc>
        <w:tc>
          <w:tcPr>
            <w:tcW w:w="5860" w:type="dxa"/>
            <w:shd w:val="clear" w:color="auto" w:fill="auto"/>
            <w:vAlign w:val="center"/>
            <w:hideMark/>
          </w:tcPr>
          <w:p w14:paraId="7B9F9015"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Proporciona nuevas directrices para la gestión aduanera y zonas francas.</w:t>
            </w:r>
          </w:p>
        </w:tc>
      </w:tr>
      <w:tr w:rsidR="00697E21" w:rsidRPr="00697E21" w14:paraId="0BE41225" w14:textId="77777777" w:rsidTr="008F617E">
        <w:trPr>
          <w:trHeight w:val="600"/>
        </w:trPr>
        <w:tc>
          <w:tcPr>
            <w:tcW w:w="1200" w:type="dxa"/>
            <w:vMerge/>
            <w:vAlign w:val="center"/>
            <w:hideMark/>
          </w:tcPr>
          <w:p w14:paraId="209C5B19"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295F8A7A"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711 de 2011</w:t>
            </w:r>
          </w:p>
        </w:tc>
        <w:tc>
          <w:tcPr>
            <w:tcW w:w="5860" w:type="dxa"/>
            <w:shd w:val="clear" w:color="auto" w:fill="auto"/>
            <w:vAlign w:val="center"/>
            <w:hideMark/>
          </w:tcPr>
          <w:p w14:paraId="51502D3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Introduce ajustes en la normativa para adaptarse a cambios en el comercio internacional.</w:t>
            </w:r>
          </w:p>
        </w:tc>
      </w:tr>
      <w:tr w:rsidR="00697E21" w:rsidRPr="00697E21" w14:paraId="495B3197" w14:textId="77777777" w:rsidTr="008F617E">
        <w:trPr>
          <w:trHeight w:val="600"/>
        </w:trPr>
        <w:tc>
          <w:tcPr>
            <w:tcW w:w="1200" w:type="dxa"/>
            <w:vMerge/>
            <w:vAlign w:val="center"/>
            <w:hideMark/>
          </w:tcPr>
          <w:p w14:paraId="4798C386"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4A91BA5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2884 de 2013</w:t>
            </w:r>
          </w:p>
        </w:tc>
        <w:tc>
          <w:tcPr>
            <w:tcW w:w="5860" w:type="dxa"/>
            <w:shd w:val="clear" w:color="auto" w:fill="auto"/>
            <w:vAlign w:val="center"/>
            <w:hideMark/>
          </w:tcPr>
          <w:p w14:paraId="53A70442"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modificaciones para mejorar el control y la eficiencia en el régimen aduanero.</w:t>
            </w:r>
          </w:p>
        </w:tc>
      </w:tr>
      <w:tr w:rsidR="00697E21" w:rsidRPr="00697E21" w14:paraId="5B908B38" w14:textId="77777777" w:rsidTr="008F617E">
        <w:trPr>
          <w:trHeight w:val="600"/>
        </w:trPr>
        <w:tc>
          <w:tcPr>
            <w:tcW w:w="1200" w:type="dxa"/>
            <w:vMerge w:val="restart"/>
            <w:shd w:val="clear" w:color="auto" w:fill="auto"/>
            <w:vAlign w:val="center"/>
            <w:hideMark/>
          </w:tcPr>
          <w:p w14:paraId="4A8A50FC"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2000</w:t>
            </w:r>
          </w:p>
        </w:tc>
        <w:tc>
          <w:tcPr>
            <w:tcW w:w="2600" w:type="dxa"/>
            <w:shd w:val="clear" w:color="auto" w:fill="auto"/>
            <w:vAlign w:val="center"/>
            <w:hideMark/>
          </w:tcPr>
          <w:p w14:paraId="3751B94D"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4240 de 2000</w:t>
            </w:r>
          </w:p>
        </w:tc>
        <w:tc>
          <w:tcPr>
            <w:tcW w:w="5860" w:type="dxa"/>
            <w:shd w:val="clear" w:color="auto" w:fill="auto"/>
            <w:vAlign w:val="center"/>
            <w:hideMark/>
          </w:tcPr>
          <w:p w14:paraId="553E8C1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y reglamenta el Decreto 2685 de 1999, detallando su aplicación práctica en el sector aduanero.</w:t>
            </w:r>
          </w:p>
        </w:tc>
      </w:tr>
      <w:tr w:rsidR="00697E21" w:rsidRPr="00697E21" w14:paraId="59FFBF79" w14:textId="77777777" w:rsidTr="008F617E">
        <w:trPr>
          <w:trHeight w:val="600"/>
        </w:trPr>
        <w:tc>
          <w:tcPr>
            <w:tcW w:w="1200" w:type="dxa"/>
            <w:vMerge/>
            <w:vAlign w:val="center"/>
            <w:hideMark/>
          </w:tcPr>
          <w:p w14:paraId="5339C6C6"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6A8B7531"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9254 de 2008</w:t>
            </w:r>
          </w:p>
        </w:tc>
        <w:tc>
          <w:tcPr>
            <w:tcW w:w="5860" w:type="dxa"/>
            <w:shd w:val="clear" w:color="auto" w:fill="auto"/>
            <w:vAlign w:val="center"/>
            <w:hideMark/>
          </w:tcPr>
          <w:p w14:paraId="031BBBC9"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Actualiza la normativa para adaptarse a nuevas necesidades del comercio exterior.</w:t>
            </w:r>
          </w:p>
        </w:tc>
      </w:tr>
      <w:tr w:rsidR="00697E21" w:rsidRPr="00697E21" w14:paraId="63D5A5DA" w14:textId="77777777" w:rsidTr="008F617E">
        <w:trPr>
          <w:trHeight w:val="300"/>
        </w:trPr>
        <w:tc>
          <w:tcPr>
            <w:tcW w:w="1200" w:type="dxa"/>
            <w:vMerge/>
            <w:vAlign w:val="center"/>
            <w:hideMark/>
          </w:tcPr>
          <w:p w14:paraId="43615A4E"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08D2288C"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00830 de 2008</w:t>
            </w:r>
          </w:p>
        </w:tc>
        <w:tc>
          <w:tcPr>
            <w:tcW w:w="5860" w:type="dxa"/>
            <w:shd w:val="clear" w:color="auto" w:fill="auto"/>
            <w:vAlign w:val="center"/>
            <w:hideMark/>
          </w:tcPr>
          <w:p w14:paraId="016A3DE8"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Introduce ajustes adicionales en las regulaciones aduaneras.</w:t>
            </w:r>
          </w:p>
        </w:tc>
      </w:tr>
      <w:tr w:rsidR="00697E21" w:rsidRPr="00697E21" w14:paraId="69791984" w14:textId="77777777" w:rsidTr="008F617E">
        <w:trPr>
          <w:trHeight w:val="300"/>
        </w:trPr>
        <w:tc>
          <w:tcPr>
            <w:tcW w:w="1200" w:type="dxa"/>
            <w:vMerge/>
            <w:vAlign w:val="center"/>
            <w:hideMark/>
          </w:tcPr>
          <w:p w14:paraId="16487B5C"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75B12B38"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5532 de 2008</w:t>
            </w:r>
          </w:p>
        </w:tc>
        <w:tc>
          <w:tcPr>
            <w:tcW w:w="5860" w:type="dxa"/>
            <w:shd w:val="clear" w:color="auto" w:fill="auto"/>
            <w:vAlign w:val="center"/>
            <w:hideMark/>
          </w:tcPr>
          <w:p w14:paraId="28D40964"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nuevas reglas para la operación de zonas francas.</w:t>
            </w:r>
          </w:p>
        </w:tc>
      </w:tr>
      <w:tr w:rsidR="00697E21" w:rsidRPr="00697E21" w14:paraId="672F47AF" w14:textId="77777777" w:rsidTr="008F617E">
        <w:trPr>
          <w:trHeight w:val="600"/>
        </w:trPr>
        <w:tc>
          <w:tcPr>
            <w:tcW w:w="1200" w:type="dxa"/>
            <w:vMerge/>
            <w:vAlign w:val="center"/>
            <w:hideMark/>
          </w:tcPr>
          <w:p w14:paraId="65D4D523"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3101870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1867 de 2009</w:t>
            </w:r>
          </w:p>
        </w:tc>
        <w:tc>
          <w:tcPr>
            <w:tcW w:w="5860" w:type="dxa"/>
            <w:shd w:val="clear" w:color="auto" w:fill="auto"/>
            <w:vAlign w:val="center"/>
            <w:hideMark/>
          </w:tcPr>
          <w:p w14:paraId="22A676F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aspectos clave de la regulación de zonas francas y comercio exterior.</w:t>
            </w:r>
          </w:p>
        </w:tc>
      </w:tr>
      <w:tr w:rsidR="00697E21" w:rsidRPr="00697E21" w14:paraId="011862EB" w14:textId="77777777" w:rsidTr="008F617E">
        <w:trPr>
          <w:trHeight w:val="600"/>
        </w:trPr>
        <w:tc>
          <w:tcPr>
            <w:tcW w:w="1200" w:type="dxa"/>
            <w:shd w:val="clear" w:color="auto" w:fill="auto"/>
            <w:vAlign w:val="center"/>
            <w:hideMark/>
          </w:tcPr>
          <w:p w14:paraId="1BDDEFE0"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2005</w:t>
            </w:r>
          </w:p>
        </w:tc>
        <w:tc>
          <w:tcPr>
            <w:tcW w:w="2600" w:type="dxa"/>
            <w:shd w:val="clear" w:color="auto" w:fill="auto"/>
            <w:vAlign w:val="center"/>
            <w:hideMark/>
          </w:tcPr>
          <w:p w14:paraId="2C481C0C"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Ley 1004 de 2005</w:t>
            </w:r>
          </w:p>
        </w:tc>
        <w:tc>
          <w:tcPr>
            <w:tcW w:w="5860" w:type="dxa"/>
            <w:shd w:val="clear" w:color="auto" w:fill="auto"/>
            <w:vAlign w:val="center"/>
            <w:hideMark/>
          </w:tcPr>
          <w:p w14:paraId="6568D09F"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un régimen especial para estimular la inversión en zonas francas y otras disposiciones económicas.</w:t>
            </w:r>
          </w:p>
        </w:tc>
      </w:tr>
      <w:tr w:rsidR="00697E21" w:rsidRPr="00697E21" w14:paraId="1CC3C156" w14:textId="77777777" w:rsidTr="008F617E">
        <w:trPr>
          <w:trHeight w:val="900"/>
        </w:trPr>
        <w:tc>
          <w:tcPr>
            <w:tcW w:w="1200" w:type="dxa"/>
            <w:vMerge w:val="restart"/>
            <w:shd w:val="clear" w:color="auto" w:fill="auto"/>
            <w:vAlign w:val="center"/>
            <w:hideMark/>
          </w:tcPr>
          <w:p w14:paraId="1F978E37"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2007</w:t>
            </w:r>
          </w:p>
        </w:tc>
        <w:tc>
          <w:tcPr>
            <w:tcW w:w="2600" w:type="dxa"/>
            <w:shd w:val="clear" w:color="auto" w:fill="auto"/>
            <w:vAlign w:val="center"/>
            <w:hideMark/>
          </w:tcPr>
          <w:p w14:paraId="14379A58"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3038 de 2007</w:t>
            </w:r>
          </w:p>
        </w:tc>
        <w:tc>
          <w:tcPr>
            <w:tcW w:w="5860" w:type="dxa"/>
            <w:shd w:val="clear" w:color="auto" w:fill="auto"/>
            <w:vAlign w:val="center"/>
            <w:hideMark/>
          </w:tcPr>
          <w:p w14:paraId="3428D017"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Designa la Dirección de Productividad y Competitividad como la Secretaría Técnica de la Comisión Intersectorial de Zonas Francas.</w:t>
            </w:r>
          </w:p>
        </w:tc>
      </w:tr>
      <w:tr w:rsidR="00697E21" w:rsidRPr="00697E21" w14:paraId="70D597B1" w14:textId="77777777" w:rsidTr="008F617E">
        <w:trPr>
          <w:trHeight w:val="600"/>
        </w:trPr>
        <w:tc>
          <w:tcPr>
            <w:tcW w:w="1200" w:type="dxa"/>
            <w:vMerge/>
            <w:vAlign w:val="center"/>
            <w:hideMark/>
          </w:tcPr>
          <w:p w14:paraId="1CDCBA34"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5AE01054"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001 de 2007</w:t>
            </w:r>
          </w:p>
        </w:tc>
        <w:tc>
          <w:tcPr>
            <w:tcW w:w="5860" w:type="dxa"/>
            <w:shd w:val="clear" w:color="auto" w:fill="auto"/>
            <w:vAlign w:val="center"/>
            <w:hideMark/>
          </w:tcPr>
          <w:p w14:paraId="60DF47E2"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Regula el funcionamiento del Comité Intersectorial de Zonas Francas.</w:t>
            </w:r>
          </w:p>
        </w:tc>
      </w:tr>
      <w:tr w:rsidR="00697E21" w:rsidRPr="00697E21" w14:paraId="2F429F8E" w14:textId="77777777" w:rsidTr="008F617E">
        <w:trPr>
          <w:trHeight w:val="600"/>
        </w:trPr>
        <w:tc>
          <w:tcPr>
            <w:tcW w:w="1200" w:type="dxa"/>
            <w:vMerge/>
            <w:vAlign w:val="center"/>
            <w:hideMark/>
          </w:tcPr>
          <w:p w14:paraId="4D296566"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4823DCE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01 de 2010</w:t>
            </w:r>
          </w:p>
        </w:tc>
        <w:tc>
          <w:tcPr>
            <w:tcW w:w="5860" w:type="dxa"/>
            <w:shd w:val="clear" w:color="auto" w:fill="auto"/>
            <w:vAlign w:val="center"/>
            <w:hideMark/>
          </w:tcPr>
          <w:p w14:paraId="22DDBA59"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Introduce modificaciones al reglamento del Comité Intersectorial de Zonas Francas.</w:t>
            </w:r>
          </w:p>
        </w:tc>
      </w:tr>
      <w:tr w:rsidR="00697E21" w:rsidRPr="00697E21" w14:paraId="172FDC4C" w14:textId="77777777" w:rsidTr="008F617E">
        <w:trPr>
          <w:trHeight w:val="600"/>
        </w:trPr>
        <w:tc>
          <w:tcPr>
            <w:tcW w:w="1200" w:type="dxa"/>
            <w:vMerge/>
            <w:vAlign w:val="center"/>
            <w:hideMark/>
          </w:tcPr>
          <w:p w14:paraId="29EFDF68"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725A63EE"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002 de 2013</w:t>
            </w:r>
          </w:p>
        </w:tc>
        <w:tc>
          <w:tcPr>
            <w:tcW w:w="5860" w:type="dxa"/>
            <w:shd w:val="clear" w:color="auto" w:fill="auto"/>
            <w:vAlign w:val="center"/>
            <w:hideMark/>
          </w:tcPr>
          <w:p w14:paraId="10B8A8C9"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Actualiza las normas del Comité Intersectorial de Zonas Francas.</w:t>
            </w:r>
          </w:p>
        </w:tc>
      </w:tr>
      <w:tr w:rsidR="00697E21" w:rsidRPr="00697E21" w14:paraId="65C2FA3C" w14:textId="77777777" w:rsidTr="008F617E">
        <w:trPr>
          <w:trHeight w:val="900"/>
        </w:trPr>
        <w:tc>
          <w:tcPr>
            <w:tcW w:w="1200" w:type="dxa"/>
            <w:vMerge w:val="restart"/>
            <w:shd w:val="clear" w:color="auto" w:fill="auto"/>
            <w:vAlign w:val="center"/>
            <w:hideMark/>
          </w:tcPr>
          <w:p w14:paraId="222308B5"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2008</w:t>
            </w:r>
          </w:p>
        </w:tc>
        <w:tc>
          <w:tcPr>
            <w:tcW w:w="2600" w:type="dxa"/>
            <w:shd w:val="clear" w:color="auto" w:fill="auto"/>
            <w:vAlign w:val="center"/>
            <w:hideMark/>
          </w:tcPr>
          <w:p w14:paraId="3511CAF7"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0432 de 2008</w:t>
            </w:r>
          </w:p>
        </w:tc>
        <w:tc>
          <w:tcPr>
            <w:tcW w:w="5860" w:type="dxa"/>
            <w:shd w:val="clear" w:color="auto" w:fill="auto"/>
            <w:vAlign w:val="center"/>
            <w:hideMark/>
          </w:tcPr>
          <w:p w14:paraId="06A43CF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Crea el Comité de Apoyo a la Secretaría Técnica de la Comisión Intersectorial de Zonas Francas y establece nuevas disposiciones.</w:t>
            </w:r>
          </w:p>
        </w:tc>
      </w:tr>
      <w:tr w:rsidR="00697E21" w:rsidRPr="00697E21" w14:paraId="035AE173" w14:textId="77777777" w:rsidTr="008F617E">
        <w:trPr>
          <w:trHeight w:val="600"/>
        </w:trPr>
        <w:tc>
          <w:tcPr>
            <w:tcW w:w="1200" w:type="dxa"/>
            <w:vMerge/>
            <w:vAlign w:val="center"/>
            <w:hideMark/>
          </w:tcPr>
          <w:p w14:paraId="0406C656"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12F3925C"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Circular Externa 043 de 2008</w:t>
            </w:r>
          </w:p>
        </w:tc>
        <w:tc>
          <w:tcPr>
            <w:tcW w:w="5860" w:type="dxa"/>
            <w:shd w:val="clear" w:color="auto" w:fill="auto"/>
            <w:vAlign w:val="center"/>
            <w:hideMark/>
          </w:tcPr>
          <w:p w14:paraId="254280F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Define los códigos de operaciones para las zonas francas.</w:t>
            </w:r>
          </w:p>
        </w:tc>
      </w:tr>
      <w:tr w:rsidR="00697E21" w:rsidRPr="00697E21" w14:paraId="75C91A53" w14:textId="77777777" w:rsidTr="008F617E">
        <w:trPr>
          <w:trHeight w:val="600"/>
        </w:trPr>
        <w:tc>
          <w:tcPr>
            <w:tcW w:w="1200" w:type="dxa"/>
            <w:vMerge w:val="restart"/>
            <w:shd w:val="clear" w:color="auto" w:fill="auto"/>
            <w:vAlign w:val="center"/>
            <w:hideMark/>
          </w:tcPr>
          <w:p w14:paraId="50879819"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2009</w:t>
            </w:r>
          </w:p>
        </w:tc>
        <w:tc>
          <w:tcPr>
            <w:tcW w:w="2600" w:type="dxa"/>
            <w:shd w:val="clear" w:color="auto" w:fill="auto"/>
            <w:vAlign w:val="center"/>
            <w:hideMark/>
          </w:tcPr>
          <w:p w14:paraId="7CE2CE12"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1197 de 2009</w:t>
            </w:r>
          </w:p>
        </w:tc>
        <w:tc>
          <w:tcPr>
            <w:tcW w:w="5860" w:type="dxa"/>
            <w:shd w:val="clear" w:color="auto" w:fill="auto"/>
            <w:vAlign w:val="center"/>
            <w:hideMark/>
          </w:tcPr>
          <w:p w14:paraId="2408845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requisitos para la creación de zonas francas permanentes especiales en varios departamentos.</w:t>
            </w:r>
          </w:p>
        </w:tc>
      </w:tr>
      <w:tr w:rsidR="00697E21" w:rsidRPr="00697E21" w14:paraId="59CD7D34" w14:textId="77777777" w:rsidTr="008F617E">
        <w:trPr>
          <w:trHeight w:val="600"/>
        </w:trPr>
        <w:tc>
          <w:tcPr>
            <w:tcW w:w="1200" w:type="dxa"/>
            <w:vMerge/>
            <w:vAlign w:val="center"/>
            <w:hideMark/>
          </w:tcPr>
          <w:p w14:paraId="3F03C881"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0F2FDB80"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2695 de 2010</w:t>
            </w:r>
          </w:p>
        </w:tc>
        <w:tc>
          <w:tcPr>
            <w:tcW w:w="5860" w:type="dxa"/>
            <w:shd w:val="clear" w:color="auto" w:fill="auto"/>
            <w:vAlign w:val="center"/>
            <w:hideMark/>
          </w:tcPr>
          <w:p w14:paraId="3A0480C9"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y adiciona disposiciones relacionadas con zonas francas.</w:t>
            </w:r>
          </w:p>
        </w:tc>
      </w:tr>
      <w:tr w:rsidR="00697E21" w:rsidRPr="00697E21" w14:paraId="46A549DC" w14:textId="77777777" w:rsidTr="008F617E">
        <w:trPr>
          <w:trHeight w:val="600"/>
        </w:trPr>
        <w:tc>
          <w:tcPr>
            <w:tcW w:w="1200" w:type="dxa"/>
            <w:vMerge/>
            <w:vAlign w:val="center"/>
            <w:hideMark/>
          </w:tcPr>
          <w:p w14:paraId="3B491A18"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7E7ADB4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2595 de 2010</w:t>
            </w:r>
          </w:p>
        </w:tc>
        <w:tc>
          <w:tcPr>
            <w:tcW w:w="5860" w:type="dxa"/>
            <w:shd w:val="clear" w:color="auto" w:fill="auto"/>
            <w:vAlign w:val="center"/>
            <w:hideMark/>
          </w:tcPr>
          <w:p w14:paraId="4A3AA3A8"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Introduce nuevas regulaciones para el funcionamiento de zonas francas.</w:t>
            </w:r>
          </w:p>
        </w:tc>
      </w:tr>
      <w:tr w:rsidR="00697E21" w:rsidRPr="00697E21" w14:paraId="010725CD" w14:textId="77777777" w:rsidTr="008F617E">
        <w:trPr>
          <w:trHeight w:val="300"/>
        </w:trPr>
        <w:tc>
          <w:tcPr>
            <w:tcW w:w="1200" w:type="dxa"/>
            <w:vMerge/>
            <w:vAlign w:val="center"/>
            <w:hideMark/>
          </w:tcPr>
          <w:p w14:paraId="4E0F50FE"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3CA2F278"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1142 de 2010</w:t>
            </w:r>
          </w:p>
        </w:tc>
        <w:tc>
          <w:tcPr>
            <w:tcW w:w="5860" w:type="dxa"/>
            <w:shd w:val="clear" w:color="auto" w:fill="auto"/>
            <w:vAlign w:val="center"/>
            <w:hideMark/>
          </w:tcPr>
          <w:p w14:paraId="523CC966"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Continúa con ajustes en la normativa de zonas francas.</w:t>
            </w:r>
          </w:p>
        </w:tc>
      </w:tr>
      <w:tr w:rsidR="00697E21" w:rsidRPr="00697E21" w14:paraId="077AB17A" w14:textId="77777777" w:rsidTr="008F617E">
        <w:trPr>
          <w:trHeight w:val="300"/>
        </w:trPr>
        <w:tc>
          <w:tcPr>
            <w:tcW w:w="1200" w:type="dxa"/>
            <w:vMerge/>
            <w:vAlign w:val="center"/>
            <w:hideMark/>
          </w:tcPr>
          <w:p w14:paraId="0A41D17D"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1A0E5BBD"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2129 de 2011</w:t>
            </w:r>
          </w:p>
        </w:tc>
        <w:tc>
          <w:tcPr>
            <w:tcW w:w="5860" w:type="dxa"/>
            <w:shd w:val="clear" w:color="auto" w:fill="auto"/>
            <w:vAlign w:val="center"/>
            <w:hideMark/>
          </w:tcPr>
          <w:p w14:paraId="33E230E6"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aspectos específicos del régimen de zonas francas.</w:t>
            </w:r>
          </w:p>
        </w:tc>
      </w:tr>
      <w:tr w:rsidR="00697E21" w:rsidRPr="00697E21" w14:paraId="75F90F3E" w14:textId="77777777" w:rsidTr="008F617E">
        <w:trPr>
          <w:trHeight w:val="600"/>
        </w:trPr>
        <w:tc>
          <w:tcPr>
            <w:tcW w:w="1200" w:type="dxa"/>
            <w:vMerge w:val="restart"/>
            <w:shd w:val="clear" w:color="auto" w:fill="auto"/>
            <w:vAlign w:val="center"/>
            <w:hideMark/>
          </w:tcPr>
          <w:p w14:paraId="08F73CD9"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2013</w:t>
            </w:r>
          </w:p>
        </w:tc>
        <w:tc>
          <w:tcPr>
            <w:tcW w:w="2600" w:type="dxa"/>
            <w:shd w:val="clear" w:color="auto" w:fill="auto"/>
            <w:vAlign w:val="center"/>
            <w:hideMark/>
          </w:tcPr>
          <w:p w14:paraId="0FE61069"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1767 de 2013</w:t>
            </w:r>
          </w:p>
        </w:tc>
        <w:tc>
          <w:tcPr>
            <w:tcW w:w="5860" w:type="dxa"/>
            <w:shd w:val="clear" w:color="auto" w:fill="auto"/>
            <w:vAlign w:val="center"/>
            <w:hideMark/>
          </w:tcPr>
          <w:p w14:paraId="0810577D"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nuevas condiciones y requisitos para las zonas francas permanentes especiales.</w:t>
            </w:r>
          </w:p>
        </w:tc>
      </w:tr>
      <w:tr w:rsidR="00697E21" w:rsidRPr="00697E21" w14:paraId="2A91F1CC" w14:textId="77777777" w:rsidTr="008F617E">
        <w:trPr>
          <w:trHeight w:val="600"/>
        </w:trPr>
        <w:tc>
          <w:tcPr>
            <w:tcW w:w="1200" w:type="dxa"/>
            <w:vMerge/>
            <w:vAlign w:val="center"/>
            <w:hideMark/>
          </w:tcPr>
          <w:p w14:paraId="6ECAA1E3"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6EB17A52"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753 de 2014</w:t>
            </w:r>
          </w:p>
        </w:tc>
        <w:tc>
          <w:tcPr>
            <w:tcW w:w="5860" w:type="dxa"/>
            <w:shd w:val="clear" w:color="auto" w:fill="auto"/>
            <w:vAlign w:val="center"/>
            <w:hideMark/>
          </w:tcPr>
          <w:p w14:paraId="29AE9B8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Introduce modificaciones para la gestión de zonas francas permanentes especiales.</w:t>
            </w:r>
          </w:p>
        </w:tc>
      </w:tr>
      <w:tr w:rsidR="00697E21" w:rsidRPr="00697E21" w14:paraId="07702D16" w14:textId="77777777" w:rsidTr="008F617E">
        <w:trPr>
          <w:trHeight w:val="600"/>
        </w:trPr>
        <w:tc>
          <w:tcPr>
            <w:tcW w:w="1200" w:type="dxa"/>
            <w:vMerge/>
            <w:vAlign w:val="center"/>
            <w:hideMark/>
          </w:tcPr>
          <w:p w14:paraId="3BF5F1D5"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654B403C"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04610 de 2014</w:t>
            </w:r>
          </w:p>
        </w:tc>
        <w:tc>
          <w:tcPr>
            <w:tcW w:w="5860" w:type="dxa"/>
            <w:shd w:val="clear" w:color="auto" w:fill="auto"/>
            <w:vAlign w:val="center"/>
            <w:hideMark/>
          </w:tcPr>
          <w:p w14:paraId="12EC1F0F"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Regula aspectos específicos del funcionamiento de zonas francas.</w:t>
            </w:r>
          </w:p>
        </w:tc>
      </w:tr>
      <w:tr w:rsidR="00697E21" w:rsidRPr="00697E21" w14:paraId="36A24A84" w14:textId="77777777" w:rsidTr="008F617E">
        <w:trPr>
          <w:trHeight w:val="600"/>
        </w:trPr>
        <w:tc>
          <w:tcPr>
            <w:tcW w:w="1200" w:type="dxa"/>
            <w:vMerge w:val="restart"/>
            <w:shd w:val="clear" w:color="auto" w:fill="auto"/>
            <w:vAlign w:val="center"/>
            <w:hideMark/>
          </w:tcPr>
          <w:p w14:paraId="757E6607"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2014</w:t>
            </w:r>
          </w:p>
        </w:tc>
        <w:tc>
          <w:tcPr>
            <w:tcW w:w="2600" w:type="dxa"/>
            <w:shd w:val="clear" w:color="auto" w:fill="auto"/>
            <w:vAlign w:val="center"/>
            <w:hideMark/>
          </w:tcPr>
          <w:p w14:paraId="0D1D0DDC"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2682 de 2014</w:t>
            </w:r>
          </w:p>
        </w:tc>
        <w:tc>
          <w:tcPr>
            <w:tcW w:w="5860" w:type="dxa"/>
            <w:shd w:val="clear" w:color="auto" w:fill="auto"/>
            <w:vAlign w:val="center"/>
            <w:hideMark/>
          </w:tcPr>
          <w:p w14:paraId="2EA97961"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condiciones para las zonas francas permanentes costa afuera y regula su operación.</w:t>
            </w:r>
          </w:p>
        </w:tc>
      </w:tr>
      <w:tr w:rsidR="00697E21" w:rsidRPr="00697E21" w14:paraId="4915FD3D" w14:textId="77777777" w:rsidTr="008F617E">
        <w:trPr>
          <w:trHeight w:val="600"/>
        </w:trPr>
        <w:tc>
          <w:tcPr>
            <w:tcW w:w="1200" w:type="dxa"/>
            <w:vMerge/>
            <w:vAlign w:val="center"/>
            <w:hideMark/>
          </w:tcPr>
          <w:p w14:paraId="0B118059"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39759A5E"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2129 de 2015</w:t>
            </w:r>
          </w:p>
        </w:tc>
        <w:tc>
          <w:tcPr>
            <w:tcW w:w="5860" w:type="dxa"/>
            <w:shd w:val="clear" w:color="auto" w:fill="auto"/>
            <w:vAlign w:val="center"/>
            <w:hideMark/>
          </w:tcPr>
          <w:p w14:paraId="6FAFDF4A"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Introduce cambios adicionales a las normas para zonas francas permanentes costa afuera.</w:t>
            </w:r>
          </w:p>
        </w:tc>
      </w:tr>
      <w:tr w:rsidR="00697E21" w:rsidRPr="00697E21" w14:paraId="1C58EFBF" w14:textId="77777777" w:rsidTr="008F617E">
        <w:trPr>
          <w:trHeight w:val="300"/>
        </w:trPr>
        <w:tc>
          <w:tcPr>
            <w:tcW w:w="1200" w:type="dxa"/>
            <w:vMerge/>
            <w:vAlign w:val="center"/>
            <w:hideMark/>
          </w:tcPr>
          <w:p w14:paraId="6BA0E19A"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15FBC5FC"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1275 de 2016</w:t>
            </w:r>
          </w:p>
        </w:tc>
        <w:tc>
          <w:tcPr>
            <w:tcW w:w="5860" w:type="dxa"/>
            <w:shd w:val="clear" w:color="auto" w:fill="auto"/>
            <w:vAlign w:val="center"/>
            <w:hideMark/>
          </w:tcPr>
          <w:p w14:paraId="76E723E5"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aspectos específicos del régimen de zonas francas.</w:t>
            </w:r>
          </w:p>
        </w:tc>
      </w:tr>
      <w:tr w:rsidR="00697E21" w:rsidRPr="00697E21" w14:paraId="5068A429" w14:textId="77777777" w:rsidTr="008F617E">
        <w:trPr>
          <w:trHeight w:val="600"/>
        </w:trPr>
        <w:tc>
          <w:tcPr>
            <w:tcW w:w="1200" w:type="dxa"/>
            <w:vMerge/>
            <w:vAlign w:val="center"/>
            <w:hideMark/>
          </w:tcPr>
          <w:p w14:paraId="1AF22710"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56D15EE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2353 de 2014</w:t>
            </w:r>
          </w:p>
        </w:tc>
        <w:tc>
          <w:tcPr>
            <w:tcW w:w="5860" w:type="dxa"/>
            <w:shd w:val="clear" w:color="auto" w:fill="auto"/>
            <w:vAlign w:val="center"/>
            <w:hideMark/>
          </w:tcPr>
          <w:p w14:paraId="39320EA5"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Designa la Secretaría Técnica del Comité de Selección para zonas francas.</w:t>
            </w:r>
          </w:p>
        </w:tc>
      </w:tr>
      <w:tr w:rsidR="00697E21" w:rsidRPr="00697E21" w14:paraId="4DF74A4E" w14:textId="77777777" w:rsidTr="008F617E">
        <w:trPr>
          <w:trHeight w:val="600"/>
        </w:trPr>
        <w:tc>
          <w:tcPr>
            <w:tcW w:w="1200" w:type="dxa"/>
            <w:vMerge w:val="restart"/>
            <w:shd w:val="clear" w:color="auto" w:fill="auto"/>
            <w:vAlign w:val="center"/>
            <w:hideMark/>
          </w:tcPr>
          <w:p w14:paraId="596E9907"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2015</w:t>
            </w:r>
          </w:p>
        </w:tc>
        <w:tc>
          <w:tcPr>
            <w:tcW w:w="2600" w:type="dxa"/>
            <w:shd w:val="clear" w:color="auto" w:fill="auto"/>
            <w:vAlign w:val="center"/>
            <w:hideMark/>
          </w:tcPr>
          <w:p w14:paraId="02F17D1C"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1300 de 2015</w:t>
            </w:r>
          </w:p>
        </w:tc>
        <w:tc>
          <w:tcPr>
            <w:tcW w:w="5860" w:type="dxa"/>
            <w:shd w:val="clear" w:color="auto" w:fill="auto"/>
            <w:vAlign w:val="center"/>
            <w:hideMark/>
          </w:tcPr>
          <w:p w14:paraId="05594D4E"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el procedimiento para la creación y regulación de zonas francas.</w:t>
            </w:r>
          </w:p>
        </w:tc>
      </w:tr>
      <w:tr w:rsidR="00697E21" w:rsidRPr="00697E21" w14:paraId="652F34E2" w14:textId="77777777" w:rsidTr="008F617E">
        <w:trPr>
          <w:trHeight w:val="600"/>
        </w:trPr>
        <w:tc>
          <w:tcPr>
            <w:tcW w:w="1200" w:type="dxa"/>
            <w:vMerge/>
            <w:vAlign w:val="center"/>
            <w:hideMark/>
          </w:tcPr>
          <w:p w14:paraId="22EA802C"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1943ED7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1292 de 2015</w:t>
            </w:r>
          </w:p>
        </w:tc>
        <w:tc>
          <w:tcPr>
            <w:tcW w:w="5860" w:type="dxa"/>
            <w:shd w:val="clear" w:color="auto" w:fill="auto"/>
            <w:vAlign w:val="center"/>
            <w:hideMark/>
          </w:tcPr>
          <w:p w14:paraId="5DFA44D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parcialmente la estructura de la Dirección de Impuestos y Aduanas Nacionales (DIAN).</w:t>
            </w:r>
          </w:p>
        </w:tc>
      </w:tr>
      <w:tr w:rsidR="00697E21" w:rsidRPr="00697E21" w14:paraId="3BDC8CE5" w14:textId="77777777" w:rsidTr="008F617E">
        <w:trPr>
          <w:trHeight w:val="600"/>
        </w:trPr>
        <w:tc>
          <w:tcPr>
            <w:tcW w:w="1200" w:type="dxa"/>
            <w:vMerge/>
            <w:vAlign w:val="center"/>
            <w:hideMark/>
          </w:tcPr>
          <w:p w14:paraId="5F0CA0F6"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0287D590"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1289 de 2015</w:t>
            </w:r>
          </w:p>
        </w:tc>
        <w:tc>
          <w:tcPr>
            <w:tcW w:w="5860" w:type="dxa"/>
            <w:shd w:val="clear" w:color="auto" w:fill="auto"/>
            <w:vAlign w:val="center"/>
            <w:hideMark/>
          </w:tcPr>
          <w:p w14:paraId="3018A0C6"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parcialmente la estructura del Ministerio de Comercio, Industria y Turismo.</w:t>
            </w:r>
          </w:p>
        </w:tc>
      </w:tr>
      <w:tr w:rsidR="00697E21" w:rsidRPr="00697E21" w14:paraId="3536C746" w14:textId="77777777" w:rsidTr="008F617E">
        <w:trPr>
          <w:trHeight w:val="600"/>
        </w:trPr>
        <w:tc>
          <w:tcPr>
            <w:tcW w:w="1200" w:type="dxa"/>
            <w:vMerge/>
            <w:vAlign w:val="center"/>
            <w:hideMark/>
          </w:tcPr>
          <w:p w14:paraId="17160A2E"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43914A26"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Resolución 3025 de 2015</w:t>
            </w:r>
          </w:p>
        </w:tc>
        <w:tc>
          <w:tcPr>
            <w:tcW w:w="5860" w:type="dxa"/>
            <w:shd w:val="clear" w:color="auto" w:fill="auto"/>
            <w:vAlign w:val="center"/>
            <w:hideMark/>
          </w:tcPr>
          <w:p w14:paraId="37D65990"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el formulario para presentar informes trimestrales de zonas francas.</w:t>
            </w:r>
          </w:p>
        </w:tc>
      </w:tr>
      <w:tr w:rsidR="00697E21" w:rsidRPr="00697E21" w14:paraId="277C97D6" w14:textId="77777777" w:rsidTr="008F617E">
        <w:trPr>
          <w:trHeight w:val="600"/>
        </w:trPr>
        <w:tc>
          <w:tcPr>
            <w:tcW w:w="1200" w:type="dxa"/>
            <w:vMerge w:val="restart"/>
            <w:shd w:val="clear" w:color="auto" w:fill="auto"/>
            <w:vAlign w:val="center"/>
            <w:hideMark/>
          </w:tcPr>
          <w:p w14:paraId="118799BB"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2016</w:t>
            </w:r>
          </w:p>
        </w:tc>
        <w:tc>
          <w:tcPr>
            <w:tcW w:w="2600" w:type="dxa"/>
            <w:shd w:val="clear" w:color="auto" w:fill="auto"/>
            <w:vAlign w:val="center"/>
            <w:hideMark/>
          </w:tcPr>
          <w:p w14:paraId="1A21517C"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1689 de 2016</w:t>
            </w:r>
          </w:p>
        </w:tc>
        <w:tc>
          <w:tcPr>
            <w:tcW w:w="5860" w:type="dxa"/>
            <w:shd w:val="clear" w:color="auto" w:fill="auto"/>
            <w:vAlign w:val="center"/>
            <w:hideMark/>
          </w:tcPr>
          <w:p w14:paraId="0B3FBE84"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parcialmente el Decreto 1300 de 2015 sobre el régimen de zonas francas.</w:t>
            </w:r>
          </w:p>
        </w:tc>
      </w:tr>
      <w:tr w:rsidR="00697E21" w:rsidRPr="00697E21" w14:paraId="67A8C6D5" w14:textId="77777777" w:rsidTr="008F617E">
        <w:trPr>
          <w:trHeight w:val="600"/>
        </w:trPr>
        <w:tc>
          <w:tcPr>
            <w:tcW w:w="1200" w:type="dxa"/>
            <w:vMerge/>
            <w:vAlign w:val="center"/>
            <w:hideMark/>
          </w:tcPr>
          <w:p w14:paraId="71D9A3F6"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45740F8D"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2147 de 2016</w:t>
            </w:r>
          </w:p>
        </w:tc>
        <w:tc>
          <w:tcPr>
            <w:tcW w:w="5860" w:type="dxa"/>
            <w:shd w:val="clear" w:color="auto" w:fill="auto"/>
            <w:vAlign w:val="center"/>
            <w:hideMark/>
          </w:tcPr>
          <w:p w14:paraId="10855F61"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nuevas disposiciones para el régimen de zonas francas y otras regulaciones.</w:t>
            </w:r>
          </w:p>
        </w:tc>
      </w:tr>
      <w:tr w:rsidR="00697E21" w:rsidRPr="00697E21" w14:paraId="164B6028" w14:textId="77777777" w:rsidTr="008F617E">
        <w:trPr>
          <w:trHeight w:val="600"/>
        </w:trPr>
        <w:tc>
          <w:tcPr>
            <w:tcW w:w="1200" w:type="dxa"/>
            <w:shd w:val="clear" w:color="auto" w:fill="auto"/>
            <w:vAlign w:val="center"/>
            <w:hideMark/>
          </w:tcPr>
          <w:p w14:paraId="50E0B4DE"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2017</w:t>
            </w:r>
          </w:p>
        </w:tc>
        <w:tc>
          <w:tcPr>
            <w:tcW w:w="2600" w:type="dxa"/>
            <w:shd w:val="clear" w:color="auto" w:fill="auto"/>
            <w:vAlign w:val="center"/>
            <w:hideMark/>
          </w:tcPr>
          <w:p w14:paraId="57877A2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1546 de 2017</w:t>
            </w:r>
          </w:p>
        </w:tc>
        <w:tc>
          <w:tcPr>
            <w:tcW w:w="5860" w:type="dxa"/>
            <w:shd w:val="clear" w:color="auto" w:fill="auto"/>
            <w:vAlign w:val="center"/>
            <w:hideMark/>
          </w:tcPr>
          <w:p w14:paraId="0366B571"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el Decreto 2147 de 2016 para ajustar el régimen de zonas francas.</w:t>
            </w:r>
          </w:p>
        </w:tc>
      </w:tr>
      <w:tr w:rsidR="00697E21" w:rsidRPr="00697E21" w14:paraId="5B06054F" w14:textId="77777777" w:rsidTr="008F617E">
        <w:trPr>
          <w:trHeight w:val="600"/>
        </w:trPr>
        <w:tc>
          <w:tcPr>
            <w:tcW w:w="1200" w:type="dxa"/>
            <w:vMerge w:val="restart"/>
            <w:shd w:val="clear" w:color="auto" w:fill="auto"/>
            <w:vAlign w:val="center"/>
            <w:hideMark/>
          </w:tcPr>
          <w:p w14:paraId="64B4A988"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2018</w:t>
            </w:r>
          </w:p>
        </w:tc>
        <w:tc>
          <w:tcPr>
            <w:tcW w:w="2600" w:type="dxa"/>
            <w:shd w:val="clear" w:color="auto" w:fill="auto"/>
            <w:vAlign w:val="center"/>
            <w:hideMark/>
          </w:tcPr>
          <w:p w14:paraId="01D8BFCB"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1945 de 2018</w:t>
            </w:r>
          </w:p>
        </w:tc>
        <w:tc>
          <w:tcPr>
            <w:tcW w:w="5860" w:type="dxa"/>
            <w:shd w:val="clear" w:color="auto" w:fill="auto"/>
            <w:vAlign w:val="center"/>
            <w:hideMark/>
          </w:tcPr>
          <w:p w14:paraId="73428C1C"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Designa un delegado del presidente ante la Comisión Intersectorial de Zonas Francas.</w:t>
            </w:r>
          </w:p>
        </w:tc>
      </w:tr>
      <w:tr w:rsidR="00697E21" w:rsidRPr="00697E21" w14:paraId="31D95DE1" w14:textId="77777777" w:rsidTr="008F617E">
        <w:trPr>
          <w:trHeight w:val="600"/>
        </w:trPr>
        <w:tc>
          <w:tcPr>
            <w:tcW w:w="1200" w:type="dxa"/>
            <w:vMerge/>
            <w:vAlign w:val="center"/>
            <w:hideMark/>
          </w:tcPr>
          <w:p w14:paraId="11069147"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440001A5"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659 de 2018</w:t>
            </w:r>
          </w:p>
        </w:tc>
        <w:tc>
          <w:tcPr>
            <w:tcW w:w="5860" w:type="dxa"/>
            <w:shd w:val="clear" w:color="auto" w:fill="auto"/>
            <w:vAlign w:val="center"/>
            <w:hideMark/>
          </w:tcPr>
          <w:p w14:paraId="4F4C0144"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los Decretos 2685 de 1999 y 2147 de 2016 para actualizar la regulación de zonas francas.</w:t>
            </w:r>
          </w:p>
        </w:tc>
      </w:tr>
      <w:tr w:rsidR="00697E21" w:rsidRPr="00697E21" w14:paraId="334E3D94" w14:textId="77777777" w:rsidTr="008F617E">
        <w:trPr>
          <w:trHeight w:val="300"/>
        </w:trPr>
        <w:tc>
          <w:tcPr>
            <w:tcW w:w="1200" w:type="dxa"/>
            <w:vMerge/>
            <w:vAlign w:val="center"/>
            <w:hideMark/>
          </w:tcPr>
          <w:p w14:paraId="7AF341D9"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61321C1D"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411 de 2018</w:t>
            </w:r>
          </w:p>
        </w:tc>
        <w:tc>
          <w:tcPr>
            <w:tcW w:w="5860" w:type="dxa"/>
            <w:shd w:val="clear" w:color="auto" w:fill="auto"/>
            <w:vAlign w:val="center"/>
            <w:hideMark/>
          </w:tcPr>
          <w:p w14:paraId="5A6D6F28"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Introduce cambios adicionales al Decreto 2147 de 2016.</w:t>
            </w:r>
          </w:p>
        </w:tc>
      </w:tr>
      <w:tr w:rsidR="00697E21" w:rsidRPr="00697E21" w14:paraId="44A55EEC" w14:textId="77777777" w:rsidTr="008F617E">
        <w:trPr>
          <w:trHeight w:val="300"/>
        </w:trPr>
        <w:tc>
          <w:tcPr>
            <w:tcW w:w="1200" w:type="dxa"/>
            <w:vMerge/>
            <w:vAlign w:val="center"/>
            <w:hideMark/>
          </w:tcPr>
          <w:p w14:paraId="5B9D2DC2"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37F140E5"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1911 de 2018</w:t>
            </w:r>
          </w:p>
        </w:tc>
        <w:tc>
          <w:tcPr>
            <w:tcW w:w="5860" w:type="dxa"/>
            <w:shd w:val="clear" w:color="auto" w:fill="auto"/>
            <w:vAlign w:val="center"/>
            <w:hideMark/>
          </w:tcPr>
          <w:p w14:paraId="3D536DBA"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Modificaciones adicionales a las normas de zonas francas.</w:t>
            </w:r>
          </w:p>
        </w:tc>
      </w:tr>
      <w:tr w:rsidR="00697E21" w:rsidRPr="00697E21" w14:paraId="5C01540B" w14:textId="77777777" w:rsidTr="008F617E">
        <w:trPr>
          <w:trHeight w:val="600"/>
        </w:trPr>
        <w:tc>
          <w:tcPr>
            <w:tcW w:w="1200" w:type="dxa"/>
            <w:vMerge/>
            <w:vAlign w:val="center"/>
            <w:hideMark/>
          </w:tcPr>
          <w:p w14:paraId="17376239"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42BFDA0E"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Circular 000002 de 2018</w:t>
            </w:r>
          </w:p>
        </w:tc>
        <w:tc>
          <w:tcPr>
            <w:tcW w:w="5860" w:type="dxa"/>
            <w:shd w:val="clear" w:color="auto" w:fill="auto"/>
            <w:vAlign w:val="center"/>
            <w:hideMark/>
          </w:tcPr>
          <w:p w14:paraId="551D318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lineamientos para el análisis integral de zonas francas según el Decreto 390 de 2016.</w:t>
            </w:r>
          </w:p>
        </w:tc>
      </w:tr>
      <w:tr w:rsidR="00697E21" w:rsidRPr="00697E21" w14:paraId="59A718C5" w14:textId="77777777" w:rsidTr="008F617E">
        <w:trPr>
          <w:trHeight w:val="900"/>
        </w:trPr>
        <w:tc>
          <w:tcPr>
            <w:tcW w:w="1200" w:type="dxa"/>
            <w:vMerge w:val="restart"/>
            <w:shd w:val="clear" w:color="auto" w:fill="auto"/>
            <w:vAlign w:val="center"/>
            <w:hideMark/>
          </w:tcPr>
          <w:p w14:paraId="3A020197"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lastRenderedPageBreak/>
              <w:t>2019</w:t>
            </w:r>
          </w:p>
        </w:tc>
        <w:tc>
          <w:tcPr>
            <w:tcW w:w="2600" w:type="dxa"/>
            <w:shd w:val="clear" w:color="auto" w:fill="auto"/>
            <w:vAlign w:val="center"/>
            <w:hideMark/>
          </w:tcPr>
          <w:p w14:paraId="7A03BE4A"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1165 de 2019</w:t>
            </w:r>
          </w:p>
        </w:tc>
        <w:tc>
          <w:tcPr>
            <w:tcW w:w="5860" w:type="dxa"/>
            <w:shd w:val="clear" w:color="auto" w:fill="auto"/>
            <w:vAlign w:val="center"/>
            <w:hideMark/>
          </w:tcPr>
          <w:p w14:paraId="7CA8252D"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Introduce disposiciones sobre el régimen aduanero en desarrollo de la Ley 1609 de 2013, derogando ciertos títulos del Decreto 2147 de 2016.</w:t>
            </w:r>
          </w:p>
        </w:tc>
      </w:tr>
      <w:tr w:rsidR="00697E21" w:rsidRPr="00697E21" w14:paraId="2A662BA8" w14:textId="77777777" w:rsidTr="008F617E">
        <w:trPr>
          <w:trHeight w:val="600"/>
        </w:trPr>
        <w:tc>
          <w:tcPr>
            <w:tcW w:w="1200" w:type="dxa"/>
            <w:vMerge/>
            <w:vAlign w:val="center"/>
            <w:hideMark/>
          </w:tcPr>
          <w:p w14:paraId="7A6E2D48"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6FCC1CB0"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1054 de 2019</w:t>
            </w:r>
          </w:p>
        </w:tc>
        <w:tc>
          <w:tcPr>
            <w:tcW w:w="5860" w:type="dxa"/>
            <w:shd w:val="clear" w:color="auto" w:fill="auto"/>
            <w:vAlign w:val="center"/>
            <w:hideMark/>
          </w:tcPr>
          <w:p w14:paraId="04757DC2"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Modificaciones adicionales relacionadas con el régimen aduanero.</w:t>
            </w:r>
          </w:p>
        </w:tc>
      </w:tr>
      <w:tr w:rsidR="00697E21" w:rsidRPr="00697E21" w14:paraId="6F7FCBAA" w14:textId="77777777" w:rsidTr="008F617E">
        <w:trPr>
          <w:trHeight w:val="900"/>
        </w:trPr>
        <w:tc>
          <w:tcPr>
            <w:tcW w:w="1200" w:type="dxa"/>
            <w:vMerge w:val="restart"/>
            <w:shd w:val="clear" w:color="auto" w:fill="auto"/>
            <w:vAlign w:val="center"/>
            <w:hideMark/>
          </w:tcPr>
          <w:p w14:paraId="2CA59E01"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2020</w:t>
            </w:r>
          </w:p>
        </w:tc>
        <w:tc>
          <w:tcPr>
            <w:tcW w:w="2600" w:type="dxa"/>
            <w:shd w:val="clear" w:color="auto" w:fill="auto"/>
            <w:vAlign w:val="center"/>
            <w:hideMark/>
          </w:tcPr>
          <w:p w14:paraId="68AB5B43"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686 de 2020</w:t>
            </w:r>
          </w:p>
        </w:tc>
        <w:tc>
          <w:tcPr>
            <w:tcW w:w="5860" w:type="dxa"/>
            <w:shd w:val="clear" w:color="auto" w:fill="auto"/>
            <w:vAlign w:val="center"/>
            <w:hideMark/>
          </w:tcPr>
          <w:p w14:paraId="10D8FD72"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Establece disposiciones transitorias para zonas francas y otros sistemas especiales debido a la emergencia por COVID-19.</w:t>
            </w:r>
          </w:p>
        </w:tc>
      </w:tr>
      <w:tr w:rsidR="00697E21" w:rsidRPr="00697E21" w14:paraId="5B55808E" w14:textId="77777777" w:rsidTr="008F617E">
        <w:trPr>
          <w:trHeight w:val="600"/>
        </w:trPr>
        <w:tc>
          <w:tcPr>
            <w:tcW w:w="1200" w:type="dxa"/>
            <w:vMerge/>
            <w:vAlign w:val="center"/>
            <w:hideMark/>
          </w:tcPr>
          <w:p w14:paraId="14B51D04"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0326D76E"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411 de 2020</w:t>
            </w:r>
          </w:p>
        </w:tc>
        <w:tc>
          <w:tcPr>
            <w:tcW w:w="5860" w:type="dxa"/>
            <w:shd w:val="clear" w:color="auto" w:fill="auto"/>
            <w:vAlign w:val="center"/>
            <w:hideMark/>
          </w:tcPr>
          <w:p w14:paraId="04235A8D"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Modificaciones adicionales para adaptar la normativa a la emergencia sanitaria.</w:t>
            </w:r>
          </w:p>
        </w:tc>
      </w:tr>
      <w:tr w:rsidR="00697E21" w:rsidRPr="00697E21" w14:paraId="6D7A4BD5" w14:textId="77777777" w:rsidTr="008F617E">
        <w:trPr>
          <w:trHeight w:val="600"/>
        </w:trPr>
        <w:tc>
          <w:tcPr>
            <w:tcW w:w="1200" w:type="dxa"/>
            <w:vMerge w:val="restart"/>
            <w:shd w:val="clear" w:color="auto" w:fill="auto"/>
            <w:vAlign w:val="center"/>
            <w:hideMark/>
          </w:tcPr>
          <w:p w14:paraId="7A31B44B" w14:textId="77777777" w:rsidR="00697E21" w:rsidRPr="00697E21" w:rsidRDefault="00697E21" w:rsidP="0015136C">
            <w:pPr>
              <w:spacing w:after="0" w:line="480" w:lineRule="auto"/>
              <w:ind w:firstLine="0"/>
              <w:jc w:val="center"/>
              <w:rPr>
                <w:rFonts w:eastAsia="Times New Roman" w:cs="Times New Roman"/>
                <w:b/>
                <w:bCs/>
                <w:color w:val="000000"/>
                <w:kern w:val="0"/>
                <w:sz w:val="22"/>
                <w:lang w:eastAsia="es-CO"/>
                <w14:ligatures w14:val="none"/>
              </w:rPr>
            </w:pPr>
            <w:r w:rsidRPr="00697E21">
              <w:rPr>
                <w:rFonts w:eastAsia="Times New Roman" w:cs="Times New Roman"/>
                <w:b/>
                <w:bCs/>
                <w:color w:val="000000"/>
                <w:kern w:val="0"/>
                <w:sz w:val="22"/>
                <w:lang w:eastAsia="es-CO"/>
                <w14:ligatures w14:val="none"/>
              </w:rPr>
              <w:t>2021</w:t>
            </w:r>
          </w:p>
        </w:tc>
        <w:tc>
          <w:tcPr>
            <w:tcW w:w="2600" w:type="dxa"/>
            <w:shd w:val="clear" w:color="auto" w:fill="auto"/>
            <w:vAlign w:val="center"/>
            <w:hideMark/>
          </w:tcPr>
          <w:p w14:paraId="5FDEA7AA"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278 de 2021</w:t>
            </w:r>
          </w:p>
        </w:tc>
        <w:tc>
          <w:tcPr>
            <w:tcW w:w="5860" w:type="dxa"/>
            <w:shd w:val="clear" w:color="auto" w:fill="auto"/>
            <w:vAlign w:val="center"/>
            <w:hideMark/>
          </w:tcPr>
          <w:p w14:paraId="7BD31FDD"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el Decreto 2147 de 2016 para ajustar el régimen de zonas francas.</w:t>
            </w:r>
          </w:p>
        </w:tc>
      </w:tr>
      <w:tr w:rsidR="00697E21" w:rsidRPr="00697E21" w14:paraId="5DE31967" w14:textId="77777777" w:rsidTr="008F617E">
        <w:trPr>
          <w:trHeight w:val="600"/>
        </w:trPr>
        <w:tc>
          <w:tcPr>
            <w:tcW w:w="1200" w:type="dxa"/>
            <w:vMerge/>
            <w:vAlign w:val="center"/>
            <w:hideMark/>
          </w:tcPr>
          <w:p w14:paraId="07BC0F9C" w14:textId="77777777" w:rsidR="00697E21" w:rsidRPr="00697E21" w:rsidRDefault="00697E21" w:rsidP="0015136C">
            <w:pPr>
              <w:spacing w:after="0" w:line="480" w:lineRule="auto"/>
              <w:ind w:firstLine="0"/>
              <w:rPr>
                <w:rFonts w:eastAsia="Times New Roman" w:cs="Times New Roman"/>
                <w:b/>
                <w:bCs/>
                <w:color w:val="000000"/>
                <w:kern w:val="0"/>
                <w:sz w:val="22"/>
                <w:lang w:eastAsia="es-CO"/>
                <w14:ligatures w14:val="none"/>
              </w:rPr>
            </w:pPr>
          </w:p>
        </w:tc>
        <w:tc>
          <w:tcPr>
            <w:tcW w:w="2600" w:type="dxa"/>
            <w:shd w:val="clear" w:color="auto" w:fill="auto"/>
            <w:vAlign w:val="center"/>
            <w:hideMark/>
          </w:tcPr>
          <w:p w14:paraId="54AF966F"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Decreto 360 de 2021</w:t>
            </w:r>
          </w:p>
        </w:tc>
        <w:tc>
          <w:tcPr>
            <w:tcW w:w="5860" w:type="dxa"/>
            <w:shd w:val="clear" w:color="auto" w:fill="auto"/>
            <w:vAlign w:val="center"/>
            <w:hideMark/>
          </w:tcPr>
          <w:p w14:paraId="6F2AF417" w14:textId="77777777" w:rsidR="00697E21" w:rsidRPr="00697E21" w:rsidRDefault="00697E21" w:rsidP="0015136C">
            <w:pPr>
              <w:spacing w:after="0" w:line="480" w:lineRule="auto"/>
              <w:ind w:firstLine="0"/>
              <w:rPr>
                <w:rFonts w:eastAsia="Times New Roman" w:cs="Times New Roman"/>
                <w:color w:val="000000"/>
                <w:kern w:val="0"/>
                <w:sz w:val="22"/>
                <w:lang w:eastAsia="es-CO"/>
                <w14:ligatures w14:val="none"/>
              </w:rPr>
            </w:pPr>
            <w:r w:rsidRPr="00697E21">
              <w:rPr>
                <w:rFonts w:eastAsia="Times New Roman" w:cs="Times New Roman"/>
                <w:color w:val="000000"/>
                <w:kern w:val="0"/>
                <w:sz w:val="22"/>
                <w:lang w:eastAsia="es-CO"/>
                <w14:ligatures w14:val="none"/>
              </w:rPr>
              <w:t>Modifica el Decreto 1165 de 2016 para actualizar el régimen aduanero.</w:t>
            </w:r>
          </w:p>
        </w:tc>
      </w:tr>
    </w:tbl>
    <w:p w14:paraId="1094E8CB" w14:textId="36487F89" w:rsidR="00697E21" w:rsidRPr="00F03564" w:rsidRDefault="00F03564" w:rsidP="0015136C">
      <w:pPr>
        <w:widowControl w:val="0"/>
        <w:spacing w:line="480" w:lineRule="auto"/>
        <w:ind w:firstLine="720"/>
        <w:rPr>
          <w:rFonts w:cs="Times New Roman"/>
          <w:sz w:val="22"/>
          <w:szCs w:val="20"/>
        </w:rPr>
      </w:pPr>
      <w:r w:rsidRPr="00F03564">
        <w:rPr>
          <w:rFonts w:cs="Times New Roman"/>
          <w:sz w:val="22"/>
          <w:szCs w:val="20"/>
        </w:rPr>
        <w:t xml:space="preserve">Nota: la normatividad que </w:t>
      </w:r>
      <w:r>
        <w:rPr>
          <w:rFonts w:cs="Times New Roman"/>
          <w:sz w:val="22"/>
          <w:szCs w:val="20"/>
        </w:rPr>
        <w:t xml:space="preserve">se utilizó para la construcción de esta tabla, fue extraída de la DIAN </w:t>
      </w:r>
    </w:p>
    <w:p w14:paraId="3BB376A8" w14:textId="77777777" w:rsidR="00697E21" w:rsidRPr="00AE6323" w:rsidRDefault="00697E21" w:rsidP="0015136C">
      <w:pPr>
        <w:widowControl w:val="0"/>
        <w:spacing w:line="480" w:lineRule="auto"/>
        <w:ind w:firstLine="720"/>
        <w:rPr>
          <w:rFonts w:cs="Times New Roman"/>
        </w:rPr>
      </w:pPr>
    </w:p>
    <w:p w14:paraId="32F06DDE" w14:textId="77777777" w:rsidR="00697E21" w:rsidRDefault="00697E21" w:rsidP="0015136C">
      <w:pPr>
        <w:spacing w:line="480" w:lineRule="auto"/>
        <w:ind w:firstLine="0"/>
        <w:rPr>
          <w:rStyle w:val="nfasisintenso"/>
          <w:rFonts w:cs="Times New Roman"/>
          <w:b/>
          <w:bCs/>
          <w:i w:val="0"/>
          <w:iCs w:val="0"/>
          <w:color w:val="auto"/>
          <w:lang w:eastAsia="es-CO"/>
        </w:rPr>
      </w:pPr>
      <w:r>
        <w:rPr>
          <w:rStyle w:val="nfasisintenso"/>
          <w:rFonts w:cs="Times New Roman"/>
          <w:b/>
          <w:bCs/>
          <w:i w:val="0"/>
          <w:iCs w:val="0"/>
          <w:color w:val="auto"/>
          <w:lang w:eastAsia="es-CO"/>
        </w:rPr>
        <w:br w:type="page"/>
      </w:r>
    </w:p>
    <w:p w14:paraId="00C78084" w14:textId="3DA166DA" w:rsidR="00697E21" w:rsidRPr="008F617E" w:rsidRDefault="00AE6323" w:rsidP="008F617E">
      <w:pPr>
        <w:pStyle w:val="Ttulo1"/>
      </w:pPr>
      <w:bookmarkStart w:id="33" w:name="_Toc183783031"/>
      <w:r w:rsidRPr="008F617E">
        <w:rPr>
          <w:rStyle w:val="nfasisintenso"/>
          <w:i w:val="0"/>
          <w:iCs w:val="0"/>
          <w:color w:val="auto"/>
        </w:rPr>
        <w:lastRenderedPageBreak/>
        <w:t>CAPITULO 3. METODOLOGIA DE LA INVESTIGACION</w:t>
      </w:r>
      <w:bookmarkEnd w:id="33"/>
    </w:p>
    <w:p w14:paraId="04A566B1" w14:textId="77777777" w:rsidR="006C4EF4" w:rsidRDefault="006C4EF4" w:rsidP="0015136C">
      <w:pPr>
        <w:autoSpaceDE w:val="0"/>
        <w:autoSpaceDN w:val="0"/>
        <w:adjustRightInd w:val="0"/>
        <w:spacing w:line="480" w:lineRule="auto"/>
        <w:ind w:firstLine="720"/>
        <w:rPr>
          <w:rFonts w:ascii="TimesNewRomanPSMT" w:hAnsi="TimesNewRomanPSMT" w:cs="TimesNewRomanPSMT"/>
          <w:lang w:eastAsia="es-CO"/>
        </w:rPr>
      </w:pPr>
    </w:p>
    <w:p w14:paraId="58613DA9" w14:textId="4E1665E7" w:rsidR="006C4EF4" w:rsidRDefault="006C4EF4" w:rsidP="0015136C">
      <w:pPr>
        <w:autoSpaceDE w:val="0"/>
        <w:autoSpaceDN w:val="0"/>
        <w:adjustRightInd w:val="0"/>
        <w:spacing w:line="480" w:lineRule="auto"/>
        <w:ind w:firstLine="720"/>
      </w:pPr>
      <w:r>
        <w:t>En este capítulo se presenta la metodología empleada para abordar el objetivo de analizar la viabilidad de una Zona Franca en Aguachica. Se describe el enfoque de investigación seleccionado, la naturaleza del diseño metodológico, la población de estudio y los métodos específicos de recolección de datos que permiten obtener una visión completa de la situación. Esta metodología, de corte cualitativo y descriptivo, está diseñada para captar en profundidad los aspectos legales, sociales y económicos pertinentes al contexto de Aguachica. A través de la aplicación de esta metodología, se busca garantizar la objetividad y confiabilidad de los resultados, asegurando que los datos obtenidos sean consistentes y pertinentes para responder a las preguntas de investigación. Este capítulo establece, por tanto, la base metodológica necesaria para un análisis riguroso y detallado de los factores que pueden influir en la creación de una Zona Franca en esta región.</w:t>
      </w:r>
    </w:p>
    <w:p w14:paraId="053B94A5" w14:textId="77777777" w:rsidR="00507A9C" w:rsidRDefault="00507A9C" w:rsidP="0015136C">
      <w:pPr>
        <w:autoSpaceDE w:val="0"/>
        <w:autoSpaceDN w:val="0"/>
        <w:adjustRightInd w:val="0"/>
        <w:spacing w:line="480" w:lineRule="auto"/>
        <w:ind w:firstLine="720"/>
        <w:rPr>
          <w:rFonts w:ascii="TimesNewRomanPSMT" w:hAnsi="TimesNewRomanPSMT" w:cs="TimesNewRomanPSMT"/>
          <w:lang w:eastAsia="es-CO"/>
        </w:rPr>
      </w:pPr>
    </w:p>
    <w:p w14:paraId="1AF64496" w14:textId="6E8D3E13" w:rsidR="00AE6323" w:rsidRDefault="00F22CC6" w:rsidP="008F617E">
      <w:pPr>
        <w:pStyle w:val="Ttulo2"/>
        <w:rPr>
          <w:rStyle w:val="nfasisintenso"/>
          <w:i w:val="0"/>
          <w:iCs w:val="0"/>
          <w:color w:val="auto"/>
        </w:rPr>
      </w:pPr>
      <w:bookmarkStart w:id="34" w:name="_Toc183783032"/>
      <w:r w:rsidRPr="008F617E">
        <w:rPr>
          <w:rStyle w:val="nfasisintenso"/>
          <w:i w:val="0"/>
          <w:iCs w:val="0"/>
          <w:color w:val="auto"/>
        </w:rPr>
        <w:t>TIPO DE INVESTIGACIÓN</w:t>
      </w:r>
      <w:bookmarkEnd w:id="34"/>
    </w:p>
    <w:p w14:paraId="21CF1BB9" w14:textId="77777777" w:rsidR="00507A9C" w:rsidRPr="00507A9C" w:rsidRDefault="00507A9C" w:rsidP="00507A9C"/>
    <w:p w14:paraId="6214896E" w14:textId="1500D3A5" w:rsidR="00697E21" w:rsidRDefault="00AE6323" w:rsidP="008F617E">
      <w:pPr>
        <w:pStyle w:val="Ttulo3"/>
      </w:pPr>
      <w:bookmarkStart w:id="35" w:name="_Toc183783033"/>
      <w:r w:rsidRPr="008F617E">
        <w:t>Enfoque de la Investigación</w:t>
      </w:r>
      <w:bookmarkEnd w:id="35"/>
      <w:r w:rsidRPr="008F617E">
        <w:t xml:space="preserve"> </w:t>
      </w:r>
    </w:p>
    <w:p w14:paraId="1DC2FDBA" w14:textId="77777777" w:rsidR="00507A9C" w:rsidRPr="00507A9C" w:rsidRDefault="00507A9C" w:rsidP="00507A9C"/>
    <w:p w14:paraId="1F60BCE2" w14:textId="37D756FB" w:rsidR="00111186" w:rsidRPr="00111186" w:rsidRDefault="00111186" w:rsidP="00111186">
      <w:pPr>
        <w:widowControl w:val="0"/>
        <w:spacing w:line="480" w:lineRule="auto"/>
        <w:ind w:firstLine="720"/>
        <w:rPr>
          <w:rFonts w:cs="Times New Roman"/>
        </w:rPr>
      </w:pPr>
      <w:r w:rsidRPr="00111186">
        <w:rPr>
          <w:rFonts w:cs="Times New Roman"/>
        </w:rPr>
        <w:t xml:space="preserve">El enfoque cualitativo es adecuado para esta investigación, dado que, como indica Hernández Sampieri, es recomendable cuando el tema ha sido poco explorado o no se ha investigado en un contexto social específico (Hernández y Mendoza, 2020). Al tratarse de una propuesta monográfica basada en una revisión documental, se realizará una evaluación crítica de la bibliografía, según Hernández et al. (2014), para identificar y analizar fuentes útiles que </w:t>
      </w:r>
      <w:r w:rsidRPr="00111186">
        <w:rPr>
          <w:rFonts w:cs="Times New Roman"/>
        </w:rPr>
        <w:lastRenderedPageBreak/>
        <w:t>proporcionen la información necesaria para responder a la pregunta de investigación.</w:t>
      </w:r>
    </w:p>
    <w:p w14:paraId="15939BC5" w14:textId="77777777" w:rsidR="00356572" w:rsidRDefault="00356572" w:rsidP="00356572">
      <w:pPr>
        <w:spacing w:line="480" w:lineRule="auto"/>
        <w:rPr>
          <w:rFonts w:cs="Times New Roman"/>
        </w:rPr>
      </w:pPr>
      <w:r w:rsidRPr="00356572">
        <w:rPr>
          <w:rFonts w:cs="Times New Roman"/>
        </w:rPr>
        <w:t xml:space="preserve">El enfoque cualitativo seleccionado para esta investigación se justifica plenamente dada la naturaleza exploratoria y contextual del problema planteado. La creación de una Zona Franca en Aguachica, Cesar, requiere un análisis profundo de múltiples variables económicas, sociales y normativas, cuya comprensión depende de un enfoque interpretativo más que de una cuantificación estricta. Este enfoque permite captar la complejidad inherente al contexto local, evaluando de manera integral factores como la normativa vigente, las condiciones de mercado, las características socioeconómicas de la región y las experiencias previas en zonas francas del Caribe colombiano. </w:t>
      </w:r>
    </w:p>
    <w:p w14:paraId="78FE6B2B" w14:textId="594B73A1" w:rsidR="00AE6323" w:rsidRDefault="00356572" w:rsidP="00356572">
      <w:pPr>
        <w:spacing w:line="480" w:lineRule="auto"/>
        <w:rPr>
          <w:rFonts w:cs="Times New Roman"/>
        </w:rPr>
      </w:pPr>
      <w:r w:rsidRPr="00356572">
        <w:rPr>
          <w:rFonts w:cs="Times New Roman"/>
        </w:rPr>
        <w:t>Además, el carácter cualitativo posibilita una evaluación flexible y adaptativa, integrando perspectivas de actores clave y análisis de casos específicos. A través de técnicas como la revisión documental, el análisis crítico de políticas y la aplicación de herramientas como matrices de factores internos y externos, se garantiza un marco metodológico riguroso y alineado con los objetivos del proyecto. Este enfoque no solo permite entender las condiciones actuales de Aguachica, sino que también facilita la identificación de oportunidades y desafíos, proporcionando un soporte sólido para la formulación de recomendaciones estratégicas. En este sentido, la elección del enfoque cualitativo resulta esencial para abordar la multidimensionalidad del problema y generar un análisis comprensivo que guíe la toma de decisiones.</w:t>
      </w:r>
    </w:p>
    <w:p w14:paraId="0BDCB9A4" w14:textId="77777777" w:rsidR="00356572" w:rsidRDefault="00356572" w:rsidP="00356572">
      <w:pPr>
        <w:spacing w:line="480" w:lineRule="auto"/>
        <w:rPr>
          <w:rFonts w:cs="Times New Roman"/>
        </w:rPr>
      </w:pPr>
    </w:p>
    <w:p w14:paraId="48E91BD9" w14:textId="5A977094" w:rsidR="00697E21" w:rsidRDefault="00AE6323" w:rsidP="00F03564">
      <w:pPr>
        <w:pStyle w:val="Ttulo3"/>
      </w:pPr>
      <w:bookmarkStart w:id="36" w:name="_Toc183783034"/>
      <w:r w:rsidRPr="00F03564">
        <w:t>Alcance de la Investigación</w:t>
      </w:r>
      <w:bookmarkEnd w:id="36"/>
    </w:p>
    <w:p w14:paraId="50CE0D30" w14:textId="77777777" w:rsidR="00356572" w:rsidRPr="00356572" w:rsidRDefault="00356572" w:rsidP="00356572"/>
    <w:p w14:paraId="0FD8CC5D" w14:textId="77777777" w:rsidR="00AE6323" w:rsidRDefault="00AE6323" w:rsidP="0015136C">
      <w:pPr>
        <w:spacing w:line="480" w:lineRule="auto"/>
        <w:ind w:firstLine="720"/>
        <w:rPr>
          <w:rFonts w:cs="Times New Roman"/>
          <w:color w:val="000000" w:themeColor="text1"/>
        </w:rPr>
      </w:pPr>
      <w:r w:rsidRPr="00AE6323">
        <w:rPr>
          <w:rFonts w:cs="Times New Roman"/>
          <w:lang w:eastAsia="es-CO"/>
        </w:rPr>
        <w:t>Las ZF en Colombia se han convertido en fuentes de empleos y</w:t>
      </w:r>
      <w:r w:rsidRPr="00AE6323">
        <w:rPr>
          <w:rFonts w:cs="Times New Roman"/>
          <w:color w:val="000000" w:themeColor="text1"/>
        </w:rPr>
        <w:t xml:space="preserve"> </w:t>
      </w:r>
      <w:r w:rsidRPr="00AE6323">
        <w:rPr>
          <w:rFonts w:cs="Times New Roman"/>
          <w:lang w:eastAsia="es-CO"/>
        </w:rPr>
        <w:t xml:space="preserve">generadoras de inversión con el fin de lograr ser el desarrollo que promueve la productividad y  </w:t>
      </w:r>
      <w:r w:rsidRPr="00AE6323">
        <w:rPr>
          <w:rFonts w:cs="Times New Roman"/>
          <w:color w:val="000000" w:themeColor="text1"/>
        </w:rPr>
        <w:t xml:space="preserve"> </w:t>
      </w:r>
      <w:r w:rsidRPr="00AE6323">
        <w:rPr>
          <w:rFonts w:cs="Times New Roman"/>
          <w:lang w:eastAsia="es-CO"/>
        </w:rPr>
        <w:t xml:space="preserve">competitividad en las regiones donde se establezcan, utilizando la normatividad tributaria, aduanera y comercio exterior, </w:t>
      </w:r>
      <w:r w:rsidRPr="00AE6323">
        <w:rPr>
          <w:rFonts w:cs="Times New Roman"/>
          <w:lang w:eastAsia="es-CO"/>
        </w:rPr>
        <w:lastRenderedPageBreak/>
        <w:t>que ha venido cambiando a través de la globalización y buscando mejorar y determinar la finalidad de las Zonas Francas en el país.</w:t>
      </w:r>
      <w:r w:rsidRPr="00AE6323">
        <w:rPr>
          <w:rFonts w:cs="Times New Roman"/>
          <w:color w:val="000000" w:themeColor="text1"/>
        </w:rPr>
        <w:t xml:space="preserve"> </w:t>
      </w:r>
    </w:p>
    <w:p w14:paraId="1370BFBC" w14:textId="7EC6C04B" w:rsidR="00733DF2" w:rsidRDefault="00AE6323" w:rsidP="00F03564">
      <w:pPr>
        <w:spacing w:line="480" w:lineRule="auto"/>
        <w:ind w:firstLine="720"/>
        <w:rPr>
          <w:lang w:eastAsia="es-CO"/>
        </w:rPr>
      </w:pPr>
      <w:r w:rsidRPr="00F03564">
        <w:rPr>
          <w:lang w:eastAsia="es-CO"/>
        </w:rPr>
        <w:t>El objetivo de la presente investigación es evaluar las condiciones fundamentales para la creación de una ZF en Aguachica, Cesar, y el alcance se limita al examinar la principal normativa tributaria  que ha expedido el Gobierno</w:t>
      </w:r>
      <w:r w:rsidRPr="00F03564">
        <w:t xml:space="preserve"> </w:t>
      </w:r>
      <w:r w:rsidRPr="00F03564">
        <w:rPr>
          <w:lang w:eastAsia="es-CO"/>
        </w:rPr>
        <w:t>Nacional buscando el desarrollo adecuado de las mismas en la región Caribe, dando a</w:t>
      </w:r>
      <w:r w:rsidRPr="00F03564">
        <w:t xml:space="preserve"> </w:t>
      </w:r>
      <w:r w:rsidRPr="00F03564">
        <w:rPr>
          <w:lang w:eastAsia="es-CO"/>
        </w:rPr>
        <w:t>conocer como las normas son capaces de promover la mayor competitividad por medio de los</w:t>
      </w:r>
      <w:r w:rsidRPr="00F03564">
        <w:t xml:space="preserve"> </w:t>
      </w:r>
      <w:r w:rsidRPr="00F03564">
        <w:rPr>
          <w:lang w:eastAsia="es-CO"/>
        </w:rPr>
        <w:t xml:space="preserve">beneficios que favorecen al pertenecer en  el régimen franco, </w:t>
      </w:r>
      <w:r w:rsidRPr="00AE6323">
        <w:rPr>
          <w:lang w:eastAsia="es-CO"/>
        </w:rPr>
        <w:t>garantizando que las empresas  se ubiquen en una de estas</w:t>
      </w:r>
      <w:r w:rsidRPr="00AE6323">
        <w:rPr>
          <w:color w:val="000000" w:themeColor="text1"/>
        </w:rPr>
        <w:t xml:space="preserve"> </w:t>
      </w:r>
      <w:r w:rsidRPr="00AE6323">
        <w:rPr>
          <w:lang w:eastAsia="es-CO"/>
        </w:rPr>
        <w:t xml:space="preserve">ciudadelas, generando un desarrollo local, ya que busca la reducción de los costos para la producción o transformación de materia prima.  </w:t>
      </w:r>
    </w:p>
    <w:p w14:paraId="73A97ADD" w14:textId="32782125" w:rsidR="00111186" w:rsidRDefault="00111186" w:rsidP="00F03564">
      <w:pPr>
        <w:spacing w:line="480" w:lineRule="auto"/>
        <w:ind w:firstLine="720"/>
        <w:rPr>
          <w:lang w:eastAsia="es-CO"/>
        </w:rPr>
      </w:pPr>
      <w:r w:rsidRPr="00111186">
        <w:rPr>
          <w:lang w:eastAsia="es-CO"/>
        </w:rPr>
        <w:t>Este estudio se limita a examinar la normativa tributaria, aduanera y de comercio exterior, junto con factores socioeconómicos, que pueden fomentar la creación y éxito de una ZF en Aguachica, Cesar. El análisis se centra en cómo estas normativas y factores pueden incrementar la competitividad y el desarrollo económico local, beneficiando a empresas y comunidade</w:t>
      </w:r>
      <w:r>
        <w:rPr>
          <w:lang w:eastAsia="es-CO"/>
        </w:rPr>
        <w:t>s en la región del sur del Cesar.</w:t>
      </w:r>
    </w:p>
    <w:p w14:paraId="5C8C87BC" w14:textId="77777777" w:rsidR="00507A9C" w:rsidRDefault="00507A9C" w:rsidP="00507A9C">
      <w:pPr>
        <w:ind w:firstLine="720"/>
        <w:rPr>
          <w:lang w:eastAsia="es-CO"/>
        </w:rPr>
      </w:pPr>
    </w:p>
    <w:p w14:paraId="71ACAB74" w14:textId="5DF3C09C" w:rsidR="00733DF2" w:rsidRDefault="00F22CC6" w:rsidP="00F03564">
      <w:pPr>
        <w:pStyle w:val="Ttulo2"/>
        <w:spacing w:line="480" w:lineRule="auto"/>
        <w:rPr>
          <w:lang w:eastAsia="es-CO"/>
        </w:rPr>
      </w:pPr>
      <w:bookmarkStart w:id="37" w:name="_Toc183783035"/>
      <w:r w:rsidRPr="00697E21">
        <w:rPr>
          <w:lang w:eastAsia="es-CO"/>
        </w:rPr>
        <w:t>DISEÑO DE LA INVESTIGACIÓN</w:t>
      </w:r>
      <w:bookmarkEnd w:id="37"/>
    </w:p>
    <w:p w14:paraId="6671A60E" w14:textId="77777777" w:rsidR="00507A9C" w:rsidRPr="00507A9C" w:rsidRDefault="00507A9C" w:rsidP="00507A9C">
      <w:pPr>
        <w:rPr>
          <w:lang w:eastAsia="es-CO"/>
        </w:rPr>
      </w:pPr>
    </w:p>
    <w:p w14:paraId="5D13E30C" w14:textId="77777777" w:rsidR="00111186" w:rsidRPr="00111186" w:rsidRDefault="00111186" w:rsidP="00111186">
      <w:pPr>
        <w:widowControl w:val="0"/>
        <w:spacing w:line="480" w:lineRule="auto"/>
        <w:ind w:firstLine="720"/>
        <w:rPr>
          <w:rFonts w:cs="Times New Roman"/>
          <w:lang w:eastAsia="es-CO"/>
        </w:rPr>
      </w:pPr>
      <w:r w:rsidRPr="00111186">
        <w:rPr>
          <w:rFonts w:cs="Times New Roman"/>
          <w:lang w:eastAsia="es-CO"/>
        </w:rPr>
        <w:t>Este estudio se define como una investigación cualitativa y descriptiva. La elección del diseño cualitativo se basa en la necesidad de capturar en profundidad y con flexibilidad los factores clave que influyen en la creación de una ZF en Aguachica, Cesar. Según Monje (2011), este tipo de investigación no implica un manejo estadístico riguroso, sino que permite un análisis interpretativo que facilita entender las propiedades y características del fenómeno en cuestión.</w:t>
      </w:r>
    </w:p>
    <w:p w14:paraId="1BE21EC8" w14:textId="31F6FD66" w:rsidR="00697E21" w:rsidRDefault="00111186" w:rsidP="00111186">
      <w:pPr>
        <w:widowControl w:val="0"/>
        <w:spacing w:line="480" w:lineRule="auto"/>
        <w:ind w:firstLine="720"/>
        <w:rPr>
          <w:rFonts w:cs="Times New Roman"/>
          <w:lang w:eastAsia="es-CO"/>
        </w:rPr>
      </w:pPr>
      <w:r w:rsidRPr="00111186">
        <w:rPr>
          <w:rFonts w:cs="Times New Roman"/>
          <w:lang w:eastAsia="es-CO"/>
        </w:rPr>
        <w:lastRenderedPageBreak/>
        <w:t>Este diseño es adecuado para los objetivos planteados, ya que permite especificar las propiedades y perfiles de los factores políticos, económicos y sociales relevantes en la implementación de una ZF en la región. Como señalan Hernández y Mendoza (2018), los estudios descriptivos buscan detallar las características y condiciones de los elementos en estudio, en este caso, las normativas y condiciones de mercado que podrían influir en la competitividad y el desarrollo e</w:t>
      </w:r>
      <w:r>
        <w:rPr>
          <w:rFonts w:cs="Times New Roman"/>
          <w:lang w:eastAsia="es-CO"/>
        </w:rPr>
        <w:t>conómico de una ZF en Aguachica</w:t>
      </w:r>
      <w:r w:rsidR="00733DF2" w:rsidRPr="00733DF2">
        <w:rPr>
          <w:rFonts w:cs="Times New Roman"/>
          <w:lang w:eastAsia="es-CO"/>
        </w:rPr>
        <w:t xml:space="preserve">. </w:t>
      </w:r>
    </w:p>
    <w:p w14:paraId="2BD2A0C7" w14:textId="77777777" w:rsidR="00507A9C" w:rsidRDefault="00507A9C" w:rsidP="00507A9C">
      <w:pPr>
        <w:widowControl w:val="0"/>
        <w:ind w:firstLine="720"/>
        <w:rPr>
          <w:rFonts w:cs="Times New Roman"/>
          <w:lang w:eastAsia="es-CO"/>
        </w:rPr>
      </w:pPr>
    </w:p>
    <w:p w14:paraId="77E882F4" w14:textId="54254950" w:rsidR="00733DF2" w:rsidRDefault="00F22CC6" w:rsidP="00F03564">
      <w:pPr>
        <w:pStyle w:val="Ttulo2"/>
        <w:rPr>
          <w:rStyle w:val="nfasisintenso"/>
          <w:i w:val="0"/>
          <w:iCs w:val="0"/>
          <w:color w:val="auto"/>
        </w:rPr>
      </w:pPr>
      <w:bookmarkStart w:id="38" w:name="_Toc183783036"/>
      <w:r w:rsidRPr="00697E21">
        <w:rPr>
          <w:rStyle w:val="nfasisintenso"/>
          <w:i w:val="0"/>
          <w:iCs w:val="0"/>
          <w:color w:val="auto"/>
        </w:rPr>
        <w:t>HIPÓTESIS</w:t>
      </w:r>
      <w:bookmarkEnd w:id="38"/>
    </w:p>
    <w:p w14:paraId="74C7E0DE" w14:textId="77777777" w:rsidR="00507A9C" w:rsidRPr="00507A9C" w:rsidRDefault="00507A9C" w:rsidP="00507A9C"/>
    <w:p w14:paraId="1D3D35A8" w14:textId="3A200A14" w:rsidR="00F03564" w:rsidRDefault="00733DF2" w:rsidP="00F03564">
      <w:pPr>
        <w:spacing w:line="480" w:lineRule="auto"/>
        <w:ind w:firstLine="720"/>
        <w:rPr>
          <w:szCs w:val="18"/>
          <w:lang w:eastAsia="es-CO"/>
        </w:rPr>
      </w:pPr>
      <w:r w:rsidRPr="00733DF2">
        <w:rPr>
          <w:szCs w:val="18"/>
          <w:lang w:eastAsia="es-CO"/>
        </w:rPr>
        <w:t>Se</w:t>
      </w:r>
      <w:r w:rsidR="00697E21">
        <w:rPr>
          <w:szCs w:val="18"/>
          <w:lang w:eastAsia="es-CO"/>
        </w:rPr>
        <w:t>gún Hernández y Mendoza (2018), l</w:t>
      </w:r>
      <w:r w:rsidRPr="00733DF2">
        <w:rPr>
          <w:szCs w:val="18"/>
          <w:lang w:eastAsia="es-CO"/>
        </w:rPr>
        <w:t xml:space="preserve">as investigaciones cuantitativas que formulan hipótesis son solamente aquellas que tienen un alcance correlacional o explicativo, o las que tienen un alcance descriptivo, pero que intentan pronosticar una cifra, un dato o un hecho. En el caso de los estudios cualitativos, regularmente no se formulan hipótesis antes de recolectar datos (aunque no siempre ocurre así). Su naturaleza es más bien inducir las hipótesis por medio de la recolección y el análisis de los datos. </w:t>
      </w:r>
    </w:p>
    <w:p w14:paraId="0B4EEE25" w14:textId="77777777" w:rsidR="00507A9C" w:rsidRPr="00F03564" w:rsidRDefault="00507A9C" w:rsidP="00507A9C">
      <w:pPr>
        <w:ind w:firstLine="720"/>
        <w:rPr>
          <w:szCs w:val="18"/>
          <w:lang w:eastAsia="es-CO"/>
        </w:rPr>
      </w:pPr>
    </w:p>
    <w:p w14:paraId="31223396" w14:textId="25D8E312" w:rsidR="00697E21" w:rsidRDefault="00F22CC6" w:rsidP="00F03564">
      <w:pPr>
        <w:pStyle w:val="Ttulo2"/>
      </w:pPr>
      <w:bookmarkStart w:id="39" w:name="_Toc183783037"/>
      <w:r w:rsidRPr="00F03564">
        <w:t>ÁREA DE LOCALIZACIÓN DE ESTUDIO</w:t>
      </w:r>
      <w:bookmarkEnd w:id="39"/>
    </w:p>
    <w:p w14:paraId="28FCF4FA" w14:textId="77777777" w:rsidR="00507A9C" w:rsidRPr="00507A9C" w:rsidRDefault="00507A9C" w:rsidP="00507A9C"/>
    <w:p w14:paraId="6E57A9DD" w14:textId="2985F619" w:rsidR="0093652A" w:rsidRDefault="00697E21" w:rsidP="0015136C">
      <w:pPr>
        <w:spacing w:line="480" w:lineRule="auto"/>
        <w:ind w:firstLine="720"/>
      </w:pPr>
      <w:r w:rsidRPr="00697E21">
        <w:t>El estudio se llevará a cabo en el municipio de Aguachica, ubicado en el departamento del Cesar, Colombia. Se tomará como referencia las principales Zonas Francas (ZF) de la región Caribe colombiana para evaluar las condiciones que podrían facilitar la implementación de una ZF en Aguachica.</w:t>
      </w:r>
    </w:p>
    <w:p w14:paraId="3D841A9C" w14:textId="2343FE43" w:rsidR="00697E21" w:rsidRDefault="00F22CC6" w:rsidP="00F03564">
      <w:pPr>
        <w:pStyle w:val="Ttulo2"/>
      </w:pPr>
      <w:bookmarkStart w:id="40" w:name="_Toc183783038"/>
      <w:r w:rsidRPr="00F03564">
        <w:lastRenderedPageBreak/>
        <w:t>POBLACIÓN Y MUESTRA</w:t>
      </w:r>
      <w:bookmarkEnd w:id="40"/>
    </w:p>
    <w:p w14:paraId="4946298A" w14:textId="77777777" w:rsidR="00507A9C" w:rsidRPr="00507A9C" w:rsidRDefault="00507A9C" w:rsidP="00507A9C"/>
    <w:p w14:paraId="5B5ECDDE" w14:textId="057F3327" w:rsidR="0093652A" w:rsidRDefault="0093652A" w:rsidP="0015136C">
      <w:pPr>
        <w:spacing w:line="480" w:lineRule="auto"/>
        <w:ind w:firstLine="720"/>
        <w:rPr>
          <w:rFonts w:cs="Times New Roman"/>
        </w:rPr>
      </w:pPr>
      <w:r w:rsidRPr="0093652A">
        <w:rPr>
          <w:rFonts w:cs="Times New Roman"/>
        </w:rPr>
        <w:t>Se consideran los documentos indexados en bases de da</w:t>
      </w:r>
      <w:r w:rsidR="00FD137C">
        <w:rPr>
          <w:rFonts w:cs="Times New Roman"/>
        </w:rPr>
        <w:t>tos,</w:t>
      </w:r>
      <w:r w:rsidRPr="0093652A">
        <w:rPr>
          <w:rFonts w:cs="Times New Roman"/>
        </w:rPr>
        <w:t xml:space="preserve"> buscador académico referente a las Zonas francas en Colombia y sus con</w:t>
      </w:r>
      <w:r w:rsidR="00FD137C">
        <w:rPr>
          <w:rFonts w:cs="Times New Roman"/>
        </w:rPr>
        <w:t>diciones para su implementación, documentación estatal e información estadística.</w:t>
      </w:r>
    </w:p>
    <w:p w14:paraId="5CC8127D" w14:textId="77777777" w:rsidR="00507A9C" w:rsidRDefault="00507A9C" w:rsidP="00507A9C">
      <w:pPr>
        <w:ind w:firstLine="720"/>
        <w:rPr>
          <w:rFonts w:cs="Times New Roman"/>
        </w:rPr>
      </w:pPr>
    </w:p>
    <w:p w14:paraId="00865979" w14:textId="70C385B8" w:rsidR="00FD137C" w:rsidRDefault="00F22CC6" w:rsidP="00F03564">
      <w:pPr>
        <w:pStyle w:val="Ttulo2"/>
      </w:pPr>
      <w:bookmarkStart w:id="41" w:name="_Toc183783039"/>
      <w:r w:rsidRPr="00F03564">
        <w:t>FUENTES DE INFORMACIÓN</w:t>
      </w:r>
      <w:bookmarkEnd w:id="41"/>
    </w:p>
    <w:p w14:paraId="23B473B8" w14:textId="77777777" w:rsidR="00507A9C" w:rsidRPr="00507A9C" w:rsidRDefault="00507A9C" w:rsidP="00507A9C"/>
    <w:p w14:paraId="3D2320EB" w14:textId="1D9802C7" w:rsidR="00FD137C" w:rsidRDefault="0093652A" w:rsidP="00992C76">
      <w:pPr>
        <w:widowControl w:val="0"/>
        <w:spacing w:line="480" w:lineRule="auto"/>
        <w:ind w:firstLine="720"/>
      </w:pPr>
      <w:r w:rsidRPr="0093652A">
        <w:rPr>
          <w:rFonts w:cs="Times New Roman"/>
        </w:rPr>
        <w:t>En este proyecto de investigación se utilizará principalmente como las fuentes de información</w:t>
      </w:r>
      <w:r w:rsidRPr="0093652A">
        <w:t xml:space="preserve"> secundarias, </w:t>
      </w:r>
      <w:r w:rsidR="00FD137C">
        <w:t xml:space="preserve">que </w:t>
      </w:r>
      <w:r w:rsidRPr="0093652A">
        <w:t>son listas, compilaciones y resúmenes de fuentes primarias publicadas en un área de conocimiento en particular, es decir, reprocesan información de primera mano. Comentan brevemente artículos, libros, tesis, disertaciones y otros documentos. Sampieri</w:t>
      </w:r>
      <w:r w:rsidR="00F03564">
        <w:t xml:space="preserve"> (</w:t>
      </w:r>
      <w:r w:rsidRPr="0093652A">
        <w:t>2008) y para las fuentes terciaria, consisten en guías físicas o virtuales que contienen información sobre las fuentes secundarias., forman parte de la colección de la biblioteca, facilitan el control y el acceso a toda gama de repertorios de referencia, como las guías de obras de referencia o a un solo tipo, como las bibliografías</w:t>
      </w:r>
      <w:r w:rsidR="00992C76">
        <w:t>.</w:t>
      </w:r>
      <w:r w:rsidRPr="0093652A">
        <w:t xml:space="preserve"> </w:t>
      </w:r>
    </w:p>
    <w:p w14:paraId="131702C3" w14:textId="77777777" w:rsidR="00507A9C" w:rsidRDefault="00507A9C" w:rsidP="00507A9C">
      <w:pPr>
        <w:widowControl w:val="0"/>
        <w:ind w:firstLine="720"/>
      </w:pPr>
    </w:p>
    <w:p w14:paraId="07B2A66D" w14:textId="271741BE" w:rsidR="00FD137C" w:rsidRDefault="00F22CC6" w:rsidP="00992C76">
      <w:pPr>
        <w:pStyle w:val="Ttulo2"/>
      </w:pPr>
      <w:bookmarkStart w:id="42" w:name="_Toc183783040"/>
      <w:r w:rsidRPr="00992C76">
        <w:t>TÉCNICAS E INSTRUMENTOS DE RECOLECCIÓN DE DATOS</w:t>
      </w:r>
      <w:bookmarkEnd w:id="42"/>
    </w:p>
    <w:p w14:paraId="3B15407D" w14:textId="77777777" w:rsidR="00507A9C" w:rsidRPr="00507A9C" w:rsidRDefault="00507A9C" w:rsidP="00507A9C"/>
    <w:p w14:paraId="374D9471" w14:textId="77777777" w:rsidR="0093652A" w:rsidRPr="0093652A" w:rsidRDefault="0093652A" w:rsidP="0015136C">
      <w:pPr>
        <w:spacing w:line="480" w:lineRule="auto"/>
        <w:ind w:firstLine="720"/>
        <w:rPr>
          <w:rFonts w:cs="Times New Roman"/>
          <w:b/>
          <w:bCs/>
          <w:color w:val="000000" w:themeColor="text1"/>
        </w:rPr>
      </w:pPr>
      <w:r w:rsidRPr="0093652A">
        <w:rPr>
          <w:rFonts w:cs="Times New Roman"/>
          <w:b/>
          <w:bCs/>
          <w:color w:val="000000" w:themeColor="text1"/>
        </w:rPr>
        <w:t xml:space="preserve">Proceso de sistematización </w:t>
      </w:r>
    </w:p>
    <w:p w14:paraId="36447523" w14:textId="77777777" w:rsidR="0093652A" w:rsidRPr="0093652A" w:rsidRDefault="0093652A" w:rsidP="0015136C">
      <w:pPr>
        <w:spacing w:line="480" w:lineRule="auto"/>
        <w:ind w:firstLine="720"/>
        <w:rPr>
          <w:rFonts w:cs="Times New Roman"/>
          <w:color w:val="000000" w:themeColor="text1"/>
        </w:rPr>
      </w:pPr>
      <w:r w:rsidRPr="0093652A">
        <w:rPr>
          <w:rFonts w:cs="Times New Roman"/>
          <w:color w:val="000000" w:themeColor="text1"/>
        </w:rPr>
        <w:t xml:space="preserve">En este proceso se llevó a cabo en tres etapas: heurística, hermenéutica (Barbosa et al., 2013) y de consolidación. </w:t>
      </w:r>
    </w:p>
    <w:p w14:paraId="7B4EA17E" w14:textId="77777777" w:rsidR="0093652A" w:rsidRPr="0093652A" w:rsidRDefault="0093652A" w:rsidP="0015136C">
      <w:pPr>
        <w:spacing w:line="480" w:lineRule="auto"/>
        <w:ind w:firstLine="720"/>
        <w:rPr>
          <w:rFonts w:cs="Times New Roman"/>
          <w:b/>
          <w:bCs/>
          <w:color w:val="000000" w:themeColor="text1"/>
        </w:rPr>
      </w:pPr>
      <w:r w:rsidRPr="0093652A">
        <w:rPr>
          <w:rFonts w:cs="Times New Roman"/>
          <w:b/>
          <w:bCs/>
          <w:color w:val="000000" w:themeColor="text1"/>
        </w:rPr>
        <w:t xml:space="preserve">Fase heurística  </w:t>
      </w:r>
    </w:p>
    <w:p w14:paraId="1296608D" w14:textId="77777777" w:rsidR="0093652A" w:rsidRPr="0093652A" w:rsidRDefault="0093652A" w:rsidP="0015136C">
      <w:pPr>
        <w:widowControl w:val="0"/>
        <w:spacing w:line="480" w:lineRule="auto"/>
        <w:ind w:firstLine="720"/>
        <w:rPr>
          <w:rFonts w:cs="Times New Roman"/>
          <w:color w:val="000000" w:themeColor="text1"/>
        </w:rPr>
      </w:pPr>
      <w:r w:rsidRPr="0093652A">
        <w:rPr>
          <w:rFonts w:cs="Times New Roman"/>
          <w:color w:val="000000" w:themeColor="text1"/>
        </w:rPr>
        <w:lastRenderedPageBreak/>
        <w:t>Se llevaron a cabo búsquedas de fuentes utilizando las palabras claves</w:t>
      </w:r>
      <w:r w:rsidRPr="0093652A">
        <w:rPr>
          <w:rFonts w:cs="Times New Roman"/>
          <w:color w:val="000000" w:themeColor="text1"/>
          <w:lang w:eastAsia="es-CO"/>
        </w:rPr>
        <w:t xml:space="preserve"> </w:t>
      </w:r>
      <w:r w:rsidRPr="0093652A">
        <w:rPr>
          <w:rFonts w:cs="Times New Roman"/>
        </w:rPr>
        <w:t>Zona franca, Competitividad, Exportación, Crecimiento Regional, Desarrollo económico, desarrollo local</w:t>
      </w:r>
      <w:r w:rsidRPr="0093652A">
        <w:rPr>
          <w:rFonts w:cs="Times New Roman"/>
          <w:color w:val="000000" w:themeColor="text1"/>
        </w:rPr>
        <w:t xml:space="preserve">. Se emplearon bases de búsqueda amplias incluyendo: </w:t>
      </w:r>
      <w:r w:rsidRPr="0093652A">
        <w:rPr>
          <w:rFonts w:cs="Times New Roman"/>
        </w:rPr>
        <w:t>Web of Science</w:t>
      </w:r>
      <w:r w:rsidRPr="0093652A">
        <w:rPr>
          <w:rFonts w:cs="Times New Roman"/>
          <w:color w:val="000000" w:themeColor="text1"/>
        </w:rPr>
        <w:t xml:space="preserve">, Scopus, proQuest </w:t>
      </w:r>
      <w:r w:rsidRPr="0093652A">
        <w:rPr>
          <w:rFonts w:cs="Times New Roman"/>
        </w:rPr>
        <w:t>European Business</w:t>
      </w:r>
      <w:r w:rsidRPr="0093652A">
        <w:rPr>
          <w:rFonts w:cs="Times New Roman"/>
          <w:color w:val="000000" w:themeColor="text1"/>
        </w:rPr>
        <w:t xml:space="preserve">, </w:t>
      </w:r>
      <w:r w:rsidRPr="0093652A">
        <w:rPr>
          <w:rFonts w:cs="Times New Roman"/>
        </w:rPr>
        <w:t>OECD iLibrary</w:t>
      </w:r>
      <w:r w:rsidRPr="0093652A">
        <w:rPr>
          <w:rFonts w:cs="Times New Roman"/>
          <w:color w:val="000000" w:themeColor="text1"/>
        </w:rPr>
        <w:t xml:space="preserve">, </w:t>
      </w:r>
      <w:r w:rsidRPr="0093652A">
        <w:rPr>
          <w:rFonts w:cs="Times New Roman"/>
        </w:rPr>
        <w:t>World Bank Open Knowledge Repository</w:t>
      </w:r>
      <w:r w:rsidRPr="0093652A">
        <w:rPr>
          <w:rFonts w:cs="Times New Roman"/>
          <w:color w:val="000000" w:themeColor="text1"/>
        </w:rPr>
        <w:t xml:space="preserve">, </w:t>
      </w:r>
      <w:r w:rsidRPr="0093652A">
        <w:rPr>
          <w:rFonts w:cs="Times New Roman"/>
        </w:rPr>
        <w:t>Research Papers in Economics</w:t>
      </w:r>
      <w:r w:rsidRPr="0093652A">
        <w:rPr>
          <w:rFonts w:cs="Times New Roman"/>
          <w:color w:val="000000" w:themeColor="text1"/>
        </w:rPr>
        <w:t xml:space="preserve">, </w:t>
      </w:r>
      <w:r w:rsidRPr="0093652A">
        <w:rPr>
          <w:rFonts w:cs="Times New Roman"/>
        </w:rPr>
        <w:t>Academic Search Complete, Scientific Electronic Library Online (SciELO)</w:t>
      </w:r>
      <w:r w:rsidRPr="0093652A">
        <w:rPr>
          <w:rFonts w:cs="Times New Roman"/>
          <w:color w:val="000000" w:themeColor="text1"/>
        </w:rPr>
        <w:t xml:space="preserve">, además de los buscadores como Google Académico, tanto en inglés como en español. </w:t>
      </w:r>
    </w:p>
    <w:p w14:paraId="2E02CBC7" w14:textId="77777777" w:rsidR="0093652A" w:rsidRPr="0093652A" w:rsidRDefault="0093652A" w:rsidP="0015136C">
      <w:pPr>
        <w:spacing w:line="480" w:lineRule="auto"/>
        <w:ind w:firstLine="720"/>
        <w:rPr>
          <w:rFonts w:cs="Times New Roman"/>
          <w:b/>
          <w:bCs/>
          <w:color w:val="000000" w:themeColor="text1"/>
        </w:rPr>
      </w:pPr>
      <w:r w:rsidRPr="0093652A">
        <w:rPr>
          <w:rFonts w:cs="Times New Roman"/>
          <w:b/>
          <w:bCs/>
          <w:color w:val="000000" w:themeColor="text1"/>
        </w:rPr>
        <w:t>Otros criterios de búsqueda</w:t>
      </w:r>
    </w:p>
    <w:p w14:paraId="3C5060DE" w14:textId="77777777" w:rsidR="0093652A" w:rsidRPr="0093652A" w:rsidRDefault="0093652A" w:rsidP="0015136C">
      <w:pPr>
        <w:spacing w:line="480" w:lineRule="auto"/>
        <w:ind w:firstLine="720"/>
        <w:rPr>
          <w:rFonts w:cs="Times New Roman"/>
          <w:b/>
          <w:bCs/>
          <w:color w:val="000000" w:themeColor="text1"/>
        </w:rPr>
      </w:pPr>
      <w:r w:rsidRPr="0093652A">
        <w:rPr>
          <w:rFonts w:cs="Times New Roman"/>
          <w:color w:val="000000" w:themeColor="text1"/>
        </w:rPr>
        <w:t xml:space="preserve">Los términos de búsqueda fueron revisados con los siguientes criterios: Material principal abordado en el documento, subencabezados o calificadores que precisan un aspecto específico del tema. (subheadings) y título. </w:t>
      </w:r>
    </w:p>
    <w:p w14:paraId="72A0FABD" w14:textId="77777777" w:rsidR="0093652A" w:rsidRPr="0093652A" w:rsidRDefault="0093652A" w:rsidP="0015136C">
      <w:pPr>
        <w:spacing w:line="480" w:lineRule="auto"/>
        <w:ind w:firstLine="720"/>
        <w:rPr>
          <w:rFonts w:cs="Times New Roman"/>
          <w:b/>
          <w:bCs/>
          <w:color w:val="000000" w:themeColor="text1"/>
        </w:rPr>
      </w:pPr>
      <w:r w:rsidRPr="0093652A">
        <w:rPr>
          <w:rFonts w:cs="Times New Roman"/>
          <w:b/>
          <w:bCs/>
          <w:color w:val="000000" w:themeColor="text1"/>
        </w:rPr>
        <w:t>Fase hermenéutica</w:t>
      </w:r>
    </w:p>
    <w:p w14:paraId="24C0198D" w14:textId="77777777" w:rsidR="0093652A" w:rsidRPr="0093652A" w:rsidRDefault="0093652A" w:rsidP="0015136C">
      <w:pPr>
        <w:spacing w:line="480" w:lineRule="auto"/>
        <w:ind w:firstLine="720"/>
        <w:rPr>
          <w:rFonts w:cs="Times New Roman"/>
          <w:color w:val="000000" w:themeColor="text1"/>
        </w:rPr>
      </w:pPr>
      <w:r w:rsidRPr="0093652A">
        <w:rPr>
          <w:rFonts w:cs="Times New Roman"/>
          <w:color w:val="000000" w:themeColor="text1"/>
        </w:rPr>
        <w:t xml:space="preserve"> La información fue analiza tras depurar de fuentes primarias y secundarias, empleando la clasificación de documentos según Sackett (Manterola et al., 2014). De esta manera, se clasificaron los niveles de evidencia conforme a Sackett.</w:t>
      </w:r>
    </w:p>
    <w:p w14:paraId="78A0F77B" w14:textId="77777777" w:rsidR="0093652A" w:rsidRPr="0093652A" w:rsidRDefault="0093652A" w:rsidP="0015136C">
      <w:pPr>
        <w:spacing w:line="480" w:lineRule="auto"/>
        <w:ind w:firstLine="720"/>
        <w:rPr>
          <w:rFonts w:cs="Times New Roman"/>
          <w:b/>
          <w:bCs/>
          <w:color w:val="000000" w:themeColor="text1"/>
        </w:rPr>
      </w:pPr>
      <w:r w:rsidRPr="0093652A">
        <w:rPr>
          <w:rFonts w:cs="Times New Roman"/>
          <w:b/>
          <w:bCs/>
          <w:color w:val="000000" w:themeColor="text1"/>
        </w:rPr>
        <w:t xml:space="preserve">Fase de consolidación monográfica </w:t>
      </w:r>
    </w:p>
    <w:p w14:paraId="055CA003" w14:textId="2764829D" w:rsidR="0093652A" w:rsidRDefault="0093652A" w:rsidP="00992C76">
      <w:pPr>
        <w:widowControl w:val="0"/>
        <w:spacing w:line="480" w:lineRule="auto"/>
        <w:rPr>
          <w:color w:val="000000" w:themeColor="text1"/>
          <w:sz w:val="22"/>
        </w:rPr>
      </w:pPr>
      <w:r w:rsidRPr="00992C76">
        <w:rPr>
          <w:color w:val="000000" w:themeColor="text1"/>
          <w:sz w:val="22"/>
        </w:rPr>
        <w:t xml:space="preserve">En esta fase se consolido desde los documentos toda la síntesis y el análisis de la información clasificándose por categorías desde la estructura y el contenido del estudio. </w:t>
      </w:r>
    </w:p>
    <w:p w14:paraId="480AF189" w14:textId="77777777" w:rsidR="00711A4E" w:rsidRPr="00992C76" w:rsidRDefault="00711A4E" w:rsidP="00711A4E">
      <w:pPr>
        <w:widowControl w:val="0"/>
        <w:rPr>
          <w:color w:val="000000" w:themeColor="text1"/>
          <w:sz w:val="22"/>
        </w:rPr>
      </w:pPr>
    </w:p>
    <w:p w14:paraId="40EA8255" w14:textId="34967699" w:rsidR="0093652A" w:rsidRDefault="00F22CC6" w:rsidP="00992C76">
      <w:pPr>
        <w:pStyle w:val="Ttulo2"/>
      </w:pPr>
      <w:bookmarkStart w:id="43" w:name="_Toc183783041"/>
      <w:r w:rsidRPr="00992C76">
        <w:t>PROCEDIMIENTO</w:t>
      </w:r>
      <w:bookmarkEnd w:id="43"/>
    </w:p>
    <w:p w14:paraId="4ED52E37" w14:textId="77777777" w:rsidR="00711A4E" w:rsidRPr="00711A4E" w:rsidRDefault="00711A4E" w:rsidP="00711A4E"/>
    <w:p w14:paraId="761B887E" w14:textId="6D58E330" w:rsidR="0093652A" w:rsidRDefault="0093652A" w:rsidP="0015136C">
      <w:pPr>
        <w:spacing w:line="480" w:lineRule="auto"/>
        <w:ind w:firstLine="720"/>
        <w:rPr>
          <w:szCs w:val="18"/>
        </w:rPr>
      </w:pPr>
      <w:r w:rsidRPr="0093652A">
        <w:rPr>
          <w:szCs w:val="18"/>
        </w:rPr>
        <w:lastRenderedPageBreak/>
        <w:t>Para el desarrollo de la monografía se realizó un proceso entorno al desarrollo de los objetivos específicos. A continuación, se describe la forma en que se accede a las fuentes y los tipos de fuentes utilizadas como se muestra en la siguiente tabla:</w:t>
      </w:r>
    </w:p>
    <w:p w14:paraId="3E4CE1F6" w14:textId="58E785A7" w:rsidR="00992C76" w:rsidRPr="00992C76" w:rsidRDefault="00992C76" w:rsidP="00992C76">
      <w:pPr>
        <w:pStyle w:val="Descripcin"/>
        <w:spacing w:after="0"/>
        <w:rPr>
          <w:b/>
          <w:bCs/>
          <w:i w:val="0"/>
          <w:iCs w:val="0"/>
          <w:color w:val="auto"/>
          <w:sz w:val="24"/>
        </w:rPr>
      </w:pPr>
      <w:bookmarkStart w:id="44" w:name="_Toc178688998"/>
      <w:bookmarkStart w:id="45" w:name="_Toc183783071"/>
      <w:r w:rsidRPr="00992C76">
        <w:rPr>
          <w:b/>
          <w:bCs/>
          <w:i w:val="0"/>
          <w:iCs w:val="0"/>
          <w:color w:val="auto"/>
          <w:sz w:val="24"/>
        </w:rPr>
        <w:t xml:space="preserve">Tabla </w:t>
      </w:r>
      <w:r w:rsidRPr="00992C76">
        <w:rPr>
          <w:b/>
          <w:bCs/>
          <w:i w:val="0"/>
          <w:iCs w:val="0"/>
          <w:color w:val="auto"/>
          <w:sz w:val="24"/>
        </w:rPr>
        <w:fldChar w:fldCharType="begin"/>
      </w:r>
      <w:r w:rsidRPr="00992C76">
        <w:rPr>
          <w:b/>
          <w:bCs/>
          <w:i w:val="0"/>
          <w:iCs w:val="0"/>
          <w:color w:val="auto"/>
          <w:sz w:val="24"/>
        </w:rPr>
        <w:instrText xml:space="preserve"> SEQ Tabla \* ARABIC </w:instrText>
      </w:r>
      <w:r w:rsidRPr="00992C76">
        <w:rPr>
          <w:b/>
          <w:bCs/>
          <w:i w:val="0"/>
          <w:iCs w:val="0"/>
          <w:color w:val="auto"/>
          <w:sz w:val="24"/>
        </w:rPr>
        <w:fldChar w:fldCharType="separate"/>
      </w:r>
      <w:r w:rsidR="00901E21">
        <w:rPr>
          <w:b/>
          <w:bCs/>
          <w:i w:val="0"/>
          <w:iCs w:val="0"/>
          <w:noProof/>
          <w:color w:val="auto"/>
          <w:sz w:val="24"/>
        </w:rPr>
        <w:t>3</w:t>
      </w:r>
      <w:r w:rsidRPr="00992C76">
        <w:rPr>
          <w:b/>
          <w:bCs/>
          <w:i w:val="0"/>
          <w:iCs w:val="0"/>
          <w:color w:val="auto"/>
          <w:sz w:val="24"/>
        </w:rPr>
        <w:fldChar w:fldCharType="end"/>
      </w:r>
      <w:r w:rsidRPr="00992C76">
        <w:rPr>
          <w:b/>
          <w:bCs/>
          <w:i w:val="0"/>
          <w:iCs w:val="0"/>
          <w:color w:val="auto"/>
          <w:sz w:val="24"/>
        </w:rPr>
        <w:t>:</w:t>
      </w:r>
      <w:bookmarkEnd w:id="44"/>
      <w:bookmarkEnd w:id="45"/>
      <w:r w:rsidRPr="00992C76">
        <w:rPr>
          <w:b/>
          <w:bCs/>
          <w:i w:val="0"/>
          <w:iCs w:val="0"/>
          <w:color w:val="auto"/>
          <w:sz w:val="24"/>
        </w:rPr>
        <w:t xml:space="preserve"> </w:t>
      </w:r>
    </w:p>
    <w:p w14:paraId="0610952A" w14:textId="3CA5B5DA" w:rsidR="00992C76" w:rsidRPr="006C3145" w:rsidRDefault="00992C76" w:rsidP="00992C76">
      <w:pPr>
        <w:pStyle w:val="Descripcin"/>
        <w:spacing w:after="0"/>
        <w:rPr>
          <w:i w:val="0"/>
          <w:iCs w:val="0"/>
          <w:color w:val="auto"/>
          <w:sz w:val="24"/>
        </w:rPr>
      </w:pPr>
      <w:bookmarkStart w:id="46" w:name="_Toc178688999"/>
      <w:bookmarkStart w:id="47" w:name="_Toc183783072"/>
      <w:r w:rsidRPr="006C3145">
        <w:rPr>
          <w:i w:val="0"/>
          <w:iCs w:val="0"/>
          <w:color w:val="auto"/>
          <w:sz w:val="24"/>
        </w:rPr>
        <w:t>Procedimiento</w:t>
      </w:r>
      <w:bookmarkEnd w:id="46"/>
      <w:bookmarkEnd w:id="47"/>
    </w:p>
    <w:p w14:paraId="3C3E3E78" w14:textId="77777777" w:rsidR="00992C76" w:rsidRPr="00992C76" w:rsidRDefault="00992C76" w:rsidP="00992C76"/>
    <w:tbl>
      <w:tblPr>
        <w:tblStyle w:val="Tablaconcuadrcula"/>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39"/>
        <w:gridCol w:w="4339"/>
      </w:tblGrid>
      <w:tr w:rsidR="00992C76" w:rsidRPr="00992C76" w14:paraId="1F3DAC34" w14:textId="77777777" w:rsidTr="00992C76">
        <w:tc>
          <w:tcPr>
            <w:tcW w:w="4339" w:type="dxa"/>
            <w:tcBorders>
              <w:top w:val="single" w:sz="4" w:space="0" w:color="auto"/>
              <w:bottom w:val="single" w:sz="4" w:space="0" w:color="auto"/>
            </w:tcBorders>
            <w:shd w:val="clear" w:color="auto" w:fill="auto"/>
          </w:tcPr>
          <w:p w14:paraId="218B4D4A" w14:textId="77777777" w:rsidR="0093652A" w:rsidRPr="00992C76" w:rsidRDefault="0093652A" w:rsidP="0015136C">
            <w:pPr>
              <w:widowControl w:val="0"/>
              <w:spacing w:line="480" w:lineRule="auto"/>
              <w:ind w:firstLine="720"/>
              <w:jc w:val="center"/>
              <w:rPr>
                <w:b/>
                <w:bCs/>
                <w:sz w:val="22"/>
                <w:szCs w:val="22"/>
              </w:rPr>
            </w:pPr>
            <w:r w:rsidRPr="00992C76">
              <w:rPr>
                <w:b/>
                <w:bCs/>
                <w:sz w:val="22"/>
                <w:szCs w:val="22"/>
              </w:rPr>
              <w:t>OBJETIVOS</w:t>
            </w:r>
          </w:p>
        </w:tc>
        <w:tc>
          <w:tcPr>
            <w:tcW w:w="4339" w:type="dxa"/>
            <w:tcBorders>
              <w:top w:val="single" w:sz="4" w:space="0" w:color="auto"/>
              <w:bottom w:val="single" w:sz="4" w:space="0" w:color="auto"/>
            </w:tcBorders>
            <w:shd w:val="clear" w:color="auto" w:fill="auto"/>
          </w:tcPr>
          <w:p w14:paraId="7820D94F" w14:textId="77777777" w:rsidR="0093652A" w:rsidRPr="00992C76" w:rsidRDefault="0093652A" w:rsidP="0015136C">
            <w:pPr>
              <w:widowControl w:val="0"/>
              <w:spacing w:line="480" w:lineRule="auto"/>
              <w:ind w:firstLine="720"/>
              <w:jc w:val="center"/>
              <w:rPr>
                <w:b/>
                <w:bCs/>
                <w:sz w:val="22"/>
                <w:szCs w:val="22"/>
              </w:rPr>
            </w:pPr>
            <w:r w:rsidRPr="00992C76">
              <w:rPr>
                <w:b/>
                <w:bCs/>
                <w:sz w:val="22"/>
                <w:szCs w:val="22"/>
              </w:rPr>
              <w:t>ESTRATEGIA DE BÚSQUEDA</w:t>
            </w:r>
          </w:p>
        </w:tc>
      </w:tr>
      <w:tr w:rsidR="00992C76" w:rsidRPr="00992C76" w14:paraId="05B10CE5" w14:textId="77777777" w:rsidTr="00992C76">
        <w:tc>
          <w:tcPr>
            <w:tcW w:w="4339" w:type="dxa"/>
            <w:tcBorders>
              <w:top w:val="single" w:sz="4" w:space="0" w:color="auto"/>
            </w:tcBorders>
            <w:shd w:val="clear" w:color="auto" w:fill="auto"/>
            <w:vAlign w:val="center"/>
          </w:tcPr>
          <w:p w14:paraId="1C040E26" w14:textId="77777777" w:rsidR="0093652A" w:rsidRPr="00992C76" w:rsidRDefault="0093652A" w:rsidP="0015136C">
            <w:pPr>
              <w:widowControl w:val="0"/>
              <w:spacing w:line="480" w:lineRule="auto"/>
              <w:rPr>
                <w:sz w:val="22"/>
                <w:szCs w:val="22"/>
              </w:rPr>
            </w:pPr>
          </w:p>
          <w:p w14:paraId="629F97AD" w14:textId="77777777" w:rsidR="0093652A" w:rsidRPr="00992C76" w:rsidRDefault="0093652A" w:rsidP="0015136C">
            <w:pPr>
              <w:widowControl w:val="0"/>
              <w:spacing w:line="480" w:lineRule="auto"/>
              <w:ind w:firstLine="720"/>
              <w:jc w:val="center"/>
              <w:rPr>
                <w:sz w:val="22"/>
                <w:szCs w:val="22"/>
              </w:rPr>
            </w:pPr>
            <w:r w:rsidRPr="00992C76">
              <w:rPr>
                <w:rFonts w:eastAsia="Arial Narrow"/>
              </w:rPr>
              <w:t>Examinar la normativa tributaria, aduanera y de comercio exterior para el funcionamiento de una Zona Franca en Aguachica - Cesar con base en las disposiciones gubernamentales vigentes</w:t>
            </w:r>
            <w:r w:rsidRPr="00992C76">
              <w:rPr>
                <w:sz w:val="22"/>
                <w:szCs w:val="22"/>
              </w:rPr>
              <w:t xml:space="preserve"> </w:t>
            </w:r>
          </w:p>
        </w:tc>
        <w:tc>
          <w:tcPr>
            <w:tcW w:w="4339" w:type="dxa"/>
            <w:tcBorders>
              <w:top w:val="single" w:sz="4" w:space="0" w:color="auto"/>
            </w:tcBorders>
            <w:shd w:val="clear" w:color="auto" w:fill="auto"/>
          </w:tcPr>
          <w:p w14:paraId="1F8AB9D1" w14:textId="77777777" w:rsidR="0093652A" w:rsidRPr="00992C76" w:rsidRDefault="0093652A" w:rsidP="0015136C">
            <w:pPr>
              <w:widowControl w:val="0"/>
              <w:spacing w:line="480" w:lineRule="auto"/>
              <w:ind w:firstLine="720"/>
            </w:pPr>
            <w:r w:rsidRPr="00992C76">
              <w:t xml:space="preserve">La página web oficial de cada una de las Zonas francas: </w:t>
            </w:r>
            <w:hyperlink r:id="rId8" w:history="1">
              <w:r w:rsidRPr="00992C76">
                <w:rPr>
                  <w:rStyle w:val="Hipervnculo"/>
                  <w:color w:val="auto"/>
                </w:rPr>
                <w:t>http://www.zonafrancapalmaseca.com</w:t>
              </w:r>
            </w:hyperlink>
          </w:p>
          <w:p w14:paraId="280744F8" w14:textId="77777777" w:rsidR="0093652A" w:rsidRPr="00992C76" w:rsidRDefault="00E23E2B" w:rsidP="0015136C">
            <w:pPr>
              <w:widowControl w:val="0"/>
              <w:spacing w:line="480" w:lineRule="auto"/>
              <w:ind w:firstLine="720"/>
              <w:rPr>
                <w:sz w:val="22"/>
                <w:szCs w:val="22"/>
              </w:rPr>
            </w:pPr>
            <w:hyperlink r:id="rId9" w:history="1">
              <w:r w:rsidR="0093652A" w:rsidRPr="00992C76">
                <w:rPr>
                  <w:rStyle w:val="Hipervnculo"/>
                  <w:color w:val="auto"/>
                  <w:sz w:val="22"/>
                  <w:szCs w:val="22"/>
                </w:rPr>
                <w:t>https://zonafrancalacayena.com</w:t>
              </w:r>
            </w:hyperlink>
          </w:p>
          <w:p w14:paraId="39EDA0DB" w14:textId="77777777" w:rsidR="0093652A" w:rsidRPr="00992C76" w:rsidRDefault="00E23E2B" w:rsidP="0015136C">
            <w:pPr>
              <w:widowControl w:val="0"/>
              <w:spacing w:line="480" w:lineRule="auto"/>
              <w:ind w:firstLine="720"/>
              <w:rPr>
                <w:sz w:val="22"/>
                <w:szCs w:val="22"/>
              </w:rPr>
            </w:pPr>
            <w:hyperlink r:id="rId10" w:history="1">
              <w:r w:rsidR="0093652A" w:rsidRPr="00992C76">
                <w:rPr>
                  <w:rStyle w:val="Hipervnculo"/>
                  <w:color w:val="auto"/>
                  <w:sz w:val="22"/>
                  <w:szCs w:val="22"/>
                </w:rPr>
                <w:t>https://www.zonafrancarionegro.com</w:t>
              </w:r>
            </w:hyperlink>
          </w:p>
          <w:p w14:paraId="6C40C553" w14:textId="77777777" w:rsidR="0093652A" w:rsidRPr="00992C76" w:rsidRDefault="00E23E2B" w:rsidP="0015136C">
            <w:pPr>
              <w:widowControl w:val="0"/>
              <w:spacing w:line="480" w:lineRule="auto"/>
              <w:ind w:firstLine="720"/>
              <w:rPr>
                <w:sz w:val="22"/>
                <w:szCs w:val="22"/>
              </w:rPr>
            </w:pPr>
            <w:hyperlink r:id="rId11" w:history="1">
              <w:r w:rsidR="0093652A" w:rsidRPr="00992C76">
                <w:rPr>
                  <w:rStyle w:val="Hipervnculo"/>
                  <w:color w:val="auto"/>
                  <w:sz w:val="22"/>
                  <w:szCs w:val="22"/>
                </w:rPr>
                <w:t>https://zonafrancabarranquilla.com</w:t>
              </w:r>
            </w:hyperlink>
          </w:p>
          <w:p w14:paraId="0BDF0435" w14:textId="77777777" w:rsidR="0093652A" w:rsidRPr="00992C76" w:rsidRDefault="0093652A" w:rsidP="0015136C">
            <w:pPr>
              <w:widowControl w:val="0"/>
              <w:spacing w:line="480" w:lineRule="auto"/>
              <w:ind w:firstLine="720"/>
              <w:rPr>
                <w:sz w:val="22"/>
                <w:szCs w:val="22"/>
              </w:rPr>
            </w:pPr>
            <w:r w:rsidRPr="00992C76">
              <w:rPr>
                <w:sz w:val="22"/>
                <w:szCs w:val="22"/>
              </w:rPr>
              <w:t xml:space="preserve">DANE: </w:t>
            </w:r>
            <w:hyperlink r:id="rId12" w:history="1">
              <w:r w:rsidRPr="00992C76">
                <w:rPr>
                  <w:rStyle w:val="Hipervnculo"/>
                  <w:color w:val="auto"/>
                  <w:sz w:val="22"/>
                  <w:szCs w:val="22"/>
                </w:rPr>
                <w:t>https://www.dane.gov.co/</w:t>
              </w:r>
            </w:hyperlink>
            <w:r w:rsidRPr="00992C76">
              <w:rPr>
                <w:sz w:val="22"/>
                <w:szCs w:val="22"/>
              </w:rPr>
              <w:t xml:space="preserve"> </w:t>
            </w:r>
          </w:p>
        </w:tc>
      </w:tr>
      <w:tr w:rsidR="00992C76" w:rsidRPr="00992C76" w14:paraId="581CBAEA" w14:textId="77777777" w:rsidTr="00992C76">
        <w:tc>
          <w:tcPr>
            <w:tcW w:w="4339" w:type="dxa"/>
            <w:shd w:val="clear" w:color="auto" w:fill="auto"/>
            <w:vAlign w:val="center"/>
          </w:tcPr>
          <w:p w14:paraId="74486409" w14:textId="77777777" w:rsidR="0093652A" w:rsidRPr="00992C76" w:rsidRDefault="0093652A" w:rsidP="0015136C">
            <w:pPr>
              <w:widowControl w:val="0"/>
              <w:spacing w:line="480" w:lineRule="auto"/>
              <w:jc w:val="center"/>
              <w:rPr>
                <w:rFonts w:eastAsia="Arial Narrow"/>
              </w:rPr>
            </w:pPr>
            <w:r w:rsidRPr="00992C76">
              <w:rPr>
                <w:rFonts w:eastAsia="Arial Narrow"/>
              </w:rPr>
              <w:t xml:space="preserve">       Caracterizar las zonas francas de la región caribe colombiana en relación a su balanza comercial</w:t>
            </w:r>
          </w:p>
          <w:p w14:paraId="1832ABFA" w14:textId="77777777" w:rsidR="0093652A" w:rsidRPr="00992C76" w:rsidRDefault="0093652A" w:rsidP="0015136C">
            <w:pPr>
              <w:widowControl w:val="0"/>
              <w:spacing w:line="480" w:lineRule="auto"/>
              <w:ind w:firstLine="720"/>
              <w:jc w:val="center"/>
              <w:rPr>
                <w:sz w:val="22"/>
                <w:szCs w:val="22"/>
              </w:rPr>
            </w:pPr>
          </w:p>
        </w:tc>
        <w:tc>
          <w:tcPr>
            <w:tcW w:w="4339" w:type="dxa"/>
            <w:shd w:val="clear" w:color="auto" w:fill="auto"/>
          </w:tcPr>
          <w:p w14:paraId="6AFC4F4A" w14:textId="77777777" w:rsidR="0093652A" w:rsidRPr="00992C76" w:rsidRDefault="0093652A" w:rsidP="0015136C">
            <w:pPr>
              <w:widowControl w:val="0"/>
              <w:spacing w:line="480" w:lineRule="auto"/>
              <w:ind w:firstLine="720"/>
              <w:rPr>
                <w:sz w:val="22"/>
                <w:szCs w:val="22"/>
              </w:rPr>
            </w:pPr>
            <w:r w:rsidRPr="00992C76">
              <w:rPr>
                <w:sz w:val="22"/>
                <w:szCs w:val="22"/>
              </w:rPr>
              <w:t>La página web oficial:</w:t>
            </w:r>
          </w:p>
          <w:p w14:paraId="6C7AAFEF" w14:textId="77777777" w:rsidR="0093652A" w:rsidRPr="00992C76" w:rsidRDefault="0093652A" w:rsidP="0015136C">
            <w:pPr>
              <w:widowControl w:val="0"/>
              <w:spacing w:line="480" w:lineRule="auto"/>
              <w:ind w:firstLine="720"/>
              <w:rPr>
                <w:sz w:val="22"/>
                <w:szCs w:val="22"/>
              </w:rPr>
            </w:pPr>
            <w:r w:rsidRPr="00992C76">
              <w:rPr>
                <w:sz w:val="22"/>
                <w:szCs w:val="22"/>
              </w:rPr>
              <w:t xml:space="preserve">Ministerio de Comercio, Industria y Turismo: </w:t>
            </w:r>
            <w:hyperlink r:id="rId13" w:history="1">
              <w:r w:rsidRPr="00992C76">
                <w:rPr>
                  <w:rStyle w:val="Hipervnculo"/>
                  <w:color w:val="auto"/>
                  <w:sz w:val="22"/>
                  <w:szCs w:val="22"/>
                </w:rPr>
                <w:t>https://zf.mincit.gov.co/</w:t>
              </w:r>
            </w:hyperlink>
            <w:r w:rsidRPr="00992C76">
              <w:rPr>
                <w:sz w:val="22"/>
                <w:szCs w:val="22"/>
              </w:rPr>
              <w:t xml:space="preserve"> </w:t>
            </w:r>
          </w:p>
          <w:p w14:paraId="39BC4CF3" w14:textId="77777777" w:rsidR="0093652A" w:rsidRPr="00992C76" w:rsidRDefault="0093652A" w:rsidP="0015136C">
            <w:pPr>
              <w:widowControl w:val="0"/>
              <w:spacing w:line="480" w:lineRule="auto"/>
              <w:ind w:firstLine="720"/>
              <w:rPr>
                <w:sz w:val="22"/>
                <w:szCs w:val="22"/>
              </w:rPr>
            </w:pPr>
            <w:r w:rsidRPr="00992C76">
              <w:rPr>
                <w:sz w:val="22"/>
                <w:szCs w:val="22"/>
              </w:rPr>
              <w:t xml:space="preserve">Ministerio de Comercio, Industria y Turismo: Asociación de Empresarios de Colombia: </w:t>
            </w:r>
          </w:p>
          <w:p w14:paraId="07E0DA20" w14:textId="77777777" w:rsidR="0093652A" w:rsidRPr="00992C76" w:rsidRDefault="00E23E2B" w:rsidP="0015136C">
            <w:pPr>
              <w:widowControl w:val="0"/>
              <w:spacing w:line="480" w:lineRule="auto"/>
              <w:ind w:firstLine="720"/>
              <w:rPr>
                <w:sz w:val="22"/>
                <w:szCs w:val="22"/>
              </w:rPr>
            </w:pPr>
            <w:hyperlink r:id="rId14" w:history="1">
              <w:r w:rsidR="0093652A" w:rsidRPr="00992C76">
                <w:rPr>
                  <w:rStyle w:val="Hipervnculo"/>
                  <w:color w:val="auto"/>
                  <w:sz w:val="22"/>
                  <w:szCs w:val="22"/>
                </w:rPr>
                <w:t>https://www.andi.com.co/Home/</w:t>
              </w:r>
            </w:hyperlink>
            <w:r w:rsidR="0093652A" w:rsidRPr="00992C76">
              <w:rPr>
                <w:sz w:val="22"/>
                <w:szCs w:val="22"/>
              </w:rPr>
              <w:t xml:space="preserve"> </w:t>
            </w:r>
          </w:p>
        </w:tc>
      </w:tr>
      <w:tr w:rsidR="00992C76" w:rsidRPr="00992C76" w14:paraId="3D17AD4B" w14:textId="77777777" w:rsidTr="00992C76">
        <w:tc>
          <w:tcPr>
            <w:tcW w:w="4339" w:type="dxa"/>
            <w:shd w:val="clear" w:color="auto" w:fill="auto"/>
            <w:vAlign w:val="center"/>
          </w:tcPr>
          <w:p w14:paraId="613B932C" w14:textId="77777777" w:rsidR="0093652A" w:rsidRPr="00992C76" w:rsidRDefault="0093652A" w:rsidP="0015136C">
            <w:pPr>
              <w:widowControl w:val="0"/>
              <w:spacing w:line="480" w:lineRule="auto"/>
              <w:ind w:firstLine="720"/>
              <w:jc w:val="center"/>
              <w:rPr>
                <w:sz w:val="22"/>
                <w:szCs w:val="22"/>
              </w:rPr>
            </w:pPr>
          </w:p>
          <w:p w14:paraId="4589FBF7" w14:textId="77777777" w:rsidR="0093652A" w:rsidRPr="00992C76" w:rsidRDefault="0093652A" w:rsidP="0015136C">
            <w:pPr>
              <w:widowControl w:val="0"/>
              <w:spacing w:line="480" w:lineRule="auto"/>
              <w:ind w:firstLine="720"/>
              <w:jc w:val="center"/>
              <w:rPr>
                <w:sz w:val="22"/>
                <w:szCs w:val="22"/>
              </w:rPr>
            </w:pPr>
            <w:r w:rsidRPr="00992C76">
              <w:rPr>
                <w:rFonts w:eastAsia="Arial Narrow"/>
              </w:rPr>
              <w:t xml:space="preserve">Valorar las condiciones de mercado para la creación de una zona franca en el municipio de Aguachica, </w:t>
            </w:r>
            <w:r w:rsidRPr="00992C76">
              <w:rPr>
                <w:rFonts w:eastAsia="Arial Narrow"/>
              </w:rPr>
              <w:lastRenderedPageBreak/>
              <w:t>Cesar mediante una matriz de factores internos y externos.</w:t>
            </w:r>
          </w:p>
        </w:tc>
        <w:tc>
          <w:tcPr>
            <w:tcW w:w="4339" w:type="dxa"/>
            <w:shd w:val="clear" w:color="auto" w:fill="auto"/>
          </w:tcPr>
          <w:p w14:paraId="59940BAB" w14:textId="77777777" w:rsidR="0093652A" w:rsidRPr="00992C76" w:rsidRDefault="0093652A" w:rsidP="0015136C">
            <w:pPr>
              <w:widowControl w:val="0"/>
              <w:spacing w:line="480" w:lineRule="auto"/>
              <w:ind w:firstLine="720"/>
              <w:rPr>
                <w:sz w:val="22"/>
                <w:szCs w:val="22"/>
              </w:rPr>
            </w:pPr>
          </w:p>
          <w:p w14:paraId="1F909044" w14:textId="77777777" w:rsidR="0093652A" w:rsidRPr="00992C76" w:rsidRDefault="0093652A" w:rsidP="0015136C">
            <w:pPr>
              <w:widowControl w:val="0"/>
              <w:spacing w:line="480" w:lineRule="auto"/>
              <w:ind w:firstLine="720"/>
              <w:rPr>
                <w:sz w:val="22"/>
                <w:szCs w:val="22"/>
              </w:rPr>
            </w:pPr>
            <w:r w:rsidRPr="00992C76">
              <w:rPr>
                <w:sz w:val="22"/>
                <w:szCs w:val="22"/>
              </w:rPr>
              <w:t>La página web oficial:</w:t>
            </w:r>
          </w:p>
          <w:p w14:paraId="07FB3ED3" w14:textId="77777777" w:rsidR="0093652A" w:rsidRPr="00992C76" w:rsidRDefault="0093652A" w:rsidP="0015136C">
            <w:pPr>
              <w:widowControl w:val="0"/>
              <w:spacing w:line="480" w:lineRule="auto"/>
              <w:ind w:firstLine="720"/>
              <w:rPr>
                <w:sz w:val="22"/>
                <w:szCs w:val="22"/>
              </w:rPr>
            </w:pPr>
            <w:r w:rsidRPr="00992C76">
              <w:t xml:space="preserve">DIAN: </w:t>
            </w:r>
            <w:hyperlink r:id="rId15" w:history="1">
              <w:r w:rsidRPr="00992C76">
                <w:rPr>
                  <w:rStyle w:val="Hipervnculo"/>
                  <w:color w:val="auto"/>
                  <w:sz w:val="22"/>
                  <w:szCs w:val="22"/>
                </w:rPr>
                <w:t>https://www.dian.gov.co</w:t>
              </w:r>
            </w:hyperlink>
          </w:p>
          <w:p w14:paraId="4CA5C805" w14:textId="77777777" w:rsidR="0093652A" w:rsidRPr="00992C76" w:rsidRDefault="0093652A" w:rsidP="0015136C">
            <w:pPr>
              <w:widowControl w:val="0"/>
              <w:spacing w:line="480" w:lineRule="auto"/>
              <w:ind w:firstLine="720"/>
              <w:rPr>
                <w:sz w:val="22"/>
                <w:szCs w:val="22"/>
              </w:rPr>
            </w:pPr>
            <w:r w:rsidRPr="00992C76">
              <w:rPr>
                <w:sz w:val="22"/>
                <w:szCs w:val="22"/>
              </w:rPr>
              <w:t xml:space="preserve">Ministerio de Comercio, Industria y </w:t>
            </w:r>
            <w:r w:rsidRPr="00992C76">
              <w:rPr>
                <w:sz w:val="22"/>
                <w:szCs w:val="22"/>
              </w:rPr>
              <w:lastRenderedPageBreak/>
              <w:t xml:space="preserve">Turismo: Asociación de Empresarios de Colombia: </w:t>
            </w:r>
          </w:p>
          <w:p w14:paraId="0EF73778" w14:textId="77777777" w:rsidR="0093652A" w:rsidRPr="00992C76" w:rsidRDefault="00E23E2B" w:rsidP="0015136C">
            <w:pPr>
              <w:widowControl w:val="0"/>
              <w:spacing w:line="480" w:lineRule="auto"/>
              <w:ind w:firstLine="720"/>
              <w:rPr>
                <w:sz w:val="22"/>
                <w:szCs w:val="22"/>
              </w:rPr>
            </w:pPr>
            <w:hyperlink r:id="rId16" w:history="1">
              <w:r w:rsidR="0093652A" w:rsidRPr="00992C76">
                <w:rPr>
                  <w:rStyle w:val="Hipervnculo"/>
                  <w:color w:val="auto"/>
                  <w:sz w:val="22"/>
                  <w:szCs w:val="22"/>
                </w:rPr>
                <w:t>https://www.andi.com.co/Home/</w:t>
              </w:r>
            </w:hyperlink>
            <w:r w:rsidR="0093652A" w:rsidRPr="00992C76">
              <w:rPr>
                <w:sz w:val="22"/>
                <w:szCs w:val="22"/>
              </w:rPr>
              <w:t xml:space="preserve"> </w:t>
            </w:r>
          </w:p>
        </w:tc>
      </w:tr>
    </w:tbl>
    <w:p w14:paraId="71423CAF" w14:textId="00CCA938" w:rsidR="0093652A" w:rsidRPr="00992C76" w:rsidRDefault="00992C76" w:rsidP="00992C76">
      <w:pPr>
        <w:widowControl w:val="0"/>
        <w:spacing w:line="276" w:lineRule="auto"/>
        <w:ind w:firstLine="357"/>
        <w:jc w:val="center"/>
        <w:rPr>
          <w:rStyle w:val="nfasisintenso"/>
          <w:i w:val="0"/>
          <w:iCs w:val="0"/>
          <w:color w:val="auto"/>
          <w:sz w:val="22"/>
        </w:rPr>
      </w:pPr>
      <w:r w:rsidRPr="00992C76">
        <w:rPr>
          <w:rStyle w:val="nfasisintenso"/>
          <w:i w:val="0"/>
          <w:iCs w:val="0"/>
          <w:color w:val="auto"/>
          <w:sz w:val="22"/>
        </w:rPr>
        <w:lastRenderedPageBreak/>
        <w:t xml:space="preserve">Nota: La tabla anterior, se realizó de </w:t>
      </w:r>
      <w:r w:rsidR="005C4A87" w:rsidRPr="00992C76">
        <w:rPr>
          <w:rStyle w:val="nfasisintenso"/>
          <w:i w:val="0"/>
          <w:iCs w:val="0"/>
          <w:color w:val="auto"/>
          <w:sz w:val="22"/>
        </w:rPr>
        <w:t>manera independiente apoyada</w:t>
      </w:r>
      <w:r w:rsidRPr="00992C76">
        <w:rPr>
          <w:rStyle w:val="nfasisintenso"/>
          <w:i w:val="0"/>
          <w:iCs w:val="0"/>
          <w:color w:val="auto"/>
          <w:sz w:val="22"/>
        </w:rPr>
        <w:t xml:space="preserve"> de la información que se muestra en </w:t>
      </w:r>
      <w:r w:rsidR="005C4A87" w:rsidRPr="00992C76">
        <w:rPr>
          <w:rStyle w:val="nfasisintenso"/>
          <w:i w:val="0"/>
          <w:iCs w:val="0"/>
          <w:color w:val="auto"/>
          <w:sz w:val="22"/>
        </w:rPr>
        <w:t>los mismos enlaces</w:t>
      </w:r>
      <w:r w:rsidRPr="00992C76">
        <w:rPr>
          <w:rStyle w:val="nfasisintenso"/>
          <w:i w:val="0"/>
          <w:iCs w:val="0"/>
          <w:color w:val="auto"/>
          <w:sz w:val="22"/>
        </w:rPr>
        <w:t xml:space="preserve"> de la tabla</w:t>
      </w:r>
    </w:p>
    <w:p w14:paraId="19812748" w14:textId="77777777" w:rsidR="0093652A" w:rsidRDefault="0093652A" w:rsidP="0015136C">
      <w:pPr>
        <w:pStyle w:val="Prrafodelista"/>
        <w:widowControl w:val="0"/>
        <w:spacing w:line="480" w:lineRule="auto"/>
        <w:ind w:left="1080"/>
        <w:rPr>
          <w:rStyle w:val="nfasisintenso"/>
          <w:rFonts w:ascii="Times New Roman" w:hAnsi="Times New Roman"/>
          <w:b/>
          <w:bCs/>
          <w:i w:val="0"/>
          <w:iCs w:val="0"/>
          <w:color w:val="auto"/>
          <w:sz w:val="22"/>
          <w:szCs w:val="22"/>
          <w:lang w:eastAsia="en-US"/>
        </w:rPr>
      </w:pPr>
    </w:p>
    <w:p w14:paraId="0D85ECD2" w14:textId="2F24003C" w:rsidR="00FD137C" w:rsidRDefault="00F22CC6" w:rsidP="00992C76">
      <w:pPr>
        <w:pStyle w:val="Ttulo2"/>
        <w:rPr>
          <w:rStyle w:val="nfasisintenso"/>
          <w:i w:val="0"/>
          <w:iCs w:val="0"/>
          <w:color w:val="auto"/>
        </w:rPr>
      </w:pPr>
      <w:bookmarkStart w:id="48" w:name="_Toc183783042"/>
      <w:r w:rsidRPr="00FD137C">
        <w:rPr>
          <w:rStyle w:val="nfasisintenso"/>
          <w:i w:val="0"/>
          <w:iCs w:val="0"/>
          <w:color w:val="auto"/>
        </w:rPr>
        <w:t>CONSIDERACIONES ÉTICAS</w:t>
      </w:r>
      <w:bookmarkEnd w:id="48"/>
    </w:p>
    <w:p w14:paraId="46848523" w14:textId="77777777" w:rsidR="005C4A87" w:rsidRPr="005C4A87" w:rsidRDefault="005C4A87" w:rsidP="005C4A87"/>
    <w:p w14:paraId="694C91C1" w14:textId="02DBCFFE" w:rsidR="0093652A" w:rsidRDefault="0093652A" w:rsidP="0015136C">
      <w:pPr>
        <w:spacing w:line="480" w:lineRule="auto"/>
        <w:ind w:firstLine="720"/>
        <w:rPr>
          <w:rFonts w:cs="Times New Roman"/>
          <w:color w:val="000000" w:themeColor="text1"/>
        </w:rPr>
      </w:pPr>
      <w:r w:rsidRPr="0093652A">
        <w:rPr>
          <w:szCs w:val="18"/>
        </w:rPr>
        <w:t>La credibilidad y fiabilidad de los resultados del trabajo dependen de la confiabilidad de los artículos estudiados, por lo tanto, las conclusiones son con fines académicos y estos aportes se limitarán a la rigurosidad del proceso de análisis empleado en el desarrollo del presente trabajo; del mismo modo, para la elaboración del estudio se cumplieron las normas vigentes en cuanto a derechos de autor y prevención del plagio: Ley 23 de 28 de enero de 1982 Secretaría del Senad</w:t>
      </w:r>
      <w:r w:rsidR="00992C76">
        <w:rPr>
          <w:szCs w:val="18"/>
        </w:rPr>
        <w:t>o (</w:t>
      </w:r>
      <w:r w:rsidRPr="0093652A">
        <w:rPr>
          <w:szCs w:val="18"/>
        </w:rPr>
        <w:t>1982</w:t>
      </w:r>
      <w:r w:rsidR="00992C76">
        <w:rPr>
          <w:szCs w:val="18"/>
        </w:rPr>
        <w:t>)</w:t>
      </w:r>
      <w:r w:rsidRPr="0093652A">
        <w:rPr>
          <w:szCs w:val="18"/>
        </w:rPr>
        <w:t xml:space="preserve">. </w:t>
      </w:r>
    </w:p>
    <w:p w14:paraId="257F6DD9" w14:textId="2ABAADEE" w:rsidR="0093652A" w:rsidRDefault="0093652A" w:rsidP="0015136C">
      <w:pPr>
        <w:spacing w:line="480" w:lineRule="auto"/>
        <w:ind w:firstLine="720"/>
        <w:rPr>
          <w:szCs w:val="18"/>
        </w:rPr>
      </w:pPr>
      <w:r w:rsidRPr="0093652A">
        <w:rPr>
          <w:szCs w:val="18"/>
        </w:rPr>
        <w:t>Se tuvo en cuenta el principio de beneficencia y no maleficencia con la obligación de actuar en beneficio de otros y abstenerse de realizar acciones que puedan perjudicar a otros, por consiguiente, nos regimos bajo estos principios, exige fidelidad y confiabilidad técnica, científica y será de uso para promover mayor investigación, buscando el bienestar de la sociedad</w:t>
      </w:r>
      <w:r w:rsidR="00992C76">
        <w:rPr>
          <w:szCs w:val="18"/>
        </w:rPr>
        <w:t xml:space="preserve">, según </w:t>
      </w:r>
      <w:r w:rsidRPr="0093652A">
        <w:rPr>
          <w:szCs w:val="18"/>
        </w:rPr>
        <w:t>Murillo Bocanegra</w:t>
      </w:r>
      <w:r w:rsidR="00992C76">
        <w:rPr>
          <w:szCs w:val="18"/>
        </w:rPr>
        <w:t xml:space="preserve"> (</w:t>
      </w:r>
      <w:r w:rsidRPr="0093652A">
        <w:rPr>
          <w:szCs w:val="18"/>
        </w:rPr>
        <w:t>2014).</w:t>
      </w:r>
    </w:p>
    <w:p w14:paraId="11FFF2B6" w14:textId="77777777" w:rsidR="0093652A" w:rsidRDefault="0093652A" w:rsidP="0015136C">
      <w:pPr>
        <w:spacing w:line="480" w:lineRule="auto"/>
        <w:ind w:firstLine="720"/>
        <w:rPr>
          <w:szCs w:val="18"/>
        </w:rPr>
      </w:pPr>
    </w:p>
    <w:p w14:paraId="1808D240" w14:textId="77777777" w:rsidR="00FD137C" w:rsidRDefault="00FD137C" w:rsidP="0015136C">
      <w:pPr>
        <w:spacing w:line="480" w:lineRule="auto"/>
        <w:ind w:firstLine="0"/>
        <w:rPr>
          <w:b/>
          <w:bCs/>
          <w:szCs w:val="18"/>
        </w:rPr>
      </w:pPr>
      <w:r>
        <w:rPr>
          <w:b/>
          <w:bCs/>
          <w:szCs w:val="18"/>
        </w:rPr>
        <w:br w:type="page"/>
      </w:r>
    </w:p>
    <w:p w14:paraId="04BAB1F5" w14:textId="3866CD1F" w:rsidR="00FD137C" w:rsidRDefault="0093652A" w:rsidP="00992C76">
      <w:pPr>
        <w:pStyle w:val="Ttulo1"/>
      </w:pPr>
      <w:bookmarkStart w:id="49" w:name="_Toc183783043"/>
      <w:r w:rsidRPr="00992C76">
        <w:lastRenderedPageBreak/>
        <w:t>CAPITULO 4. DESARROLLO DE LOS OBJETIVOS PROPUESTOS</w:t>
      </w:r>
      <w:bookmarkEnd w:id="49"/>
    </w:p>
    <w:p w14:paraId="43F49BD1" w14:textId="77777777" w:rsidR="00BB5AA9" w:rsidRDefault="00BB5AA9" w:rsidP="00BB5AA9">
      <w:pPr>
        <w:rPr>
          <w:lang w:val="x-none" w:eastAsia="es-ES"/>
        </w:rPr>
      </w:pPr>
    </w:p>
    <w:p w14:paraId="15248683" w14:textId="77777777" w:rsidR="006967D2" w:rsidRDefault="006967D2" w:rsidP="006967D2">
      <w:pPr>
        <w:spacing w:line="480" w:lineRule="auto"/>
        <w:rPr>
          <w:lang w:eastAsia="es-ES"/>
        </w:rPr>
      </w:pPr>
      <w:r>
        <w:t>En este capítulo se desarrollan los objetivos específicos establecidos en la propuesta de investigación. Cada uno de los objetivos es abordado de manera exhaustiva, comenzando con un análisis detallado de la normativa aduanera, tributaria y de comercio exterior aplicable en Colombia, con el propósito de identificar las oportunidades y limitaciones que podrían influir en la creación de una Zona Franca en Aguachica. Posteriormente, se examina la experiencia de otras zonas francas en la región Caribe colombiana, considerando su impacto en el comercio y en la competitividad. Finalmente, se realiza una evaluación de las condiciones de mercado y de los factores internos y externos necesarios para el establecimiento de una Zona Franca, mediante el uso de una matriz de factores. Este capítulo constituye el núcleo del análisis y permite construir un panorama integral sobre la viabilidad y las oportunidades de desarrollo que ofrecería la implementación de una Zona Franca en Aguachica.</w:t>
      </w:r>
    </w:p>
    <w:p w14:paraId="1A0A83D5" w14:textId="77777777" w:rsidR="00BB5AA9" w:rsidRPr="00BB5AA9" w:rsidRDefault="00BB5AA9" w:rsidP="00BB5AA9">
      <w:pPr>
        <w:rPr>
          <w:lang w:val="x-none" w:eastAsia="es-ES"/>
        </w:rPr>
      </w:pPr>
    </w:p>
    <w:p w14:paraId="22A056A7" w14:textId="69941951" w:rsidR="00EF7119" w:rsidRPr="001428CC" w:rsidRDefault="001428CC" w:rsidP="001428CC">
      <w:pPr>
        <w:pStyle w:val="Ttulo2"/>
      </w:pPr>
      <w:bookmarkStart w:id="50" w:name="_Toc183783044"/>
      <w:r w:rsidRPr="001428CC">
        <w:t>NORMATIVA TRIBUTARIA, ADUANERA Y DE COMERCIO EXTERIOR.</w:t>
      </w:r>
      <w:bookmarkEnd w:id="50"/>
      <w:r w:rsidRPr="001428CC">
        <w:t xml:space="preserve"> </w:t>
      </w:r>
    </w:p>
    <w:p w14:paraId="56CD305C" w14:textId="77777777" w:rsidR="00BB5AA9" w:rsidRPr="00BB5AA9" w:rsidRDefault="00BB5AA9" w:rsidP="00BB5AA9"/>
    <w:p w14:paraId="67EAAC91" w14:textId="6FC775FC" w:rsidR="00EF7119" w:rsidRDefault="00EF7119" w:rsidP="00992C76">
      <w:pPr>
        <w:pStyle w:val="Ttulo3"/>
      </w:pPr>
      <w:bookmarkStart w:id="51" w:name="_Toc183783045"/>
      <w:r w:rsidRPr="00992C76">
        <w:t>Ley 1004 de 2005</w:t>
      </w:r>
      <w:r w:rsidR="00992C76">
        <w:t>.</w:t>
      </w:r>
      <w:bookmarkEnd w:id="51"/>
    </w:p>
    <w:p w14:paraId="0D149D91" w14:textId="77777777" w:rsidR="005E1D00" w:rsidRPr="005E1D00" w:rsidRDefault="005E1D00" w:rsidP="005E1D00"/>
    <w:p w14:paraId="0F4AF04F" w14:textId="520646B2" w:rsidR="00576949" w:rsidRDefault="00576949" w:rsidP="00992C76">
      <w:pPr>
        <w:spacing w:line="480" w:lineRule="auto"/>
        <w:rPr>
          <w:lang w:eastAsia="es-ES"/>
        </w:rPr>
      </w:pPr>
      <w:r>
        <w:rPr>
          <w:lang w:eastAsia="es-ES"/>
        </w:rPr>
        <w:t>La Ley 1004 de 2005 constituye el eje legal que regula las zonas francas en Colombia, estableciendo un régimen especial que ofrece beneficios tributarios, aduaneros y de comercio exterior. Este marco es fundamental para comprender cómo podría funcionar una Zona Franca en Aguachica, Cesar, y los incentivos que atraerían inversión y dinamizarían la economía de la región. A continuación, se detalla el análisis de la ley con un enfoque en las implicaciones clave para esta zona franca.</w:t>
      </w:r>
    </w:p>
    <w:p w14:paraId="48F1BCB9" w14:textId="728951E8" w:rsidR="00576949" w:rsidRDefault="00576949" w:rsidP="00992C76">
      <w:pPr>
        <w:pStyle w:val="Prrafodelista"/>
        <w:numPr>
          <w:ilvl w:val="0"/>
          <w:numId w:val="29"/>
        </w:numPr>
        <w:spacing w:line="480" w:lineRule="auto"/>
        <w:rPr>
          <w:rFonts w:ascii="Times New Roman" w:hAnsi="Times New Roman"/>
          <w:b/>
        </w:rPr>
      </w:pPr>
      <w:r w:rsidRPr="00992C76">
        <w:rPr>
          <w:rFonts w:ascii="Times New Roman" w:hAnsi="Times New Roman"/>
          <w:b/>
        </w:rPr>
        <w:lastRenderedPageBreak/>
        <w:t>Definición y Propósitos de las Zonas Francas</w:t>
      </w:r>
    </w:p>
    <w:p w14:paraId="0000037E" w14:textId="0F832556" w:rsidR="00576949" w:rsidRDefault="00992C76" w:rsidP="00992C76">
      <w:pPr>
        <w:spacing w:line="480" w:lineRule="auto"/>
        <w:ind w:left="708" w:firstLine="0"/>
        <w:rPr>
          <w:lang w:eastAsia="es-ES"/>
        </w:rPr>
      </w:pPr>
      <w:r w:rsidRPr="00992C76">
        <w:rPr>
          <w:bCs/>
        </w:rPr>
        <w:t xml:space="preserve">Según el </w:t>
      </w:r>
      <w:r w:rsidRPr="00992C76">
        <w:rPr>
          <w:bCs/>
          <w:noProof/>
          <w:lang w:val="es-ES" w:eastAsia="es-ES"/>
        </w:rPr>
        <w:t>Departamento Administrativo de la Función Pública</w:t>
      </w:r>
      <w:r>
        <w:rPr>
          <w:bCs/>
          <w:noProof/>
          <w:lang w:val="es-ES" w:eastAsia="es-ES"/>
        </w:rPr>
        <w:t xml:space="preserve"> (</w:t>
      </w:r>
      <w:r w:rsidRPr="00992C76">
        <w:rPr>
          <w:bCs/>
          <w:noProof/>
          <w:lang w:val="es-ES" w:eastAsia="es-ES"/>
        </w:rPr>
        <w:t>2005)</w:t>
      </w:r>
      <w:r>
        <w:rPr>
          <w:bCs/>
          <w:noProof/>
          <w:lang w:val="es-ES" w:eastAsia="es-ES"/>
        </w:rPr>
        <w:t xml:space="preserve"> se </w:t>
      </w:r>
      <w:r w:rsidR="00576949">
        <w:rPr>
          <w:lang w:eastAsia="es-ES"/>
        </w:rPr>
        <w:t>define la zona franca como un área delimitada dentro del territorio colombiano donde se desarrollan actividades industriales, comerciales y de servicios bajo un régimen especial. En términos aduaneros, las mercancías ingresadas a estas áreas son tratadas como si estuvieran fuera del territorio aduanero nacional, otorgando a las empresas instaladas allí importantes exenciones fiscales y arancelarias.</w:t>
      </w:r>
    </w:p>
    <w:p w14:paraId="6514E2DA" w14:textId="2C0A5043" w:rsidR="00576949" w:rsidRDefault="00576949" w:rsidP="0015136C">
      <w:pPr>
        <w:spacing w:line="480" w:lineRule="auto"/>
        <w:rPr>
          <w:lang w:eastAsia="es-ES"/>
        </w:rPr>
      </w:pPr>
      <w:r>
        <w:rPr>
          <w:lang w:eastAsia="es-ES"/>
        </w:rPr>
        <w:t>La finalidad de las zonas francas (artículo 2) va más allá de las simples exenciones fiscales. Se destacan los siguientes objetivos clave:</w:t>
      </w:r>
    </w:p>
    <w:p w14:paraId="6D4FB729" w14:textId="77777777" w:rsidR="00576949" w:rsidRPr="00576949" w:rsidRDefault="00576949" w:rsidP="0015136C">
      <w:pPr>
        <w:pStyle w:val="Prrafodelista"/>
        <w:numPr>
          <w:ilvl w:val="0"/>
          <w:numId w:val="9"/>
        </w:numPr>
        <w:spacing w:line="480" w:lineRule="auto"/>
        <w:rPr>
          <w:rFonts w:ascii="Times New Roman" w:hAnsi="Times New Roman"/>
        </w:rPr>
      </w:pPr>
      <w:r w:rsidRPr="00576949">
        <w:rPr>
          <w:rFonts w:ascii="Times New Roman" w:hAnsi="Times New Roman"/>
        </w:rPr>
        <w:t>Generar empleo y captar nuevas inversiones de capital, vital para una región como Aguachica que busca diversificar su base económica.</w:t>
      </w:r>
    </w:p>
    <w:p w14:paraId="2632844D" w14:textId="77777777" w:rsidR="00576949" w:rsidRPr="00576949" w:rsidRDefault="00576949" w:rsidP="0015136C">
      <w:pPr>
        <w:pStyle w:val="Prrafodelista"/>
        <w:numPr>
          <w:ilvl w:val="0"/>
          <w:numId w:val="9"/>
        </w:numPr>
        <w:spacing w:line="480" w:lineRule="auto"/>
        <w:rPr>
          <w:rFonts w:ascii="Times New Roman" w:hAnsi="Times New Roman"/>
        </w:rPr>
      </w:pPr>
      <w:r w:rsidRPr="00576949">
        <w:rPr>
          <w:rFonts w:ascii="Times New Roman" w:hAnsi="Times New Roman"/>
        </w:rPr>
        <w:t>Actuar como polos de desarrollo, fomentando la competitividad de las empresas locales y regionales, y potenciando la infraestructura existente.</w:t>
      </w:r>
    </w:p>
    <w:p w14:paraId="1C6DFE47" w14:textId="79457809" w:rsidR="00576949" w:rsidRPr="00992C76" w:rsidRDefault="00576949" w:rsidP="00992C76">
      <w:pPr>
        <w:pStyle w:val="Prrafodelista"/>
        <w:numPr>
          <w:ilvl w:val="0"/>
          <w:numId w:val="9"/>
        </w:numPr>
        <w:spacing w:line="480" w:lineRule="auto"/>
        <w:rPr>
          <w:rFonts w:ascii="Times New Roman" w:hAnsi="Times New Roman"/>
        </w:rPr>
      </w:pPr>
      <w:r w:rsidRPr="00576949">
        <w:rPr>
          <w:rFonts w:ascii="Times New Roman" w:hAnsi="Times New Roman"/>
        </w:rPr>
        <w:t>Simplificar los procedimientos comerciales, permitiendo a las empresas instaladas en la zona realizar operaciones de comercio exterior de manera más eficiente, lo que facilita la atracción de inversionistas tanto nacionales como internacionales.</w:t>
      </w:r>
    </w:p>
    <w:p w14:paraId="7B40A902" w14:textId="791AF7D6" w:rsidR="00576949" w:rsidRDefault="00576949" w:rsidP="00992C76">
      <w:pPr>
        <w:spacing w:line="480" w:lineRule="auto"/>
        <w:rPr>
          <w:lang w:eastAsia="es-ES"/>
        </w:rPr>
      </w:pPr>
      <w:r>
        <w:rPr>
          <w:lang w:eastAsia="es-ES"/>
        </w:rPr>
        <w:t>La creación de una Zona Franca en Aguachica debe estar en línea con estos objetivos, pues podría convertirse en un catalizador de crecimiento económico, no solo para la localidad sino también para la región.</w:t>
      </w:r>
    </w:p>
    <w:p w14:paraId="7AA0B3F3" w14:textId="0B6EFC13" w:rsidR="00576949" w:rsidRPr="00992C76" w:rsidRDefault="00576949" w:rsidP="00992C76">
      <w:pPr>
        <w:pStyle w:val="Prrafodelista"/>
        <w:numPr>
          <w:ilvl w:val="0"/>
          <w:numId w:val="29"/>
        </w:numPr>
        <w:spacing w:line="480" w:lineRule="auto"/>
        <w:rPr>
          <w:rFonts w:ascii="Times New Roman" w:hAnsi="Times New Roman"/>
          <w:b/>
        </w:rPr>
      </w:pPr>
      <w:r w:rsidRPr="00992C76">
        <w:rPr>
          <w:rFonts w:ascii="Times New Roman" w:hAnsi="Times New Roman"/>
          <w:b/>
        </w:rPr>
        <w:t>Tipos de Usuarios de la Zona Franca</w:t>
      </w:r>
    </w:p>
    <w:p w14:paraId="4961E19B" w14:textId="2216AA79" w:rsidR="00576949" w:rsidRDefault="00576949" w:rsidP="0015136C">
      <w:pPr>
        <w:spacing w:line="480" w:lineRule="auto"/>
        <w:rPr>
          <w:lang w:eastAsia="es-ES"/>
        </w:rPr>
      </w:pPr>
      <w:r>
        <w:rPr>
          <w:lang w:eastAsia="es-ES"/>
        </w:rPr>
        <w:t>El artículo 3 de la ley establece cuatro tipos de usuarios que pueden operar en una zona franca</w:t>
      </w:r>
      <w:r w:rsidR="00EF30C7">
        <w:rPr>
          <w:lang w:eastAsia="es-ES"/>
        </w:rPr>
        <w:t xml:space="preserve"> </w:t>
      </w:r>
      <w:r w:rsidR="00EF30C7" w:rsidRPr="00EF30C7">
        <w:rPr>
          <w:noProof/>
          <w:lang w:val="es-ES" w:eastAsia="es-ES"/>
        </w:rPr>
        <w:t xml:space="preserve">Departamento Administrativo de la Función Pública, </w:t>
      </w:r>
      <w:r w:rsidR="00EF30C7">
        <w:rPr>
          <w:noProof/>
          <w:lang w:val="es-ES" w:eastAsia="es-ES"/>
        </w:rPr>
        <w:t>(</w:t>
      </w:r>
      <w:r w:rsidR="00EF30C7" w:rsidRPr="00EF30C7">
        <w:rPr>
          <w:noProof/>
          <w:lang w:val="es-ES" w:eastAsia="es-ES"/>
        </w:rPr>
        <w:t>2005)</w:t>
      </w:r>
    </w:p>
    <w:p w14:paraId="4B18CE61" w14:textId="77777777" w:rsidR="00576949" w:rsidRPr="00576949" w:rsidRDefault="00576949" w:rsidP="0015136C">
      <w:pPr>
        <w:pStyle w:val="Prrafodelista"/>
        <w:numPr>
          <w:ilvl w:val="0"/>
          <w:numId w:val="10"/>
        </w:numPr>
        <w:spacing w:line="480" w:lineRule="auto"/>
        <w:rPr>
          <w:rFonts w:ascii="Times New Roman" w:hAnsi="Times New Roman"/>
        </w:rPr>
      </w:pPr>
      <w:r w:rsidRPr="00576949">
        <w:rPr>
          <w:rFonts w:ascii="Times New Roman" w:hAnsi="Times New Roman"/>
        </w:rPr>
        <w:lastRenderedPageBreak/>
        <w:t>Usuarios Operadores: Son los encargados de administrar y supervisar la zona franca, asegurando el cumplimiento de las normativas y promoviendo su desarrollo. En Aguachica, un operador fuerte y con experiencia podría garantizar la atracción de inversiones clave y la eficiente gestión del área.</w:t>
      </w:r>
    </w:p>
    <w:p w14:paraId="11B22C45" w14:textId="77777777" w:rsidR="00576949" w:rsidRPr="00576949" w:rsidRDefault="00576949" w:rsidP="0015136C">
      <w:pPr>
        <w:pStyle w:val="Prrafodelista"/>
        <w:numPr>
          <w:ilvl w:val="0"/>
          <w:numId w:val="10"/>
        </w:numPr>
        <w:spacing w:line="480" w:lineRule="auto"/>
        <w:rPr>
          <w:rFonts w:ascii="Times New Roman" w:hAnsi="Times New Roman"/>
        </w:rPr>
      </w:pPr>
      <w:r w:rsidRPr="00576949">
        <w:rPr>
          <w:rFonts w:ascii="Times New Roman" w:hAnsi="Times New Roman"/>
        </w:rPr>
        <w:t>Usuarios Industriales de Bienes: Empresas dedicadas a la producción, transformación o ensamblaje de bienes. Este tipo de usuario es fundamental para crear una base industrial sólida en Aguachica, generando empleo y potenciando las cadenas de valor locales.</w:t>
      </w:r>
    </w:p>
    <w:p w14:paraId="7B58FC0D" w14:textId="77777777" w:rsidR="00576949" w:rsidRPr="00576949" w:rsidRDefault="00576949" w:rsidP="0015136C">
      <w:pPr>
        <w:pStyle w:val="Prrafodelista"/>
        <w:numPr>
          <w:ilvl w:val="0"/>
          <w:numId w:val="10"/>
        </w:numPr>
        <w:spacing w:line="480" w:lineRule="auto"/>
        <w:rPr>
          <w:rFonts w:ascii="Times New Roman" w:hAnsi="Times New Roman"/>
        </w:rPr>
      </w:pPr>
      <w:r w:rsidRPr="00576949">
        <w:rPr>
          <w:rFonts w:ascii="Times New Roman" w:hAnsi="Times New Roman"/>
        </w:rPr>
        <w:t>Usuarios Industriales de Servicios: Empresas que proveen servicios especializados, como logística, telecomunicaciones, investigación y salud, que impulsan la innovación y el desarrollo de nuevas tecnologías en la zona franca.</w:t>
      </w:r>
    </w:p>
    <w:p w14:paraId="1FCA6647" w14:textId="77777777" w:rsidR="00576949" w:rsidRPr="00576949" w:rsidRDefault="00576949" w:rsidP="0015136C">
      <w:pPr>
        <w:pStyle w:val="Prrafodelista"/>
        <w:numPr>
          <w:ilvl w:val="0"/>
          <w:numId w:val="10"/>
        </w:numPr>
        <w:spacing w:line="480" w:lineRule="auto"/>
        <w:rPr>
          <w:rFonts w:ascii="Times New Roman" w:hAnsi="Times New Roman"/>
        </w:rPr>
      </w:pPr>
      <w:r w:rsidRPr="00576949">
        <w:rPr>
          <w:rFonts w:ascii="Times New Roman" w:hAnsi="Times New Roman"/>
        </w:rPr>
        <w:t>Usuarios Comerciales: Empresas encargadas de la comercialización y distribución de bienes. Estos usuarios pueden actuar como intermediarios clave para la exportación de productos locales e internacionales.</w:t>
      </w:r>
    </w:p>
    <w:p w14:paraId="0763C1CB" w14:textId="77777777" w:rsidR="00576949" w:rsidRDefault="00576949" w:rsidP="0015136C">
      <w:pPr>
        <w:spacing w:line="480" w:lineRule="auto"/>
        <w:rPr>
          <w:lang w:eastAsia="es-ES"/>
        </w:rPr>
      </w:pPr>
    </w:p>
    <w:p w14:paraId="66E1D7AB" w14:textId="5A969F39" w:rsidR="00576949" w:rsidRDefault="00576949" w:rsidP="00EF30C7">
      <w:pPr>
        <w:spacing w:line="480" w:lineRule="auto"/>
        <w:rPr>
          <w:lang w:eastAsia="es-ES"/>
        </w:rPr>
      </w:pPr>
      <w:r>
        <w:rPr>
          <w:lang w:eastAsia="es-ES"/>
        </w:rPr>
        <w:t>Cada uno de estos usuarios juega un rol específico en la dinámica de la zona franca, y su instalación en Aguachica dependerá de un entorno atractivo que facilite sus operaciones bajo los beneficios de la ley.</w:t>
      </w:r>
    </w:p>
    <w:p w14:paraId="011B9F4E" w14:textId="7601E9A8" w:rsidR="00576949" w:rsidRPr="00EF30C7" w:rsidRDefault="00576949" w:rsidP="00EF30C7">
      <w:pPr>
        <w:pStyle w:val="Prrafodelista"/>
        <w:numPr>
          <w:ilvl w:val="0"/>
          <w:numId w:val="29"/>
        </w:numPr>
        <w:spacing w:line="480" w:lineRule="auto"/>
        <w:rPr>
          <w:rFonts w:ascii="Times New Roman" w:hAnsi="Times New Roman"/>
          <w:b/>
        </w:rPr>
      </w:pPr>
      <w:r w:rsidRPr="00EF30C7">
        <w:rPr>
          <w:rFonts w:ascii="Times New Roman" w:hAnsi="Times New Roman"/>
          <w:b/>
        </w:rPr>
        <w:t>Beneficios Tributarios y Aduaneros</w:t>
      </w:r>
    </w:p>
    <w:p w14:paraId="74F534EF" w14:textId="1A67B5E4" w:rsidR="00576949" w:rsidRDefault="00576949" w:rsidP="0015136C">
      <w:pPr>
        <w:spacing w:line="480" w:lineRule="auto"/>
        <w:rPr>
          <w:lang w:eastAsia="es-ES"/>
        </w:rPr>
      </w:pPr>
      <w:r>
        <w:rPr>
          <w:lang w:eastAsia="es-ES"/>
        </w:rPr>
        <w:t xml:space="preserve">El artículo 5 de la Ley 1004 introduce uno de los beneficios más atractivos para las empresas que operan en zonas francas: la reducción de la tarifa del impuesto sobre la renta al 15% para los usuarios calificados, en comparación con la tarifa general, que suele ser más alta. Esta reducción tributaria se convierte en un fuerte incentivo para la inversión, especialmente en sectores </w:t>
      </w:r>
      <w:r>
        <w:rPr>
          <w:lang w:eastAsia="es-ES"/>
        </w:rPr>
        <w:lastRenderedPageBreak/>
        <w:t>industriales que requieren grandes inversiones de capital.</w:t>
      </w:r>
      <w:r w:rsidR="00EF30C7">
        <w:rPr>
          <w:lang w:eastAsia="es-ES"/>
        </w:rPr>
        <w:t xml:space="preserve"> </w:t>
      </w:r>
      <w:r w:rsidR="00EF30C7" w:rsidRPr="00EF30C7">
        <w:rPr>
          <w:noProof/>
          <w:lang w:val="es-ES" w:eastAsia="es-ES"/>
        </w:rPr>
        <w:t>Departamento Administrativo de Función Publica</w:t>
      </w:r>
      <w:r w:rsidR="00EF30C7">
        <w:rPr>
          <w:noProof/>
          <w:lang w:val="es-ES" w:eastAsia="es-ES"/>
        </w:rPr>
        <w:t xml:space="preserve"> (</w:t>
      </w:r>
      <w:r w:rsidR="00EF30C7" w:rsidRPr="00EF30C7">
        <w:rPr>
          <w:noProof/>
          <w:lang w:val="es-ES" w:eastAsia="es-ES"/>
        </w:rPr>
        <w:t>2005)</w:t>
      </w:r>
    </w:p>
    <w:p w14:paraId="5EF53AA4" w14:textId="54AD0B69" w:rsidR="00576949" w:rsidRDefault="00576949" w:rsidP="0015136C">
      <w:pPr>
        <w:spacing w:line="480" w:lineRule="auto"/>
        <w:rPr>
          <w:lang w:eastAsia="es-ES"/>
        </w:rPr>
      </w:pPr>
      <w:r>
        <w:rPr>
          <w:lang w:eastAsia="es-ES"/>
        </w:rPr>
        <w:t>Además, en términos aduaneros, las mercancías que ingresan a la zona franca no están sujetas a impuestos mientras permanezcan dentro de ella. Esto significa que las empresas pueden importar materias primas, insumos y bienes intermedios sin pagar aranceles hasta que los productos finales sean comercializados fuera del área. Esta flexibilidad es particularmente atractiva para empresas que buscan operar en Aguachica, ya que reduce los costos de producción y aumenta la competitividad en el mercado global.</w:t>
      </w:r>
    </w:p>
    <w:p w14:paraId="00D78411" w14:textId="77777777" w:rsidR="00576949" w:rsidRDefault="00576949" w:rsidP="0015136C">
      <w:pPr>
        <w:spacing w:line="480" w:lineRule="auto"/>
        <w:rPr>
          <w:lang w:eastAsia="es-ES"/>
        </w:rPr>
      </w:pPr>
      <w:r>
        <w:rPr>
          <w:lang w:eastAsia="es-ES"/>
        </w:rPr>
        <w:t>Cuando los bienes ingresan al territorio aduanero nacional, se consideran importaciones ordinarias, lo que significa que solo en ese momento se pagan los impuestos correspondientes. Este esquema favorece la actividad exportadora, ya que permite transformar productos dentro de la zona franca con menores costos tributarios y logísticos.</w:t>
      </w:r>
    </w:p>
    <w:p w14:paraId="66F23586" w14:textId="77777777" w:rsidR="00576949" w:rsidRDefault="00576949" w:rsidP="0015136C">
      <w:pPr>
        <w:spacing w:line="480" w:lineRule="auto"/>
        <w:rPr>
          <w:lang w:eastAsia="es-ES"/>
        </w:rPr>
      </w:pPr>
    </w:p>
    <w:p w14:paraId="74FC3C1B" w14:textId="3812CDF0" w:rsidR="00576949" w:rsidRPr="00EF30C7" w:rsidRDefault="00576949" w:rsidP="00EF30C7">
      <w:pPr>
        <w:pStyle w:val="Prrafodelista"/>
        <w:numPr>
          <w:ilvl w:val="0"/>
          <w:numId w:val="29"/>
        </w:numPr>
        <w:spacing w:line="480" w:lineRule="auto"/>
        <w:rPr>
          <w:rFonts w:ascii="Times New Roman" w:hAnsi="Times New Roman"/>
          <w:b/>
        </w:rPr>
      </w:pPr>
      <w:r w:rsidRPr="00EF30C7">
        <w:rPr>
          <w:rFonts w:ascii="Times New Roman" w:hAnsi="Times New Roman"/>
          <w:b/>
        </w:rPr>
        <w:t>Régimen de Control y Normas Complementarias</w:t>
      </w:r>
    </w:p>
    <w:p w14:paraId="4C135738" w14:textId="39EA80FF" w:rsidR="00576949" w:rsidRDefault="00576949" w:rsidP="0015136C">
      <w:pPr>
        <w:spacing w:line="480" w:lineRule="auto"/>
        <w:rPr>
          <w:lang w:eastAsia="es-ES"/>
        </w:rPr>
      </w:pPr>
      <w:r>
        <w:rPr>
          <w:lang w:eastAsia="es-ES"/>
        </w:rPr>
        <w:t>La Ley 1004 también establece un régimen robusto de control aduanero para garantizar que los bienes almacenados o producidos dentro de la zona franca cumplan con la normativa vigente al ingresar o salir del territorio aduanero</w:t>
      </w:r>
      <w:r w:rsidR="00EF30C7">
        <w:rPr>
          <w:lang w:eastAsia="es-ES"/>
        </w:rPr>
        <w:t xml:space="preserve">, esto según </w:t>
      </w:r>
      <w:r w:rsidR="00EF30C7" w:rsidRPr="00EF30C7">
        <w:rPr>
          <w:noProof/>
          <w:lang w:val="es-ES" w:eastAsia="es-ES"/>
        </w:rPr>
        <w:t>Departamento Administrativo de Función Publica</w:t>
      </w:r>
      <w:r w:rsidR="00EF30C7">
        <w:rPr>
          <w:noProof/>
          <w:lang w:val="es-ES" w:eastAsia="es-ES"/>
        </w:rPr>
        <w:t xml:space="preserve"> (</w:t>
      </w:r>
      <w:r w:rsidR="00EF30C7" w:rsidRPr="00EF30C7">
        <w:rPr>
          <w:noProof/>
          <w:lang w:val="es-ES" w:eastAsia="es-ES"/>
        </w:rPr>
        <w:t>2005)</w:t>
      </w:r>
      <w:r>
        <w:rPr>
          <w:lang w:eastAsia="es-ES"/>
        </w:rPr>
        <w:t>. Esto incluye:</w:t>
      </w:r>
    </w:p>
    <w:p w14:paraId="3C85AA3D" w14:textId="16EA5C6A" w:rsidR="00576949" w:rsidRDefault="00576949" w:rsidP="0015136C">
      <w:pPr>
        <w:spacing w:line="480" w:lineRule="auto"/>
        <w:rPr>
          <w:lang w:eastAsia="es-ES"/>
        </w:rPr>
      </w:pPr>
      <w:r>
        <w:rPr>
          <w:lang w:eastAsia="es-ES"/>
        </w:rPr>
        <w:t xml:space="preserve">Normas sobre la introducción y salida de bienes, tanto entre zonas francas como entre estas y el exterior (artículo 4). Estos controles son vitales para evitar la evasión de impuestos y asegurar que los beneficios fiscales y aduaneros se utilicen adecuadamente. El artículo 7 adiciona disposiciones al Estatuto Tributario que excluyen del IVA las materias primas y bienes terminados </w:t>
      </w:r>
      <w:r>
        <w:rPr>
          <w:lang w:eastAsia="es-ES"/>
        </w:rPr>
        <w:lastRenderedPageBreak/>
        <w:t>vendidos desde el territorio aduanero nacional a usuarios industriales de las zonas francas, lo que facilita el flujo de mercancías hacia la zona, reduciendo aún más los costos de operación.</w:t>
      </w:r>
    </w:p>
    <w:p w14:paraId="3D66A65D" w14:textId="3A2AA458" w:rsidR="00576949" w:rsidRDefault="00576949" w:rsidP="00EF30C7">
      <w:pPr>
        <w:spacing w:line="480" w:lineRule="auto"/>
        <w:rPr>
          <w:lang w:eastAsia="es-ES"/>
        </w:rPr>
      </w:pPr>
      <w:r>
        <w:rPr>
          <w:lang w:eastAsia="es-ES"/>
        </w:rPr>
        <w:t>En Aguachica, el cumplimiento de estos controles garantizaría la legalidad y eficiencia en el manejo de bienes, promoviendo la confianza de los inversionistas y mejorando la competitividad de las empresas que operen en la zona franca.</w:t>
      </w:r>
    </w:p>
    <w:p w14:paraId="26091E85" w14:textId="74DF6CE4" w:rsidR="00576949" w:rsidRPr="00EF30C7" w:rsidRDefault="00576949" w:rsidP="00EF30C7">
      <w:pPr>
        <w:pStyle w:val="Prrafodelista"/>
        <w:numPr>
          <w:ilvl w:val="0"/>
          <w:numId w:val="29"/>
        </w:numPr>
        <w:spacing w:line="480" w:lineRule="auto"/>
        <w:rPr>
          <w:rFonts w:ascii="Times New Roman" w:hAnsi="Times New Roman"/>
          <w:b/>
        </w:rPr>
      </w:pPr>
      <w:r w:rsidRPr="00EF30C7">
        <w:rPr>
          <w:rFonts w:ascii="Times New Roman" w:hAnsi="Times New Roman"/>
          <w:b/>
        </w:rPr>
        <w:t>Impacto Económico y Desarrollo Regional</w:t>
      </w:r>
    </w:p>
    <w:p w14:paraId="4B174771" w14:textId="3EB5AE28" w:rsidR="00576949" w:rsidRDefault="00576949" w:rsidP="0015136C">
      <w:pPr>
        <w:spacing w:line="480" w:lineRule="auto"/>
        <w:rPr>
          <w:lang w:eastAsia="es-ES"/>
        </w:rPr>
      </w:pPr>
      <w:r>
        <w:rPr>
          <w:lang w:eastAsia="es-ES"/>
        </w:rPr>
        <w:t xml:space="preserve">La Ley 1004 </w:t>
      </w:r>
      <w:r w:rsidR="00EF30C7">
        <w:rPr>
          <w:lang w:eastAsia="es-ES"/>
        </w:rPr>
        <w:t xml:space="preserve">del </w:t>
      </w:r>
      <w:r w:rsidR="00EF30C7" w:rsidRPr="00EF30C7">
        <w:rPr>
          <w:noProof/>
          <w:lang w:val="es-ES" w:eastAsia="es-ES"/>
        </w:rPr>
        <w:t>Departamento Administrativo de Función Publica</w:t>
      </w:r>
      <w:r w:rsidR="00EF30C7">
        <w:rPr>
          <w:noProof/>
          <w:lang w:val="es-ES" w:eastAsia="es-ES"/>
        </w:rPr>
        <w:t xml:space="preserve"> (</w:t>
      </w:r>
      <w:r w:rsidR="00EF30C7" w:rsidRPr="00EF30C7">
        <w:rPr>
          <w:noProof/>
          <w:lang w:val="es-ES" w:eastAsia="es-ES"/>
        </w:rPr>
        <w:t>2005)</w:t>
      </w:r>
      <w:r w:rsidR="00EF30C7">
        <w:rPr>
          <w:noProof/>
          <w:lang w:val="es-ES" w:eastAsia="es-ES"/>
        </w:rPr>
        <w:t xml:space="preserve"> </w:t>
      </w:r>
      <w:r>
        <w:rPr>
          <w:lang w:eastAsia="es-ES"/>
        </w:rPr>
        <w:t>también contempla que las zonas francas actúan como polos de desarrollo regional, generando economías de escala y promoviendo la competitividad local e internacional. En Aguachica, una zona franca podría estimular la diversificación de la economía, creando oportunidades para que las empresas locales se integren en las cadenas globales de suministro.</w:t>
      </w:r>
    </w:p>
    <w:p w14:paraId="7C0F5E44" w14:textId="6ADFF23E" w:rsidR="00576949" w:rsidRDefault="00576949" w:rsidP="0015136C">
      <w:pPr>
        <w:spacing w:line="480" w:lineRule="auto"/>
        <w:rPr>
          <w:lang w:eastAsia="es-ES"/>
        </w:rPr>
      </w:pPr>
      <w:r>
        <w:rPr>
          <w:lang w:eastAsia="es-ES"/>
        </w:rPr>
        <w:t>Así mismo, la simplificación de procedimientos aduaneros y tributarios contemplada en la ley facilitaría el establecimiento de nuevas industrias y la expansión de las existentes, beneficiando tanto a las grandes empresas como a las pequeñas y medianas empresas que podrían encontrar en Aguachica un entorno propicio para el crecimiento.</w:t>
      </w:r>
    </w:p>
    <w:p w14:paraId="2351B009" w14:textId="6F07CE32" w:rsidR="00800A09" w:rsidRDefault="00576949" w:rsidP="00EF30C7">
      <w:pPr>
        <w:spacing w:line="480" w:lineRule="auto"/>
        <w:rPr>
          <w:lang w:eastAsia="es-ES"/>
        </w:rPr>
      </w:pPr>
      <w:r w:rsidRPr="00576949">
        <w:rPr>
          <w:lang w:eastAsia="es-ES"/>
        </w:rPr>
        <w:t xml:space="preserve">La Ley 1004 de 2005 establece un marco legal robusto y claro para la creación y funcionamiento de zonas francas en Colombia, ofreciendo beneficios fiscales y aduaneros que favorecen el desarrollo industrial y comercial. En el contexto de Aguachica, Cesar, esta legislación facilitaría la formación de una Zona Franca competitiva, capaz de atraer inversiones, generar empleo y fomentar la exportación de productos, lo que mejoraría la infraestructura económica y la capacidad productiva de la región. El éxito de una zona franca en Aguachica dependerá de una planificación y ejecución adecuadas del proyecto, apoyadas en los beneficios que proporciona la </w:t>
      </w:r>
      <w:r w:rsidRPr="00576949">
        <w:rPr>
          <w:lang w:eastAsia="es-ES"/>
        </w:rPr>
        <w:lastRenderedPageBreak/>
        <w:t>ley y en la habilidad del operador para gestionar eficazmente el régimen especial. Este marco representa una oportunidad estratégica para convertir la región en un centro de desarrollo industrial, comercial y de servicios, con repercusiones tanto a nivel regional como nacional</w:t>
      </w:r>
    </w:p>
    <w:p w14:paraId="32BE3470" w14:textId="77777777" w:rsidR="005E1D00" w:rsidRDefault="005E1D00" w:rsidP="005E1D00">
      <w:pPr>
        <w:rPr>
          <w:lang w:eastAsia="es-ES"/>
        </w:rPr>
      </w:pPr>
    </w:p>
    <w:p w14:paraId="0FDB0A29" w14:textId="384E428C" w:rsidR="00800A09" w:rsidRDefault="00800A09" w:rsidP="00EF30C7">
      <w:pPr>
        <w:pStyle w:val="Ttulo3"/>
      </w:pPr>
      <w:bookmarkStart w:id="52" w:name="_Toc183783046"/>
      <w:r w:rsidRPr="00EF30C7">
        <w:t>Decretos presidenciales.</w:t>
      </w:r>
      <w:bookmarkEnd w:id="52"/>
    </w:p>
    <w:p w14:paraId="70B72866" w14:textId="77777777" w:rsidR="005E1D00" w:rsidRPr="005E1D00" w:rsidRDefault="005E1D00" w:rsidP="005E1D00"/>
    <w:p w14:paraId="174AD854" w14:textId="4B725779" w:rsidR="00EF30C7" w:rsidRPr="00EF30C7" w:rsidRDefault="00EF30C7" w:rsidP="00EF30C7">
      <w:pPr>
        <w:pStyle w:val="Descripcin"/>
        <w:spacing w:after="0"/>
        <w:rPr>
          <w:b/>
          <w:bCs/>
          <w:i w:val="0"/>
          <w:iCs w:val="0"/>
          <w:color w:val="auto"/>
          <w:sz w:val="24"/>
          <w:szCs w:val="24"/>
        </w:rPr>
      </w:pPr>
      <w:bookmarkStart w:id="53" w:name="_Toc178689000"/>
      <w:bookmarkStart w:id="54" w:name="_Toc183783073"/>
      <w:r w:rsidRPr="00EF30C7">
        <w:rPr>
          <w:b/>
          <w:bCs/>
          <w:i w:val="0"/>
          <w:iCs w:val="0"/>
          <w:color w:val="auto"/>
          <w:sz w:val="24"/>
          <w:szCs w:val="24"/>
        </w:rPr>
        <w:t xml:space="preserve">Tabla </w:t>
      </w:r>
      <w:r w:rsidRPr="00EF30C7">
        <w:rPr>
          <w:b/>
          <w:bCs/>
          <w:i w:val="0"/>
          <w:iCs w:val="0"/>
          <w:color w:val="auto"/>
          <w:sz w:val="24"/>
          <w:szCs w:val="24"/>
        </w:rPr>
        <w:fldChar w:fldCharType="begin"/>
      </w:r>
      <w:r w:rsidRPr="00EF30C7">
        <w:rPr>
          <w:b/>
          <w:bCs/>
          <w:i w:val="0"/>
          <w:iCs w:val="0"/>
          <w:color w:val="auto"/>
          <w:sz w:val="24"/>
          <w:szCs w:val="24"/>
        </w:rPr>
        <w:instrText xml:space="preserve"> SEQ Tabla \* ARABIC </w:instrText>
      </w:r>
      <w:r w:rsidRPr="00EF30C7">
        <w:rPr>
          <w:b/>
          <w:bCs/>
          <w:i w:val="0"/>
          <w:iCs w:val="0"/>
          <w:color w:val="auto"/>
          <w:sz w:val="24"/>
          <w:szCs w:val="24"/>
        </w:rPr>
        <w:fldChar w:fldCharType="separate"/>
      </w:r>
      <w:r w:rsidR="00901E21">
        <w:rPr>
          <w:b/>
          <w:bCs/>
          <w:i w:val="0"/>
          <w:iCs w:val="0"/>
          <w:noProof/>
          <w:color w:val="auto"/>
          <w:sz w:val="24"/>
          <w:szCs w:val="24"/>
        </w:rPr>
        <w:t>4</w:t>
      </w:r>
      <w:r w:rsidRPr="00EF30C7">
        <w:rPr>
          <w:b/>
          <w:bCs/>
          <w:i w:val="0"/>
          <w:iCs w:val="0"/>
          <w:color w:val="auto"/>
          <w:sz w:val="24"/>
          <w:szCs w:val="24"/>
        </w:rPr>
        <w:fldChar w:fldCharType="end"/>
      </w:r>
      <w:r w:rsidRPr="00EF30C7">
        <w:rPr>
          <w:b/>
          <w:bCs/>
          <w:i w:val="0"/>
          <w:iCs w:val="0"/>
          <w:color w:val="auto"/>
          <w:sz w:val="24"/>
          <w:szCs w:val="24"/>
        </w:rPr>
        <w:t>:</w:t>
      </w:r>
      <w:bookmarkEnd w:id="53"/>
      <w:bookmarkEnd w:id="54"/>
      <w:r w:rsidRPr="00EF30C7">
        <w:rPr>
          <w:b/>
          <w:bCs/>
          <w:i w:val="0"/>
          <w:iCs w:val="0"/>
          <w:color w:val="auto"/>
          <w:sz w:val="24"/>
          <w:szCs w:val="24"/>
        </w:rPr>
        <w:t xml:space="preserve"> </w:t>
      </w:r>
    </w:p>
    <w:p w14:paraId="2D5BC350" w14:textId="49F0941B" w:rsidR="00800A09" w:rsidRPr="006C3145" w:rsidRDefault="00EF30C7" w:rsidP="00EF30C7">
      <w:pPr>
        <w:pStyle w:val="Descripcin"/>
        <w:spacing w:after="0"/>
        <w:rPr>
          <w:i w:val="0"/>
          <w:iCs w:val="0"/>
          <w:color w:val="auto"/>
          <w:sz w:val="24"/>
          <w:szCs w:val="24"/>
        </w:rPr>
      </w:pPr>
      <w:bookmarkStart w:id="55" w:name="_Toc178689001"/>
      <w:bookmarkStart w:id="56" w:name="_Toc183783074"/>
      <w:r w:rsidRPr="006C3145">
        <w:rPr>
          <w:i w:val="0"/>
          <w:iCs w:val="0"/>
          <w:color w:val="auto"/>
          <w:sz w:val="24"/>
          <w:szCs w:val="24"/>
        </w:rPr>
        <w:t>Decretos presidenciales</w:t>
      </w:r>
      <w:bookmarkEnd w:id="55"/>
      <w:bookmarkEnd w:id="56"/>
    </w:p>
    <w:p w14:paraId="2D6EA527" w14:textId="77777777" w:rsidR="00EF30C7" w:rsidRPr="00EF30C7" w:rsidRDefault="00EF30C7" w:rsidP="00EF30C7"/>
    <w:tbl>
      <w:tblPr>
        <w:tblW w:w="8760" w:type="dxa"/>
        <w:tblInd w:w="-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860"/>
        <w:gridCol w:w="5900"/>
      </w:tblGrid>
      <w:tr w:rsidR="00662B6D" w:rsidRPr="00662B6D" w14:paraId="3E60DDDA" w14:textId="77777777" w:rsidTr="00EF30C7">
        <w:trPr>
          <w:trHeight w:val="300"/>
        </w:trPr>
        <w:tc>
          <w:tcPr>
            <w:tcW w:w="2860" w:type="dxa"/>
            <w:tcBorders>
              <w:top w:val="single" w:sz="4" w:space="0" w:color="auto"/>
              <w:bottom w:val="single" w:sz="4" w:space="0" w:color="auto"/>
            </w:tcBorders>
            <w:shd w:val="clear" w:color="auto" w:fill="auto"/>
            <w:vAlign w:val="center"/>
            <w:hideMark/>
          </w:tcPr>
          <w:p w14:paraId="136A2D8F" w14:textId="77777777" w:rsidR="00662B6D" w:rsidRPr="00662B6D" w:rsidRDefault="00662B6D" w:rsidP="00EF30C7">
            <w:pPr>
              <w:spacing w:after="0" w:line="276" w:lineRule="auto"/>
              <w:ind w:firstLine="0"/>
              <w:jc w:val="center"/>
              <w:rPr>
                <w:rFonts w:eastAsia="Times New Roman" w:cs="Times New Roman"/>
                <w:b/>
                <w:bCs/>
                <w:color w:val="000000"/>
                <w:kern w:val="0"/>
                <w:szCs w:val="24"/>
                <w:lang w:eastAsia="es-CO"/>
                <w14:ligatures w14:val="none"/>
              </w:rPr>
            </w:pPr>
            <w:r w:rsidRPr="00662B6D">
              <w:rPr>
                <w:rFonts w:eastAsia="Times New Roman" w:cs="Times New Roman"/>
                <w:b/>
                <w:bCs/>
                <w:color w:val="000000"/>
                <w:kern w:val="0"/>
                <w:szCs w:val="24"/>
                <w:lang w:eastAsia="es-CO"/>
                <w14:ligatures w14:val="none"/>
              </w:rPr>
              <w:t>Aspecto</w:t>
            </w:r>
          </w:p>
        </w:tc>
        <w:tc>
          <w:tcPr>
            <w:tcW w:w="5900" w:type="dxa"/>
            <w:tcBorders>
              <w:top w:val="single" w:sz="4" w:space="0" w:color="auto"/>
              <w:bottom w:val="single" w:sz="4" w:space="0" w:color="auto"/>
            </w:tcBorders>
            <w:shd w:val="clear" w:color="auto" w:fill="auto"/>
            <w:vAlign w:val="center"/>
            <w:hideMark/>
          </w:tcPr>
          <w:p w14:paraId="6B628A4F" w14:textId="77777777" w:rsidR="00662B6D" w:rsidRPr="00662B6D" w:rsidRDefault="00662B6D" w:rsidP="00EF30C7">
            <w:pPr>
              <w:spacing w:after="0" w:line="276" w:lineRule="auto"/>
              <w:ind w:firstLine="0"/>
              <w:jc w:val="center"/>
              <w:rPr>
                <w:rFonts w:eastAsia="Times New Roman" w:cs="Times New Roman"/>
                <w:b/>
                <w:bCs/>
                <w:color w:val="000000"/>
                <w:kern w:val="0"/>
                <w:szCs w:val="24"/>
                <w:lang w:eastAsia="es-CO"/>
                <w14:ligatures w14:val="none"/>
              </w:rPr>
            </w:pPr>
            <w:r w:rsidRPr="00662B6D">
              <w:rPr>
                <w:rFonts w:eastAsia="Times New Roman" w:cs="Times New Roman"/>
                <w:b/>
                <w:bCs/>
                <w:color w:val="000000"/>
                <w:kern w:val="0"/>
                <w:szCs w:val="24"/>
                <w:lang w:eastAsia="es-CO"/>
                <w14:ligatures w14:val="none"/>
              </w:rPr>
              <w:t>Descripción</w:t>
            </w:r>
          </w:p>
        </w:tc>
      </w:tr>
      <w:tr w:rsidR="00662B6D" w:rsidRPr="00662B6D" w14:paraId="00DB4AB3" w14:textId="77777777" w:rsidTr="00EF30C7">
        <w:trPr>
          <w:trHeight w:val="300"/>
        </w:trPr>
        <w:tc>
          <w:tcPr>
            <w:tcW w:w="2860" w:type="dxa"/>
            <w:vMerge w:val="restart"/>
            <w:tcBorders>
              <w:top w:val="single" w:sz="4" w:space="0" w:color="auto"/>
            </w:tcBorders>
            <w:shd w:val="clear" w:color="auto" w:fill="auto"/>
            <w:vAlign w:val="center"/>
            <w:hideMark/>
          </w:tcPr>
          <w:p w14:paraId="252BD66E"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r w:rsidRPr="00662B6D">
              <w:rPr>
                <w:rFonts w:eastAsia="Times New Roman" w:cs="Times New Roman"/>
                <w:b/>
                <w:bCs/>
                <w:color w:val="000000"/>
                <w:kern w:val="0"/>
                <w:szCs w:val="24"/>
                <w:lang w:eastAsia="es-CO"/>
                <w14:ligatures w14:val="none"/>
              </w:rPr>
              <w:t>1. Requisitos para la Declaración de una Zona Franca</w:t>
            </w:r>
          </w:p>
        </w:tc>
        <w:tc>
          <w:tcPr>
            <w:tcW w:w="5900" w:type="dxa"/>
            <w:tcBorders>
              <w:top w:val="single" w:sz="4" w:space="0" w:color="auto"/>
            </w:tcBorders>
            <w:shd w:val="clear" w:color="auto" w:fill="auto"/>
            <w:vAlign w:val="center"/>
            <w:hideMark/>
          </w:tcPr>
          <w:p w14:paraId="1DCDF276"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El </w:t>
            </w:r>
            <w:r w:rsidRPr="00662B6D">
              <w:rPr>
                <w:rFonts w:eastAsia="Times New Roman" w:cs="Times New Roman"/>
                <w:b/>
                <w:bCs/>
                <w:color w:val="000000"/>
                <w:kern w:val="0"/>
                <w:szCs w:val="24"/>
                <w:lang w:eastAsia="es-CO"/>
                <w14:ligatures w14:val="none"/>
              </w:rPr>
              <w:t>artículo 68</w:t>
            </w:r>
            <w:r w:rsidRPr="00662B6D">
              <w:rPr>
                <w:rFonts w:eastAsia="Times New Roman" w:cs="Times New Roman"/>
                <w:color w:val="000000"/>
                <w:kern w:val="0"/>
                <w:szCs w:val="24"/>
                <w:lang w:eastAsia="es-CO"/>
                <w14:ligatures w14:val="none"/>
              </w:rPr>
              <w:t xml:space="preserve"> exige un acto administrativo que incluya:</w:t>
            </w:r>
          </w:p>
        </w:tc>
      </w:tr>
      <w:tr w:rsidR="00662B6D" w:rsidRPr="00662B6D" w14:paraId="7213A078" w14:textId="77777777" w:rsidTr="00EF30C7">
        <w:trPr>
          <w:trHeight w:val="600"/>
        </w:trPr>
        <w:tc>
          <w:tcPr>
            <w:tcW w:w="2860" w:type="dxa"/>
            <w:vMerge/>
            <w:vAlign w:val="center"/>
            <w:hideMark/>
          </w:tcPr>
          <w:p w14:paraId="77CD607C"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1CFB5C60"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 </w:t>
            </w:r>
            <w:r w:rsidRPr="00662B6D">
              <w:rPr>
                <w:rFonts w:eastAsia="Times New Roman" w:cs="Times New Roman"/>
                <w:b/>
                <w:bCs/>
                <w:color w:val="000000"/>
                <w:kern w:val="0"/>
                <w:szCs w:val="24"/>
                <w:lang w:eastAsia="es-CO"/>
                <w14:ligatures w14:val="none"/>
              </w:rPr>
              <w:t>Localización y área del terreno</w:t>
            </w:r>
            <w:r w:rsidRPr="00662B6D">
              <w:rPr>
                <w:rFonts w:eastAsia="Times New Roman" w:cs="Times New Roman"/>
                <w:color w:val="000000"/>
                <w:kern w:val="0"/>
                <w:szCs w:val="24"/>
                <w:lang w:eastAsia="es-CO"/>
                <w14:ligatures w14:val="none"/>
              </w:rPr>
              <w:t>: Definición precisa de la ubicación y extensión del terreno.</w:t>
            </w:r>
          </w:p>
        </w:tc>
      </w:tr>
      <w:tr w:rsidR="00662B6D" w:rsidRPr="00662B6D" w14:paraId="246908F2" w14:textId="77777777" w:rsidTr="00EF30C7">
        <w:trPr>
          <w:trHeight w:val="600"/>
        </w:trPr>
        <w:tc>
          <w:tcPr>
            <w:tcW w:w="2860" w:type="dxa"/>
            <w:vMerge/>
            <w:vAlign w:val="center"/>
            <w:hideMark/>
          </w:tcPr>
          <w:p w14:paraId="76001460"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7C1A9F95"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 </w:t>
            </w:r>
            <w:r w:rsidRPr="00662B6D">
              <w:rPr>
                <w:rFonts w:eastAsia="Times New Roman" w:cs="Times New Roman"/>
                <w:b/>
                <w:bCs/>
                <w:color w:val="000000"/>
                <w:kern w:val="0"/>
                <w:szCs w:val="24"/>
                <w:lang w:eastAsia="es-CO"/>
                <w14:ligatures w14:val="none"/>
              </w:rPr>
              <w:t>Análisis del proyecto</w:t>
            </w:r>
            <w:r w:rsidRPr="00662B6D">
              <w:rPr>
                <w:rFonts w:eastAsia="Times New Roman" w:cs="Times New Roman"/>
                <w:color w:val="000000"/>
                <w:kern w:val="0"/>
                <w:szCs w:val="24"/>
                <w:lang w:eastAsia="es-CO"/>
                <w14:ligatures w14:val="none"/>
              </w:rPr>
              <w:t>: Justificación económica, social y comercial del proyecto.</w:t>
            </w:r>
          </w:p>
        </w:tc>
      </w:tr>
      <w:tr w:rsidR="00662B6D" w:rsidRPr="00662B6D" w14:paraId="528E5B5E" w14:textId="77777777" w:rsidTr="00EF30C7">
        <w:trPr>
          <w:trHeight w:val="600"/>
        </w:trPr>
        <w:tc>
          <w:tcPr>
            <w:tcW w:w="2860" w:type="dxa"/>
            <w:vMerge/>
            <w:vAlign w:val="center"/>
            <w:hideMark/>
          </w:tcPr>
          <w:p w14:paraId="6C890274"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5F301479"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 </w:t>
            </w:r>
            <w:r w:rsidRPr="00662B6D">
              <w:rPr>
                <w:rFonts w:eastAsia="Times New Roman" w:cs="Times New Roman"/>
                <w:b/>
                <w:bCs/>
                <w:color w:val="000000"/>
                <w:kern w:val="0"/>
                <w:szCs w:val="24"/>
                <w:lang w:eastAsia="es-CO"/>
                <w14:ligatures w14:val="none"/>
              </w:rPr>
              <w:t>Requisitos generales</w:t>
            </w:r>
            <w:r w:rsidRPr="00662B6D">
              <w:rPr>
                <w:rFonts w:eastAsia="Times New Roman" w:cs="Times New Roman"/>
                <w:color w:val="000000"/>
                <w:kern w:val="0"/>
                <w:szCs w:val="24"/>
                <w:lang w:eastAsia="es-CO"/>
                <w14:ligatures w14:val="none"/>
              </w:rPr>
              <w:t>: Cumplimiento de estándares de infraestructura.</w:t>
            </w:r>
          </w:p>
        </w:tc>
      </w:tr>
      <w:tr w:rsidR="00662B6D" w:rsidRPr="00662B6D" w14:paraId="77A32533" w14:textId="77777777" w:rsidTr="00EF30C7">
        <w:trPr>
          <w:trHeight w:val="600"/>
        </w:trPr>
        <w:tc>
          <w:tcPr>
            <w:tcW w:w="2860" w:type="dxa"/>
            <w:vMerge w:val="restart"/>
            <w:shd w:val="clear" w:color="auto" w:fill="auto"/>
            <w:vAlign w:val="center"/>
            <w:hideMark/>
          </w:tcPr>
          <w:p w14:paraId="3A541731"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r w:rsidRPr="00662B6D">
              <w:rPr>
                <w:rFonts w:eastAsia="Times New Roman" w:cs="Times New Roman"/>
                <w:b/>
                <w:bCs/>
                <w:color w:val="000000"/>
                <w:kern w:val="0"/>
                <w:szCs w:val="24"/>
                <w:lang w:eastAsia="es-CO"/>
                <w14:ligatures w14:val="none"/>
              </w:rPr>
              <w:t>2. Normativa Aduanera y de Comercio Exterior</w:t>
            </w:r>
          </w:p>
        </w:tc>
        <w:tc>
          <w:tcPr>
            <w:tcW w:w="5900" w:type="dxa"/>
            <w:shd w:val="clear" w:color="auto" w:fill="auto"/>
            <w:vAlign w:val="center"/>
            <w:hideMark/>
          </w:tcPr>
          <w:p w14:paraId="470A77CF"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Los bienes ingresados a la zona franca no pagan impuestos de importación, aranceles ni IVA mientras estén en la zona.</w:t>
            </w:r>
          </w:p>
        </w:tc>
      </w:tr>
      <w:tr w:rsidR="00662B6D" w:rsidRPr="00662B6D" w14:paraId="72601BE0" w14:textId="77777777" w:rsidTr="00EF30C7">
        <w:trPr>
          <w:trHeight w:val="1200"/>
        </w:trPr>
        <w:tc>
          <w:tcPr>
            <w:tcW w:w="2860" w:type="dxa"/>
            <w:vMerge/>
            <w:vAlign w:val="center"/>
            <w:hideMark/>
          </w:tcPr>
          <w:p w14:paraId="48D71009"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7D8F0281"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 </w:t>
            </w:r>
            <w:r w:rsidRPr="00662B6D">
              <w:rPr>
                <w:rFonts w:eastAsia="Times New Roman" w:cs="Times New Roman"/>
                <w:b/>
                <w:bCs/>
                <w:color w:val="000000"/>
                <w:kern w:val="0"/>
                <w:szCs w:val="24"/>
                <w:lang w:eastAsia="es-CO"/>
                <w14:ligatures w14:val="none"/>
              </w:rPr>
              <w:t>Control Aduanero (art. 75)</w:t>
            </w:r>
            <w:r w:rsidRPr="00662B6D">
              <w:rPr>
                <w:rFonts w:eastAsia="Times New Roman" w:cs="Times New Roman"/>
                <w:color w:val="000000"/>
                <w:kern w:val="0"/>
                <w:szCs w:val="24"/>
                <w:lang w:eastAsia="es-CO"/>
                <w14:ligatures w14:val="none"/>
              </w:rPr>
              <w:t>: Los operadores deben implementar un sistema de inventarios para asegurar el control de entrada y salida de mercancías, supervisado por la DIAN.</w:t>
            </w:r>
          </w:p>
        </w:tc>
      </w:tr>
      <w:tr w:rsidR="00662B6D" w:rsidRPr="00662B6D" w14:paraId="655F1555" w14:textId="77777777" w:rsidTr="00EF30C7">
        <w:trPr>
          <w:trHeight w:val="900"/>
        </w:trPr>
        <w:tc>
          <w:tcPr>
            <w:tcW w:w="2860" w:type="dxa"/>
            <w:vMerge w:val="restart"/>
            <w:shd w:val="clear" w:color="auto" w:fill="auto"/>
            <w:vAlign w:val="center"/>
            <w:hideMark/>
          </w:tcPr>
          <w:p w14:paraId="6C1A5AE1"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r w:rsidRPr="00662B6D">
              <w:rPr>
                <w:rFonts w:eastAsia="Times New Roman" w:cs="Times New Roman"/>
                <w:b/>
                <w:bCs/>
                <w:color w:val="000000"/>
                <w:kern w:val="0"/>
                <w:szCs w:val="24"/>
                <w:lang w:eastAsia="es-CO"/>
                <w14:ligatures w14:val="none"/>
              </w:rPr>
              <w:t>3. Usuario Operador de la Zona Franca</w:t>
            </w:r>
          </w:p>
        </w:tc>
        <w:tc>
          <w:tcPr>
            <w:tcW w:w="5900" w:type="dxa"/>
            <w:shd w:val="clear" w:color="auto" w:fill="auto"/>
            <w:vAlign w:val="center"/>
            <w:hideMark/>
          </w:tcPr>
          <w:p w14:paraId="4A1D6957"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El </w:t>
            </w:r>
            <w:r w:rsidRPr="00662B6D">
              <w:rPr>
                <w:rFonts w:eastAsia="Times New Roman" w:cs="Times New Roman"/>
                <w:b/>
                <w:bCs/>
                <w:color w:val="000000"/>
                <w:kern w:val="0"/>
                <w:szCs w:val="24"/>
                <w:lang w:eastAsia="es-CO"/>
                <w14:ligatures w14:val="none"/>
              </w:rPr>
              <w:t>artículo 70</w:t>
            </w:r>
            <w:r w:rsidRPr="00662B6D">
              <w:rPr>
                <w:rFonts w:eastAsia="Times New Roman" w:cs="Times New Roman"/>
                <w:color w:val="000000"/>
                <w:kern w:val="0"/>
                <w:szCs w:val="24"/>
                <w:lang w:eastAsia="es-CO"/>
                <w14:ligatures w14:val="none"/>
              </w:rPr>
              <w:t xml:space="preserve"> establece que el operador debe ser una </w:t>
            </w:r>
            <w:r w:rsidRPr="00662B6D">
              <w:rPr>
                <w:rFonts w:eastAsia="Times New Roman" w:cs="Times New Roman"/>
                <w:b/>
                <w:bCs/>
                <w:color w:val="000000"/>
                <w:kern w:val="0"/>
                <w:szCs w:val="24"/>
                <w:lang w:eastAsia="es-CO"/>
                <w14:ligatures w14:val="none"/>
              </w:rPr>
              <w:t>persona jurídica</w:t>
            </w:r>
            <w:r w:rsidRPr="00662B6D">
              <w:rPr>
                <w:rFonts w:eastAsia="Times New Roman" w:cs="Times New Roman"/>
                <w:color w:val="000000"/>
                <w:kern w:val="0"/>
                <w:szCs w:val="24"/>
                <w:lang w:eastAsia="es-CO"/>
                <w14:ligatures w14:val="none"/>
              </w:rPr>
              <w:t xml:space="preserve"> con capacidad para gestionar las actividades en la zona franca.</w:t>
            </w:r>
          </w:p>
        </w:tc>
      </w:tr>
      <w:tr w:rsidR="00662B6D" w:rsidRPr="00662B6D" w14:paraId="14DD58B5" w14:textId="77777777" w:rsidTr="00EF30C7">
        <w:trPr>
          <w:trHeight w:val="900"/>
        </w:trPr>
        <w:tc>
          <w:tcPr>
            <w:tcW w:w="2860" w:type="dxa"/>
            <w:vMerge/>
            <w:vAlign w:val="center"/>
            <w:hideMark/>
          </w:tcPr>
          <w:p w14:paraId="0BC238D8"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350B7D94"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r w:rsidRPr="00662B6D">
              <w:rPr>
                <w:rFonts w:eastAsia="Times New Roman" w:cs="Times New Roman"/>
                <w:b/>
                <w:bCs/>
                <w:color w:val="000000"/>
                <w:kern w:val="0"/>
                <w:szCs w:val="24"/>
                <w:lang w:eastAsia="es-CO"/>
                <w14:ligatures w14:val="none"/>
              </w:rPr>
              <w:t>Funciones (art. 73)</w:t>
            </w:r>
            <w:r w:rsidRPr="00662B6D">
              <w:rPr>
                <w:rFonts w:eastAsia="Times New Roman" w:cs="Times New Roman"/>
                <w:color w:val="000000"/>
                <w:kern w:val="0"/>
                <w:szCs w:val="24"/>
                <w:lang w:eastAsia="es-CO"/>
                <w14:ligatures w14:val="none"/>
              </w:rPr>
              <w:t>: Administrar la zona, garantizar infraestructura adecuada, supervisar usuarios y controlar el cumplimiento normativo de las empresas.</w:t>
            </w:r>
          </w:p>
        </w:tc>
      </w:tr>
      <w:tr w:rsidR="00662B6D" w:rsidRPr="00662B6D" w14:paraId="362295F2" w14:textId="77777777" w:rsidTr="00EF30C7">
        <w:trPr>
          <w:trHeight w:val="900"/>
        </w:trPr>
        <w:tc>
          <w:tcPr>
            <w:tcW w:w="2860" w:type="dxa"/>
            <w:vMerge w:val="restart"/>
            <w:shd w:val="clear" w:color="auto" w:fill="auto"/>
            <w:vAlign w:val="center"/>
            <w:hideMark/>
          </w:tcPr>
          <w:p w14:paraId="0AA0C53D"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r w:rsidRPr="00662B6D">
              <w:rPr>
                <w:rFonts w:eastAsia="Times New Roman" w:cs="Times New Roman"/>
                <w:b/>
                <w:bCs/>
                <w:color w:val="000000"/>
                <w:kern w:val="0"/>
                <w:szCs w:val="24"/>
                <w:lang w:eastAsia="es-CO"/>
                <w14:ligatures w14:val="none"/>
              </w:rPr>
              <w:t>4. Beneficios Tributarios</w:t>
            </w:r>
          </w:p>
        </w:tc>
        <w:tc>
          <w:tcPr>
            <w:tcW w:w="5900" w:type="dxa"/>
            <w:shd w:val="clear" w:color="auto" w:fill="auto"/>
            <w:vAlign w:val="center"/>
            <w:hideMark/>
          </w:tcPr>
          <w:p w14:paraId="54BB7273"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Según el </w:t>
            </w:r>
            <w:r w:rsidRPr="00662B6D">
              <w:rPr>
                <w:rFonts w:eastAsia="Times New Roman" w:cs="Times New Roman"/>
                <w:b/>
                <w:bCs/>
                <w:color w:val="000000"/>
                <w:kern w:val="0"/>
                <w:szCs w:val="24"/>
                <w:lang w:eastAsia="es-CO"/>
                <w14:ligatures w14:val="none"/>
              </w:rPr>
              <w:t>artículo 240-1 del Estatuto Tributario</w:t>
            </w:r>
            <w:r w:rsidRPr="00662B6D">
              <w:rPr>
                <w:rFonts w:eastAsia="Times New Roman" w:cs="Times New Roman"/>
                <w:color w:val="000000"/>
                <w:kern w:val="0"/>
                <w:szCs w:val="24"/>
                <w:lang w:eastAsia="es-CO"/>
                <w14:ligatures w14:val="none"/>
              </w:rPr>
              <w:t xml:space="preserve">, los usuarios calificados disfrutan de una tarifa reducida de </w:t>
            </w:r>
            <w:r w:rsidRPr="00662B6D">
              <w:rPr>
                <w:rFonts w:eastAsia="Times New Roman" w:cs="Times New Roman"/>
                <w:b/>
                <w:bCs/>
                <w:color w:val="000000"/>
                <w:kern w:val="0"/>
                <w:szCs w:val="24"/>
                <w:lang w:eastAsia="es-CO"/>
                <w14:ligatures w14:val="none"/>
              </w:rPr>
              <w:t>20% sobre el impuesto de renta líquida</w:t>
            </w:r>
            <w:r w:rsidRPr="00662B6D">
              <w:rPr>
                <w:rFonts w:eastAsia="Times New Roman" w:cs="Times New Roman"/>
                <w:color w:val="000000"/>
                <w:kern w:val="0"/>
                <w:szCs w:val="24"/>
                <w:lang w:eastAsia="es-CO"/>
                <w14:ligatures w14:val="none"/>
              </w:rPr>
              <w:t>.</w:t>
            </w:r>
          </w:p>
        </w:tc>
      </w:tr>
      <w:tr w:rsidR="00662B6D" w:rsidRPr="00662B6D" w14:paraId="469C861C" w14:textId="77777777" w:rsidTr="00EF30C7">
        <w:trPr>
          <w:trHeight w:val="900"/>
        </w:trPr>
        <w:tc>
          <w:tcPr>
            <w:tcW w:w="2860" w:type="dxa"/>
            <w:vMerge/>
            <w:vAlign w:val="center"/>
            <w:hideMark/>
          </w:tcPr>
          <w:p w14:paraId="67DF3B87"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79FBA958"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 </w:t>
            </w:r>
            <w:r w:rsidRPr="00662B6D">
              <w:rPr>
                <w:rFonts w:eastAsia="Times New Roman" w:cs="Times New Roman"/>
                <w:b/>
                <w:bCs/>
                <w:color w:val="000000"/>
                <w:kern w:val="0"/>
                <w:szCs w:val="24"/>
                <w:lang w:eastAsia="es-CO"/>
                <w14:ligatures w14:val="none"/>
              </w:rPr>
              <w:t>Aplazamiento de impuestos de importación</w:t>
            </w:r>
            <w:r w:rsidRPr="00662B6D">
              <w:rPr>
                <w:rFonts w:eastAsia="Times New Roman" w:cs="Times New Roman"/>
                <w:color w:val="000000"/>
                <w:kern w:val="0"/>
                <w:szCs w:val="24"/>
                <w:lang w:eastAsia="es-CO"/>
                <w14:ligatures w14:val="none"/>
              </w:rPr>
              <w:t>: Los usuarios pueden aplazar el pago de impuestos hasta que los bienes sean vendidos en el territorio nacional.</w:t>
            </w:r>
          </w:p>
        </w:tc>
      </w:tr>
      <w:tr w:rsidR="00662B6D" w:rsidRPr="00662B6D" w14:paraId="54AC60A2" w14:textId="77777777" w:rsidTr="00EF30C7">
        <w:trPr>
          <w:trHeight w:val="300"/>
        </w:trPr>
        <w:tc>
          <w:tcPr>
            <w:tcW w:w="2860" w:type="dxa"/>
            <w:vMerge w:val="restart"/>
            <w:shd w:val="clear" w:color="auto" w:fill="auto"/>
            <w:vAlign w:val="center"/>
            <w:hideMark/>
          </w:tcPr>
          <w:p w14:paraId="7DD1C4CC"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r w:rsidRPr="00662B6D">
              <w:rPr>
                <w:rFonts w:eastAsia="Times New Roman" w:cs="Times New Roman"/>
                <w:b/>
                <w:bCs/>
                <w:color w:val="000000"/>
                <w:kern w:val="0"/>
                <w:szCs w:val="24"/>
                <w:lang w:eastAsia="es-CO"/>
                <w14:ligatures w14:val="none"/>
              </w:rPr>
              <w:lastRenderedPageBreak/>
              <w:t>5. Control de Inversiones y Empleos</w:t>
            </w:r>
          </w:p>
        </w:tc>
        <w:tc>
          <w:tcPr>
            <w:tcW w:w="5900" w:type="dxa"/>
            <w:shd w:val="clear" w:color="auto" w:fill="auto"/>
            <w:vAlign w:val="center"/>
            <w:hideMark/>
          </w:tcPr>
          <w:p w14:paraId="7377C423"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El </w:t>
            </w:r>
            <w:r w:rsidRPr="00662B6D">
              <w:rPr>
                <w:rFonts w:eastAsia="Times New Roman" w:cs="Times New Roman"/>
                <w:b/>
                <w:bCs/>
                <w:color w:val="000000"/>
                <w:kern w:val="0"/>
                <w:szCs w:val="24"/>
                <w:lang w:eastAsia="es-CO"/>
                <w14:ligatures w14:val="none"/>
              </w:rPr>
              <w:t>artículo 80</w:t>
            </w:r>
            <w:r w:rsidRPr="00662B6D">
              <w:rPr>
                <w:rFonts w:eastAsia="Times New Roman" w:cs="Times New Roman"/>
                <w:color w:val="000000"/>
                <w:kern w:val="0"/>
                <w:szCs w:val="24"/>
                <w:lang w:eastAsia="es-CO"/>
                <w14:ligatures w14:val="none"/>
              </w:rPr>
              <w:t xml:space="preserve"> establece compromisos de inversión y empleo.</w:t>
            </w:r>
          </w:p>
        </w:tc>
      </w:tr>
      <w:tr w:rsidR="00662B6D" w:rsidRPr="00662B6D" w14:paraId="3C8E0AC2" w14:textId="77777777" w:rsidTr="00EF30C7">
        <w:trPr>
          <w:trHeight w:val="900"/>
        </w:trPr>
        <w:tc>
          <w:tcPr>
            <w:tcW w:w="2860" w:type="dxa"/>
            <w:vMerge/>
            <w:vAlign w:val="center"/>
            <w:hideMark/>
          </w:tcPr>
          <w:p w14:paraId="740412AC"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5B4D38EF"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 Empresas con activos superiores a 739.577 UVT deben crear al menos </w:t>
            </w:r>
            <w:r w:rsidRPr="00662B6D">
              <w:rPr>
                <w:rFonts w:eastAsia="Times New Roman" w:cs="Times New Roman"/>
                <w:b/>
                <w:bCs/>
                <w:color w:val="000000"/>
                <w:kern w:val="0"/>
                <w:szCs w:val="24"/>
                <w:lang w:eastAsia="es-CO"/>
                <w14:ligatures w14:val="none"/>
              </w:rPr>
              <w:t>50 empleos directos</w:t>
            </w:r>
            <w:r w:rsidRPr="00662B6D">
              <w:rPr>
                <w:rFonts w:eastAsia="Times New Roman" w:cs="Times New Roman"/>
                <w:color w:val="000000"/>
                <w:kern w:val="0"/>
                <w:szCs w:val="24"/>
                <w:lang w:eastAsia="es-CO"/>
                <w14:ligatures w14:val="none"/>
              </w:rPr>
              <w:t xml:space="preserve"> y realizar nuevas inversiones dentro de los tres años.</w:t>
            </w:r>
          </w:p>
        </w:tc>
      </w:tr>
      <w:tr w:rsidR="00662B6D" w:rsidRPr="00662B6D" w14:paraId="0557EED3" w14:textId="77777777" w:rsidTr="00EF30C7">
        <w:trPr>
          <w:trHeight w:val="600"/>
        </w:trPr>
        <w:tc>
          <w:tcPr>
            <w:tcW w:w="2860" w:type="dxa"/>
            <w:vMerge/>
            <w:vAlign w:val="center"/>
            <w:hideMark/>
          </w:tcPr>
          <w:p w14:paraId="303F7777"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0DD6D28C"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El operador debe asegurar el cumplimiento de estos compromisos y reportarlos al Ministerio de Comercio.</w:t>
            </w:r>
          </w:p>
        </w:tc>
      </w:tr>
      <w:tr w:rsidR="00662B6D" w:rsidRPr="00662B6D" w14:paraId="3EEE7B87" w14:textId="77777777" w:rsidTr="00EF30C7">
        <w:trPr>
          <w:trHeight w:val="600"/>
        </w:trPr>
        <w:tc>
          <w:tcPr>
            <w:tcW w:w="2860" w:type="dxa"/>
            <w:vMerge w:val="restart"/>
            <w:shd w:val="clear" w:color="auto" w:fill="auto"/>
            <w:vAlign w:val="center"/>
            <w:hideMark/>
          </w:tcPr>
          <w:p w14:paraId="1971BD57"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r w:rsidRPr="00662B6D">
              <w:rPr>
                <w:rFonts w:eastAsia="Times New Roman" w:cs="Times New Roman"/>
                <w:b/>
                <w:bCs/>
                <w:color w:val="000000"/>
                <w:kern w:val="0"/>
                <w:szCs w:val="24"/>
                <w:lang w:eastAsia="es-CO"/>
                <w14:ligatures w14:val="none"/>
              </w:rPr>
              <w:t>6. Auditoría y Control</w:t>
            </w:r>
          </w:p>
        </w:tc>
        <w:tc>
          <w:tcPr>
            <w:tcW w:w="5900" w:type="dxa"/>
            <w:shd w:val="clear" w:color="auto" w:fill="auto"/>
            <w:vAlign w:val="center"/>
            <w:hideMark/>
          </w:tcPr>
          <w:p w14:paraId="3B797E49"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xml:space="preserve">Las zonas francas deben someterse a </w:t>
            </w:r>
            <w:r w:rsidRPr="00662B6D">
              <w:rPr>
                <w:rFonts w:eastAsia="Times New Roman" w:cs="Times New Roman"/>
                <w:b/>
                <w:bCs/>
                <w:color w:val="000000"/>
                <w:kern w:val="0"/>
                <w:szCs w:val="24"/>
                <w:lang w:eastAsia="es-CO"/>
                <w14:ligatures w14:val="none"/>
              </w:rPr>
              <w:t>auditorías anuales externas</w:t>
            </w:r>
            <w:r w:rsidRPr="00662B6D">
              <w:rPr>
                <w:rFonts w:eastAsia="Times New Roman" w:cs="Times New Roman"/>
                <w:color w:val="000000"/>
                <w:kern w:val="0"/>
                <w:szCs w:val="24"/>
                <w:lang w:eastAsia="es-CO"/>
                <w14:ligatures w14:val="none"/>
              </w:rPr>
              <w:t xml:space="preserve"> (art. 75) que verifiquen:</w:t>
            </w:r>
          </w:p>
        </w:tc>
      </w:tr>
      <w:tr w:rsidR="00662B6D" w:rsidRPr="00662B6D" w14:paraId="2892D508" w14:textId="77777777" w:rsidTr="00EF30C7">
        <w:trPr>
          <w:trHeight w:val="600"/>
        </w:trPr>
        <w:tc>
          <w:tcPr>
            <w:tcW w:w="2860" w:type="dxa"/>
            <w:vMerge/>
            <w:vAlign w:val="center"/>
            <w:hideMark/>
          </w:tcPr>
          <w:p w14:paraId="5E05CF0B"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1FE4D382"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El control aduanero de los inventarios y cumplimiento de compromisos laborales y de inversión.</w:t>
            </w:r>
          </w:p>
        </w:tc>
      </w:tr>
      <w:tr w:rsidR="00662B6D" w:rsidRPr="00662B6D" w14:paraId="4DAD364A" w14:textId="77777777" w:rsidTr="00EF30C7">
        <w:trPr>
          <w:trHeight w:val="600"/>
        </w:trPr>
        <w:tc>
          <w:tcPr>
            <w:tcW w:w="2860" w:type="dxa"/>
            <w:vMerge/>
            <w:vAlign w:val="center"/>
            <w:hideMark/>
          </w:tcPr>
          <w:p w14:paraId="24034D3A" w14:textId="77777777" w:rsidR="00662B6D" w:rsidRPr="00662B6D" w:rsidRDefault="00662B6D" w:rsidP="00EF30C7">
            <w:pPr>
              <w:spacing w:after="0" w:line="276" w:lineRule="auto"/>
              <w:ind w:firstLine="0"/>
              <w:rPr>
                <w:rFonts w:eastAsia="Times New Roman" w:cs="Times New Roman"/>
                <w:b/>
                <w:bCs/>
                <w:color w:val="000000"/>
                <w:kern w:val="0"/>
                <w:szCs w:val="24"/>
                <w:lang w:eastAsia="es-CO"/>
                <w14:ligatures w14:val="none"/>
              </w:rPr>
            </w:pPr>
          </w:p>
        </w:tc>
        <w:tc>
          <w:tcPr>
            <w:tcW w:w="5900" w:type="dxa"/>
            <w:shd w:val="clear" w:color="auto" w:fill="auto"/>
            <w:vAlign w:val="center"/>
            <w:hideMark/>
          </w:tcPr>
          <w:p w14:paraId="2DB68230" w14:textId="77777777" w:rsidR="00662B6D" w:rsidRPr="00662B6D" w:rsidRDefault="00662B6D" w:rsidP="00EF30C7">
            <w:pPr>
              <w:spacing w:after="0" w:line="276" w:lineRule="auto"/>
              <w:ind w:firstLine="0"/>
              <w:rPr>
                <w:rFonts w:eastAsia="Times New Roman" w:cs="Times New Roman"/>
                <w:color w:val="000000"/>
                <w:kern w:val="0"/>
                <w:szCs w:val="24"/>
                <w:lang w:eastAsia="es-CO"/>
                <w14:ligatures w14:val="none"/>
              </w:rPr>
            </w:pPr>
            <w:r w:rsidRPr="00662B6D">
              <w:rPr>
                <w:rFonts w:eastAsia="Times New Roman" w:cs="Times New Roman"/>
                <w:color w:val="000000"/>
                <w:kern w:val="0"/>
                <w:szCs w:val="24"/>
                <w:lang w:eastAsia="es-CO"/>
                <w14:ligatures w14:val="none"/>
              </w:rPr>
              <w:t>• Estas auditorías garantizan la transparencia y el funcionamiento adecuado de la zona franca.</w:t>
            </w:r>
          </w:p>
        </w:tc>
      </w:tr>
    </w:tbl>
    <w:p w14:paraId="25D12A8B" w14:textId="287442ED" w:rsidR="00662B6D" w:rsidRDefault="00662B6D" w:rsidP="00EF30C7">
      <w:pPr>
        <w:spacing w:line="480" w:lineRule="auto"/>
        <w:jc w:val="center"/>
        <w:rPr>
          <w:lang w:eastAsia="es-ES"/>
        </w:rPr>
      </w:pPr>
      <w:r>
        <w:rPr>
          <w:lang w:eastAsia="es-ES"/>
        </w:rPr>
        <w:t>Nota: elaboración propia con información de la página web de la DIA</w:t>
      </w:r>
      <w:r w:rsidR="00EF30C7">
        <w:rPr>
          <w:lang w:eastAsia="es-ES"/>
        </w:rPr>
        <w:t>N</w:t>
      </w:r>
    </w:p>
    <w:p w14:paraId="5A96F007" w14:textId="0F384B0D" w:rsidR="00FF7334" w:rsidRDefault="00BC1E26" w:rsidP="00EF30C7">
      <w:pPr>
        <w:spacing w:line="480" w:lineRule="auto"/>
        <w:rPr>
          <w:lang w:eastAsia="es-ES"/>
        </w:rPr>
      </w:pPr>
      <w:r>
        <w:rPr>
          <w:lang w:eastAsia="es-ES"/>
        </w:rPr>
        <w:t>L</w:t>
      </w:r>
      <w:r w:rsidR="00FF7334">
        <w:rPr>
          <w:lang w:eastAsia="es-ES"/>
        </w:rPr>
        <w:t>a normativa tributaria, aduanera y de comercio exterior para el funcionamiento de una Zona Franca en Aguachica, Cesar, con base en los decretos presidenciales vigentes, nos permite delinear claramente los requisitos y beneficios que aplicarían en este contexto. El Decreto 2147 de 2016 y sus modificaciones posteriores regulan de manera detallada las disposiciones clave que deben considerarse para la implementación de una zona franca en la región. A continuación, se presenta un análisis exhaustivo con base en el contenido del documento:</w:t>
      </w:r>
    </w:p>
    <w:p w14:paraId="6B832DC2" w14:textId="2A84907D" w:rsidR="00FF7334" w:rsidRPr="00EF30C7" w:rsidRDefault="00FF7334" w:rsidP="00EF30C7">
      <w:pPr>
        <w:pStyle w:val="Prrafodelista"/>
        <w:numPr>
          <w:ilvl w:val="0"/>
          <w:numId w:val="29"/>
        </w:numPr>
        <w:spacing w:line="480" w:lineRule="auto"/>
        <w:rPr>
          <w:rFonts w:ascii="Times New Roman" w:hAnsi="Times New Roman"/>
          <w:b/>
        </w:rPr>
      </w:pPr>
      <w:r w:rsidRPr="00EF30C7">
        <w:rPr>
          <w:rFonts w:ascii="Times New Roman" w:hAnsi="Times New Roman"/>
          <w:b/>
        </w:rPr>
        <w:t>Requisitos para la Declaración de una Zona Franca</w:t>
      </w:r>
    </w:p>
    <w:p w14:paraId="0A3687DC" w14:textId="584B1363" w:rsidR="00FF7334" w:rsidRDefault="000F00C6" w:rsidP="0015136C">
      <w:pPr>
        <w:spacing w:line="480" w:lineRule="auto"/>
        <w:rPr>
          <w:lang w:eastAsia="es-ES"/>
        </w:rPr>
      </w:pPr>
      <w:r>
        <w:rPr>
          <w:lang w:eastAsia="es-ES"/>
        </w:rPr>
        <w:t xml:space="preserve">Según la </w:t>
      </w:r>
      <w:r w:rsidRPr="000F00C6">
        <w:rPr>
          <w:noProof/>
          <w:lang w:val="es-ES" w:eastAsia="es-ES"/>
        </w:rPr>
        <w:t>Alcaldia Mayor de Bogota</w:t>
      </w:r>
      <w:r>
        <w:rPr>
          <w:noProof/>
          <w:lang w:val="es-ES" w:eastAsia="es-ES"/>
        </w:rPr>
        <w:t xml:space="preserve"> (</w:t>
      </w:r>
      <w:r w:rsidRPr="000F00C6">
        <w:rPr>
          <w:noProof/>
          <w:lang w:val="es-ES" w:eastAsia="es-ES"/>
        </w:rPr>
        <w:t>2016)</w:t>
      </w:r>
      <w:r>
        <w:rPr>
          <w:noProof/>
          <w:lang w:val="es-ES" w:eastAsia="es-ES"/>
        </w:rPr>
        <w:t xml:space="preserve"> </w:t>
      </w:r>
      <w:r>
        <w:rPr>
          <w:lang w:eastAsia="es-ES"/>
        </w:rPr>
        <w:t>e</w:t>
      </w:r>
      <w:r w:rsidR="00FF7334">
        <w:rPr>
          <w:lang w:eastAsia="es-ES"/>
        </w:rPr>
        <w:t>l artículo 68 del Decreto 2147 de 2016 establece que la creación o modificación de una Zona Franca requiere un acto administrativo que incluya varios elementos clave, entre ellos:</w:t>
      </w:r>
    </w:p>
    <w:p w14:paraId="6906BA84" w14:textId="77777777" w:rsidR="00FF7334" w:rsidRPr="00613FA7" w:rsidRDefault="00FF7334" w:rsidP="0015136C">
      <w:pPr>
        <w:pStyle w:val="Prrafodelista"/>
        <w:numPr>
          <w:ilvl w:val="0"/>
          <w:numId w:val="11"/>
        </w:numPr>
        <w:spacing w:line="480" w:lineRule="auto"/>
        <w:ind w:hanging="357"/>
        <w:rPr>
          <w:rFonts w:ascii="Times New Roman" w:hAnsi="Times New Roman"/>
        </w:rPr>
      </w:pPr>
      <w:r w:rsidRPr="00613FA7">
        <w:rPr>
          <w:rFonts w:ascii="Times New Roman" w:hAnsi="Times New Roman"/>
        </w:rPr>
        <w:t>Localización y área del terreno: La normativa exige que se detalle de manera precisa la ubicación del terreno donde se establecerá la zona franca, así como su extensión. En el caso de Aguachica, se deberá definir con exactitud el área geográfica destinada para la zona franca y cumplir con los análisis territoriales correspondientes.</w:t>
      </w:r>
    </w:p>
    <w:p w14:paraId="422E519D" w14:textId="77777777" w:rsidR="00FF7334" w:rsidRPr="00613FA7" w:rsidRDefault="00FF7334" w:rsidP="0015136C">
      <w:pPr>
        <w:pStyle w:val="Prrafodelista"/>
        <w:numPr>
          <w:ilvl w:val="0"/>
          <w:numId w:val="11"/>
        </w:numPr>
        <w:spacing w:line="480" w:lineRule="auto"/>
        <w:ind w:hanging="357"/>
        <w:rPr>
          <w:rFonts w:ascii="Times New Roman" w:hAnsi="Times New Roman"/>
        </w:rPr>
      </w:pPr>
      <w:r w:rsidRPr="00613FA7">
        <w:rPr>
          <w:rFonts w:ascii="Times New Roman" w:hAnsi="Times New Roman"/>
        </w:rPr>
        <w:lastRenderedPageBreak/>
        <w:t>Análisis del proyecto: Se debe proporcionar un estudio que justifique la necesidad de la zona franca, así como un plan de desarrollo que articule la viabilidad económica del proyecto. Este análisis incluiría la identificación de los beneficios esperados, tanto para la región como para el comercio exterior.</w:t>
      </w:r>
    </w:p>
    <w:p w14:paraId="710339A0" w14:textId="77B515F3" w:rsidR="00613FA7" w:rsidRPr="000F00C6" w:rsidRDefault="00FF7334" w:rsidP="000F00C6">
      <w:pPr>
        <w:pStyle w:val="Prrafodelista"/>
        <w:numPr>
          <w:ilvl w:val="0"/>
          <w:numId w:val="11"/>
        </w:numPr>
        <w:spacing w:line="480" w:lineRule="auto"/>
        <w:ind w:hanging="357"/>
        <w:rPr>
          <w:rFonts w:ascii="Times New Roman" w:hAnsi="Times New Roman"/>
        </w:rPr>
      </w:pPr>
      <w:r w:rsidRPr="00613FA7">
        <w:rPr>
          <w:rFonts w:ascii="Times New Roman" w:hAnsi="Times New Roman"/>
        </w:rPr>
        <w:t>Requisitos generales de área: El área designada para la zona franca debe cumplir con estándares específicos de infraestructura para garantizar la operación de actividades industriales, comerciales o de servicios dentro de la misma.</w:t>
      </w:r>
    </w:p>
    <w:p w14:paraId="0E808745" w14:textId="5245CC0E" w:rsidR="00FF7334" w:rsidRDefault="00FF7334" w:rsidP="006C3145">
      <w:pPr>
        <w:spacing w:line="480" w:lineRule="auto"/>
        <w:rPr>
          <w:lang w:eastAsia="es-ES"/>
        </w:rPr>
      </w:pPr>
      <w:r>
        <w:rPr>
          <w:lang w:eastAsia="es-ES"/>
        </w:rPr>
        <w:t>En este sentido, la solicitud para declarar una Zona Franca en Aguachica deberá presentar un análisis robusto que justifique el impacto económico y social, destacando los beneficios de su implementación en términos de empleo y desarrollo industrial.</w:t>
      </w:r>
    </w:p>
    <w:p w14:paraId="73D21970" w14:textId="6BE5FD45" w:rsidR="00FF7334" w:rsidRPr="000F00C6" w:rsidRDefault="00FF7334" w:rsidP="000F00C6">
      <w:pPr>
        <w:pStyle w:val="Prrafodelista"/>
        <w:numPr>
          <w:ilvl w:val="0"/>
          <w:numId w:val="29"/>
        </w:numPr>
        <w:spacing w:line="480" w:lineRule="auto"/>
        <w:rPr>
          <w:rFonts w:ascii="Times New Roman" w:hAnsi="Times New Roman"/>
          <w:b/>
        </w:rPr>
      </w:pPr>
      <w:r w:rsidRPr="000F00C6">
        <w:rPr>
          <w:rFonts w:ascii="Times New Roman" w:hAnsi="Times New Roman"/>
          <w:b/>
        </w:rPr>
        <w:t>Normativa Aduanera y de Comercio Exterior</w:t>
      </w:r>
    </w:p>
    <w:p w14:paraId="0FB1987A" w14:textId="2F2717CC" w:rsidR="00FF7334" w:rsidRDefault="00FF7334" w:rsidP="0015136C">
      <w:pPr>
        <w:spacing w:line="480" w:lineRule="auto"/>
        <w:rPr>
          <w:lang w:eastAsia="es-ES"/>
        </w:rPr>
      </w:pPr>
      <w:r>
        <w:rPr>
          <w:lang w:eastAsia="es-ES"/>
        </w:rPr>
        <w:t>Uno de los principales atractivos de las zonas francas es su régimen aduanero especial. Los bienes que ingresan a estas áreas no están sujetos al pago de impuestos de importación, aranceles ni IVA mientras se encuentren dentro de la zona. El documento resalta que las mercancías pueden ser transformadas, ensambladas o procesadas sin necesidad de liquidar impuestos, lo que hace que estas zonas sean extremadamente competitivas para actividades industriales orientadas a la exportación o reexportación.</w:t>
      </w:r>
    </w:p>
    <w:p w14:paraId="09C8C634" w14:textId="3B399CE4" w:rsidR="000E33A8" w:rsidRDefault="00FF7334" w:rsidP="000F00C6">
      <w:pPr>
        <w:spacing w:line="480" w:lineRule="auto"/>
        <w:rPr>
          <w:lang w:eastAsia="es-ES"/>
        </w:rPr>
      </w:pPr>
      <w:r>
        <w:rPr>
          <w:lang w:eastAsia="es-ES"/>
        </w:rPr>
        <w:t>Control Aduanero: El artículo 75 exige que los operadores de las zonas francas implementen un sistema de inventarios que garantice el control estricto de los bienes ingresados, de manera que la DIAN pueda supervisar la entrada, permanencia y salida de las mercancías. Para Aguachica, esto significa que el operador de la zona franca deberá establecer un programa de sistematización que permita una correcta gestión aduanera y tributaria, asegurando la trazabilidad de los productos bajo control</w:t>
      </w:r>
      <w:r w:rsidR="000F00C6">
        <w:rPr>
          <w:lang w:eastAsia="es-ES"/>
        </w:rPr>
        <w:t>.</w:t>
      </w:r>
    </w:p>
    <w:p w14:paraId="699B6525" w14:textId="6A2E0F57" w:rsidR="00FF7334" w:rsidRPr="000F00C6" w:rsidRDefault="00FF7334" w:rsidP="000F00C6">
      <w:pPr>
        <w:pStyle w:val="Prrafodelista"/>
        <w:numPr>
          <w:ilvl w:val="0"/>
          <w:numId w:val="29"/>
        </w:numPr>
        <w:spacing w:line="480" w:lineRule="auto"/>
        <w:rPr>
          <w:rFonts w:ascii="Times New Roman" w:hAnsi="Times New Roman"/>
          <w:b/>
        </w:rPr>
      </w:pPr>
      <w:r w:rsidRPr="000F00C6">
        <w:rPr>
          <w:rFonts w:ascii="Times New Roman" w:hAnsi="Times New Roman"/>
          <w:b/>
        </w:rPr>
        <w:lastRenderedPageBreak/>
        <w:t>Usuario Operador de la Zona Franca</w:t>
      </w:r>
    </w:p>
    <w:p w14:paraId="2F87C997" w14:textId="76686B3D" w:rsidR="00FF7334" w:rsidRDefault="00FF7334" w:rsidP="0015136C">
      <w:pPr>
        <w:spacing w:line="480" w:lineRule="auto"/>
        <w:rPr>
          <w:lang w:eastAsia="es-ES"/>
        </w:rPr>
      </w:pPr>
      <w:r>
        <w:rPr>
          <w:lang w:eastAsia="es-ES"/>
        </w:rPr>
        <w:t>Para que una zona franca opere en Aguachica, debe haber una entidad autorizada como usuario operador, que es responsable de administrar la zona. El artículo 70 del Decreto especifica que este usuario operador debe ser una persona jurídica debidamente constituida, con capacidad demostrada para gestionar actividades industriales, comerciales o de servicios dentro de la zona franca.</w:t>
      </w:r>
    </w:p>
    <w:p w14:paraId="074D7CA0" w14:textId="77777777" w:rsidR="00FF7334" w:rsidRDefault="00FF7334" w:rsidP="0015136C">
      <w:pPr>
        <w:spacing w:line="480" w:lineRule="auto"/>
        <w:rPr>
          <w:lang w:eastAsia="es-ES"/>
        </w:rPr>
      </w:pPr>
      <w:r>
        <w:rPr>
          <w:lang w:eastAsia="es-ES"/>
        </w:rPr>
        <w:t>Funciones del Usuario Operador: El operador tiene el mandato de dirigir y promover el desarrollo de la zona franca. Entre sus responsabilidades está garantizar la infraestructura adecuada, supervisar las actividades de los usuarios, y mantener una correcta administración de las áreas y servicios dentro de la zona (artículo 73). Además, tiene la obligación de controlar que solo operen usuarios autorizados, lo que asegura que las empresas que utilicen las facilidades de la zona franca cumplan con las normativas vigentes.</w:t>
      </w:r>
    </w:p>
    <w:p w14:paraId="1EE705C3" w14:textId="190B219C" w:rsidR="000E33A8" w:rsidRDefault="00FF7334" w:rsidP="000F00C6">
      <w:pPr>
        <w:spacing w:line="480" w:lineRule="auto"/>
        <w:rPr>
          <w:lang w:eastAsia="es-ES"/>
        </w:rPr>
      </w:pPr>
      <w:r>
        <w:rPr>
          <w:lang w:eastAsia="es-ES"/>
        </w:rPr>
        <w:t>Infraestructura y Recursos Humanos: Según lo dispuesto, el usuario operador debe garantizar que la zona franca cuente con los recursos humanos y materiales suficientes para llevar a cabo las operaciones de manera eficiente. Esto incluye sistemas de control aduanero, infraestructura física adecuada y personal administrativo calificado.</w:t>
      </w:r>
    </w:p>
    <w:p w14:paraId="5F7B441D" w14:textId="09301540" w:rsidR="00FF7334" w:rsidRPr="000F00C6" w:rsidRDefault="00FF7334" w:rsidP="000F00C6">
      <w:pPr>
        <w:pStyle w:val="Prrafodelista"/>
        <w:numPr>
          <w:ilvl w:val="0"/>
          <w:numId w:val="29"/>
        </w:numPr>
        <w:spacing w:line="480" w:lineRule="auto"/>
        <w:rPr>
          <w:rFonts w:ascii="Times New Roman" w:hAnsi="Times New Roman"/>
          <w:b/>
        </w:rPr>
      </w:pPr>
      <w:r w:rsidRPr="000F00C6">
        <w:rPr>
          <w:rFonts w:ascii="Times New Roman" w:hAnsi="Times New Roman"/>
          <w:b/>
        </w:rPr>
        <w:t>Beneficios Tributarios</w:t>
      </w:r>
    </w:p>
    <w:p w14:paraId="3477AEE4" w14:textId="1FD4D465" w:rsidR="00FF7334" w:rsidRDefault="00FF7334" w:rsidP="0015136C">
      <w:pPr>
        <w:spacing w:line="480" w:lineRule="auto"/>
        <w:rPr>
          <w:lang w:eastAsia="es-ES"/>
        </w:rPr>
      </w:pPr>
      <w:r>
        <w:rPr>
          <w:lang w:eastAsia="es-ES"/>
        </w:rPr>
        <w:t>Uno de los mayores incentivos para la instalación de empresas en una zona franca es la reducción del impuesto de renta. De acuerdo con el artículo 240-1 del Estatuto Tributario, los usuarios calificados dentro de una zona franca disfrutan de una tarifa preferencial del 20% sobre la renta líquida generada por las actividades realizadas en la zona. Esta reducción fiscal es un mecanismo diseñado para atraer inversiones extranjeras y fomentar el crecimiento económico en áreas como Aguachica.</w:t>
      </w:r>
    </w:p>
    <w:p w14:paraId="534C5A4B" w14:textId="5395C116" w:rsidR="00FF7334" w:rsidRDefault="00FF7334" w:rsidP="000F00C6">
      <w:pPr>
        <w:spacing w:line="480" w:lineRule="auto"/>
        <w:rPr>
          <w:lang w:eastAsia="es-ES"/>
        </w:rPr>
      </w:pPr>
      <w:r>
        <w:rPr>
          <w:lang w:eastAsia="es-ES"/>
        </w:rPr>
        <w:lastRenderedPageBreak/>
        <w:t>Además de este beneficio, los usuarios de la zona franca pueden aplazar el pago de impuestos de importación sobre los bienes introducidos a la zona mientras estos no sean vendidos en el territorio nacional. Esta exención aduanera y fiscal ofrece una gran ventaja competitiva, especialmente para empresas exportadoras o que necesitan realizar procesos industriales con insumos importados</w:t>
      </w:r>
    </w:p>
    <w:p w14:paraId="3330E329" w14:textId="0E82FACD" w:rsidR="00FF7334" w:rsidRDefault="00FF7334" w:rsidP="000F00C6">
      <w:pPr>
        <w:pStyle w:val="Prrafodelista"/>
        <w:numPr>
          <w:ilvl w:val="0"/>
          <w:numId w:val="29"/>
        </w:numPr>
        <w:rPr>
          <w:rFonts w:ascii="Times New Roman" w:hAnsi="Times New Roman"/>
          <w:b/>
          <w:bCs/>
        </w:rPr>
      </w:pPr>
      <w:r w:rsidRPr="000F00C6">
        <w:rPr>
          <w:rFonts w:ascii="Times New Roman" w:hAnsi="Times New Roman"/>
          <w:b/>
          <w:bCs/>
        </w:rPr>
        <w:t>Control de Inversiones y Empleos</w:t>
      </w:r>
    </w:p>
    <w:p w14:paraId="51DC3508" w14:textId="77777777" w:rsidR="000F00C6" w:rsidRPr="000F00C6" w:rsidRDefault="000F00C6" w:rsidP="000F00C6">
      <w:pPr>
        <w:pStyle w:val="Prrafodelista"/>
        <w:ind w:left="1440" w:firstLine="0"/>
        <w:rPr>
          <w:rFonts w:ascii="Times New Roman" w:hAnsi="Times New Roman"/>
          <w:b/>
          <w:bCs/>
        </w:rPr>
      </w:pPr>
    </w:p>
    <w:p w14:paraId="68B99F19" w14:textId="42E4F644" w:rsidR="00FF7334" w:rsidRDefault="00FF7334" w:rsidP="0015136C">
      <w:pPr>
        <w:spacing w:line="480" w:lineRule="auto"/>
        <w:rPr>
          <w:lang w:eastAsia="es-ES"/>
        </w:rPr>
      </w:pPr>
      <w:r>
        <w:rPr>
          <w:lang w:eastAsia="es-ES"/>
        </w:rPr>
        <w:t>La normativa es clara en exigir compromisos específicos en términos de nueva inversión y generación de empleo para los usuarios industriales que operen dentro de la zona franca. Según el artículo 80, los usuarios deben cumplir con metas de inversión que varían dependiendo del tamaño y la capacidad económica de la empresa. Por ejemplo, una empresa con activos fijos superiores a 739.577 UVT debe comprometerse a generar al menos 50 empleos directos y realizar una nueva inversión dentro de los tres años siguientes a su calificación como usuario.</w:t>
      </w:r>
    </w:p>
    <w:p w14:paraId="64C864CB" w14:textId="0AC12AAD" w:rsidR="000E33A8" w:rsidRDefault="00FF7334" w:rsidP="000F00C6">
      <w:pPr>
        <w:spacing w:line="480" w:lineRule="auto"/>
        <w:rPr>
          <w:lang w:eastAsia="es-ES"/>
        </w:rPr>
      </w:pPr>
      <w:r>
        <w:rPr>
          <w:lang w:eastAsia="es-ES"/>
        </w:rPr>
        <w:t>Supervisión del Cumplimiento: Estas inversiones y compromisos laborales deben ser controlados por el usuario operador y reportados al Ministerio de Comercio, Industria y Turismo (artículo 74). En el caso de Aguachica, el operador de la zona franca deberá realizar auditorías regulares para asegurar que las empresas dentro de la zona cumplan con los compromisos establecidos</w:t>
      </w:r>
      <w:r w:rsidR="000F00C6">
        <w:rPr>
          <w:lang w:eastAsia="es-ES"/>
        </w:rPr>
        <w:t>.</w:t>
      </w:r>
    </w:p>
    <w:p w14:paraId="4C77F7F1" w14:textId="2F8EEF36" w:rsidR="00FF7334" w:rsidRDefault="00FF7334" w:rsidP="000F00C6">
      <w:pPr>
        <w:pStyle w:val="Prrafodelista"/>
        <w:numPr>
          <w:ilvl w:val="0"/>
          <w:numId w:val="29"/>
        </w:numPr>
        <w:rPr>
          <w:rFonts w:ascii="Times New Roman" w:hAnsi="Times New Roman"/>
          <w:b/>
          <w:bCs/>
        </w:rPr>
      </w:pPr>
      <w:r w:rsidRPr="000F00C6">
        <w:rPr>
          <w:rFonts w:ascii="Times New Roman" w:hAnsi="Times New Roman"/>
          <w:b/>
          <w:bCs/>
        </w:rPr>
        <w:t>Auditoría y Control</w:t>
      </w:r>
    </w:p>
    <w:p w14:paraId="197BC595" w14:textId="77777777" w:rsidR="000F00C6" w:rsidRPr="000F00C6" w:rsidRDefault="000F00C6" w:rsidP="000F00C6">
      <w:pPr>
        <w:pStyle w:val="Prrafodelista"/>
        <w:ind w:left="1440" w:firstLine="0"/>
        <w:rPr>
          <w:rFonts w:ascii="Times New Roman" w:hAnsi="Times New Roman"/>
          <w:b/>
          <w:bCs/>
        </w:rPr>
      </w:pPr>
    </w:p>
    <w:p w14:paraId="316FA3B4" w14:textId="77777777" w:rsidR="00FF7334" w:rsidRDefault="00FF7334" w:rsidP="0015136C">
      <w:pPr>
        <w:spacing w:line="480" w:lineRule="auto"/>
        <w:rPr>
          <w:lang w:eastAsia="es-ES"/>
        </w:rPr>
      </w:pPr>
      <w:r>
        <w:rPr>
          <w:lang w:eastAsia="es-ES"/>
        </w:rPr>
        <w:t xml:space="preserve">Las zonas francas están sujetas a auditorías anuales realizadas por empresas especializadas, que verifican el cumplimiento de los compromisos de inversión, empleo y desarrollo industrial. Según el artículo 75, el operador debe contratar una auditoría externa que controle, entre otros aspectos, la concordancia de los inventarios bajo control aduanero y el cumplimiento de las </w:t>
      </w:r>
      <w:r>
        <w:rPr>
          <w:lang w:eastAsia="es-ES"/>
        </w:rPr>
        <w:lastRenderedPageBreak/>
        <w:t>inversiones y compromisos laborales. Esta auditoría es clave para garantizar la transparencia y el correcto funcionamiento de la zona franca.</w:t>
      </w:r>
    </w:p>
    <w:p w14:paraId="6AACD666" w14:textId="42B86FD0" w:rsidR="00FF7334" w:rsidRDefault="00FF7334" w:rsidP="0015136C">
      <w:pPr>
        <w:spacing w:line="480" w:lineRule="auto"/>
        <w:rPr>
          <w:lang w:eastAsia="es-ES"/>
        </w:rPr>
      </w:pPr>
      <w:r>
        <w:rPr>
          <w:lang w:eastAsia="es-ES"/>
        </w:rPr>
        <w:t>La normativa vigente establece un marco robusto para la creación y operación de una Zona Franca en Aguachica, Cesar. Los beneficios aduaneros, fiscales y tributarios ofrecidos por el régimen franco son un poderoso incentivo para atraer inversiones, mientras que el control riguroso de inversiones y empleos asegura que el impacto económico sea tangible. Sin embargo, el éxito de la implementación de una zona franca en Aguachica dependerá del cumplimiento estricto de los requisitos y la capacidad del usuario operador para gestionar eficientemente la zona, promoviendo el desarrollo regional y facilitando el comercio exterior.</w:t>
      </w:r>
    </w:p>
    <w:p w14:paraId="5E1B0C44" w14:textId="77777777" w:rsidR="00800A09" w:rsidRDefault="00800A09" w:rsidP="005E1D00">
      <w:pPr>
        <w:rPr>
          <w:lang w:eastAsia="es-ES"/>
        </w:rPr>
      </w:pPr>
    </w:p>
    <w:p w14:paraId="497EC8DC" w14:textId="002287DB" w:rsidR="00DA79CF" w:rsidRDefault="00F71D92" w:rsidP="000F00C6">
      <w:pPr>
        <w:pStyle w:val="Ttulo3"/>
      </w:pPr>
      <w:bookmarkStart w:id="57" w:name="_Toc183783047"/>
      <w:r w:rsidRPr="000F00C6">
        <w:t>Circulares de la DIAN</w:t>
      </w:r>
      <w:bookmarkEnd w:id="57"/>
    </w:p>
    <w:p w14:paraId="6AED6ADC" w14:textId="77777777" w:rsidR="005E1D00" w:rsidRPr="005E1D00" w:rsidRDefault="005E1D00" w:rsidP="005E1D00"/>
    <w:p w14:paraId="26C43775" w14:textId="25CBDE07" w:rsidR="000F00C6" w:rsidRDefault="000F00C6" w:rsidP="000F00C6">
      <w:pPr>
        <w:pStyle w:val="Descripcin"/>
        <w:spacing w:after="0"/>
        <w:rPr>
          <w:rFonts w:cs="Times New Roman"/>
          <w:b/>
          <w:bCs/>
          <w:i w:val="0"/>
          <w:iCs w:val="0"/>
          <w:color w:val="auto"/>
          <w:sz w:val="24"/>
          <w:szCs w:val="24"/>
        </w:rPr>
      </w:pPr>
      <w:bookmarkStart w:id="58" w:name="_Toc178689002"/>
      <w:bookmarkStart w:id="59" w:name="_Toc183783075"/>
      <w:r w:rsidRPr="000F00C6">
        <w:rPr>
          <w:rFonts w:cs="Times New Roman"/>
          <w:b/>
          <w:bCs/>
          <w:i w:val="0"/>
          <w:iCs w:val="0"/>
          <w:color w:val="auto"/>
          <w:sz w:val="24"/>
          <w:szCs w:val="24"/>
        </w:rPr>
        <w:t xml:space="preserve">Tabla </w:t>
      </w:r>
      <w:r w:rsidRPr="000F00C6">
        <w:rPr>
          <w:rFonts w:cs="Times New Roman"/>
          <w:b/>
          <w:bCs/>
          <w:i w:val="0"/>
          <w:iCs w:val="0"/>
          <w:color w:val="auto"/>
          <w:sz w:val="24"/>
          <w:szCs w:val="24"/>
        </w:rPr>
        <w:fldChar w:fldCharType="begin"/>
      </w:r>
      <w:r w:rsidRPr="000F00C6">
        <w:rPr>
          <w:rFonts w:cs="Times New Roman"/>
          <w:b/>
          <w:bCs/>
          <w:i w:val="0"/>
          <w:iCs w:val="0"/>
          <w:color w:val="auto"/>
          <w:sz w:val="24"/>
          <w:szCs w:val="24"/>
        </w:rPr>
        <w:instrText xml:space="preserve"> SEQ Tabla \* ARABIC </w:instrText>
      </w:r>
      <w:r w:rsidRPr="000F00C6">
        <w:rPr>
          <w:rFonts w:cs="Times New Roman"/>
          <w:b/>
          <w:bCs/>
          <w:i w:val="0"/>
          <w:iCs w:val="0"/>
          <w:color w:val="auto"/>
          <w:sz w:val="24"/>
          <w:szCs w:val="24"/>
        </w:rPr>
        <w:fldChar w:fldCharType="separate"/>
      </w:r>
      <w:r w:rsidR="00901E21">
        <w:rPr>
          <w:rFonts w:cs="Times New Roman"/>
          <w:b/>
          <w:bCs/>
          <w:i w:val="0"/>
          <w:iCs w:val="0"/>
          <w:noProof/>
          <w:color w:val="auto"/>
          <w:sz w:val="24"/>
          <w:szCs w:val="24"/>
        </w:rPr>
        <w:t>5</w:t>
      </w:r>
      <w:r w:rsidRPr="000F00C6">
        <w:rPr>
          <w:rFonts w:cs="Times New Roman"/>
          <w:b/>
          <w:bCs/>
          <w:i w:val="0"/>
          <w:iCs w:val="0"/>
          <w:color w:val="auto"/>
          <w:sz w:val="24"/>
          <w:szCs w:val="24"/>
        </w:rPr>
        <w:fldChar w:fldCharType="end"/>
      </w:r>
      <w:r w:rsidRPr="000F00C6">
        <w:rPr>
          <w:rFonts w:cs="Times New Roman"/>
          <w:b/>
          <w:bCs/>
          <w:i w:val="0"/>
          <w:iCs w:val="0"/>
          <w:color w:val="auto"/>
          <w:sz w:val="24"/>
          <w:szCs w:val="24"/>
        </w:rPr>
        <w:t>:</w:t>
      </w:r>
      <w:bookmarkEnd w:id="58"/>
      <w:bookmarkEnd w:id="59"/>
      <w:r w:rsidRPr="000F00C6">
        <w:rPr>
          <w:rFonts w:cs="Times New Roman"/>
          <w:b/>
          <w:bCs/>
          <w:i w:val="0"/>
          <w:iCs w:val="0"/>
          <w:color w:val="auto"/>
          <w:sz w:val="24"/>
          <w:szCs w:val="24"/>
        </w:rPr>
        <w:t xml:space="preserve"> </w:t>
      </w:r>
    </w:p>
    <w:p w14:paraId="47C280F9" w14:textId="6E073D36" w:rsidR="000F00C6" w:rsidRPr="006C3145" w:rsidRDefault="000F00C6" w:rsidP="000F00C6">
      <w:pPr>
        <w:pStyle w:val="Descripcin"/>
        <w:spacing w:after="0" w:line="480" w:lineRule="auto"/>
        <w:rPr>
          <w:rFonts w:cs="Times New Roman"/>
          <w:i w:val="0"/>
          <w:iCs w:val="0"/>
          <w:color w:val="auto"/>
          <w:sz w:val="24"/>
          <w:szCs w:val="24"/>
        </w:rPr>
      </w:pPr>
      <w:bookmarkStart w:id="60" w:name="_Toc178689003"/>
      <w:bookmarkStart w:id="61" w:name="_Toc183783076"/>
      <w:r w:rsidRPr="006C3145">
        <w:rPr>
          <w:rFonts w:cs="Times New Roman"/>
          <w:i w:val="0"/>
          <w:iCs w:val="0"/>
          <w:color w:val="auto"/>
          <w:sz w:val="24"/>
          <w:szCs w:val="24"/>
        </w:rPr>
        <w:t>Circulares de la DIAN</w:t>
      </w:r>
      <w:bookmarkEnd w:id="60"/>
      <w:bookmarkEnd w:id="61"/>
    </w:p>
    <w:tbl>
      <w:tblPr>
        <w:tblW w:w="9067"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88"/>
        <w:gridCol w:w="1935"/>
        <w:gridCol w:w="2976"/>
        <w:gridCol w:w="2268"/>
      </w:tblGrid>
      <w:tr w:rsidR="00D74B5A" w:rsidRPr="00D74B5A" w14:paraId="2973DAFB" w14:textId="77777777" w:rsidTr="000F00C6">
        <w:trPr>
          <w:trHeight w:val="300"/>
          <w:jc w:val="center"/>
        </w:trPr>
        <w:tc>
          <w:tcPr>
            <w:tcW w:w="1888" w:type="dxa"/>
            <w:tcBorders>
              <w:top w:val="single" w:sz="4" w:space="0" w:color="auto"/>
              <w:bottom w:val="single" w:sz="4" w:space="0" w:color="auto"/>
            </w:tcBorders>
            <w:shd w:val="clear" w:color="auto" w:fill="auto"/>
            <w:vAlign w:val="center"/>
            <w:hideMark/>
          </w:tcPr>
          <w:p w14:paraId="416F2D1A"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Área</w:t>
            </w:r>
          </w:p>
        </w:tc>
        <w:tc>
          <w:tcPr>
            <w:tcW w:w="1935" w:type="dxa"/>
            <w:tcBorders>
              <w:top w:val="single" w:sz="4" w:space="0" w:color="auto"/>
              <w:bottom w:val="single" w:sz="4" w:space="0" w:color="auto"/>
            </w:tcBorders>
            <w:shd w:val="clear" w:color="auto" w:fill="auto"/>
            <w:vAlign w:val="center"/>
            <w:hideMark/>
          </w:tcPr>
          <w:p w14:paraId="6122119D"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Normativa</w:t>
            </w:r>
          </w:p>
        </w:tc>
        <w:tc>
          <w:tcPr>
            <w:tcW w:w="2976" w:type="dxa"/>
            <w:tcBorders>
              <w:top w:val="single" w:sz="4" w:space="0" w:color="auto"/>
              <w:bottom w:val="single" w:sz="4" w:space="0" w:color="auto"/>
            </w:tcBorders>
            <w:shd w:val="clear" w:color="auto" w:fill="auto"/>
            <w:vAlign w:val="center"/>
            <w:hideMark/>
          </w:tcPr>
          <w:p w14:paraId="730AA5B3"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Descripción</w:t>
            </w:r>
          </w:p>
        </w:tc>
        <w:tc>
          <w:tcPr>
            <w:tcW w:w="2268" w:type="dxa"/>
            <w:tcBorders>
              <w:top w:val="single" w:sz="4" w:space="0" w:color="auto"/>
              <w:bottom w:val="single" w:sz="4" w:space="0" w:color="auto"/>
            </w:tcBorders>
            <w:shd w:val="clear" w:color="auto" w:fill="auto"/>
            <w:vAlign w:val="center"/>
            <w:hideMark/>
          </w:tcPr>
          <w:p w14:paraId="7A83B2EB"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Documentos Clave</w:t>
            </w:r>
          </w:p>
        </w:tc>
      </w:tr>
      <w:tr w:rsidR="00D74B5A" w:rsidRPr="00D74B5A" w14:paraId="32D5A9C9" w14:textId="77777777" w:rsidTr="000F00C6">
        <w:trPr>
          <w:trHeight w:val="300"/>
          <w:jc w:val="center"/>
        </w:trPr>
        <w:tc>
          <w:tcPr>
            <w:tcW w:w="9067" w:type="dxa"/>
            <w:gridSpan w:val="4"/>
            <w:tcBorders>
              <w:top w:val="single" w:sz="4" w:space="0" w:color="auto"/>
            </w:tcBorders>
            <w:shd w:val="clear" w:color="auto" w:fill="auto"/>
            <w:vAlign w:val="center"/>
            <w:hideMark/>
          </w:tcPr>
          <w:p w14:paraId="5CA4A187"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1. Normativa Tributaria</w:t>
            </w:r>
          </w:p>
        </w:tc>
      </w:tr>
      <w:tr w:rsidR="00D74B5A" w:rsidRPr="00D74B5A" w14:paraId="053F5A64" w14:textId="77777777" w:rsidTr="000F00C6">
        <w:trPr>
          <w:trHeight w:val="600"/>
          <w:jc w:val="center"/>
        </w:trPr>
        <w:tc>
          <w:tcPr>
            <w:tcW w:w="1888" w:type="dxa"/>
            <w:vMerge w:val="restart"/>
            <w:shd w:val="clear" w:color="auto" w:fill="auto"/>
            <w:vAlign w:val="center"/>
            <w:hideMark/>
          </w:tcPr>
          <w:p w14:paraId="49DF5385"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a. Beneficios Tributarios Generales</w:t>
            </w:r>
          </w:p>
        </w:tc>
        <w:tc>
          <w:tcPr>
            <w:tcW w:w="1935" w:type="dxa"/>
            <w:vMerge w:val="restart"/>
            <w:shd w:val="clear" w:color="auto" w:fill="auto"/>
            <w:vAlign w:val="center"/>
            <w:hideMark/>
          </w:tcPr>
          <w:p w14:paraId="1793E472"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Reducción en la tarifa del Impuesto de Renta</w:t>
            </w:r>
          </w:p>
        </w:tc>
        <w:tc>
          <w:tcPr>
            <w:tcW w:w="2976" w:type="dxa"/>
            <w:vMerge w:val="restart"/>
            <w:shd w:val="clear" w:color="auto" w:fill="auto"/>
            <w:vAlign w:val="center"/>
            <w:hideMark/>
          </w:tcPr>
          <w:p w14:paraId="1FAF95B3"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Las empresas en zonas francas tienen una tarifa reducida del impuesto de renta comparado con el régimen general, fomentando la inversión productiva.</w:t>
            </w:r>
          </w:p>
        </w:tc>
        <w:tc>
          <w:tcPr>
            <w:tcW w:w="2268" w:type="dxa"/>
            <w:shd w:val="clear" w:color="auto" w:fill="auto"/>
            <w:vAlign w:val="center"/>
            <w:hideMark/>
          </w:tcPr>
          <w:p w14:paraId="2E0EB4EB"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 </w:t>
            </w:r>
            <w:r w:rsidRPr="00D74B5A">
              <w:rPr>
                <w:rFonts w:eastAsia="Times New Roman" w:cs="Times New Roman"/>
                <w:b/>
                <w:bCs/>
                <w:color w:val="000000"/>
                <w:kern w:val="0"/>
                <w:sz w:val="22"/>
                <w:szCs w:val="24"/>
                <w:lang w:eastAsia="es-CO"/>
                <w14:ligatures w14:val="none"/>
              </w:rPr>
              <w:t>Circular DIAN 0043 de 2008</w:t>
            </w:r>
            <w:r w:rsidRPr="00D74B5A">
              <w:rPr>
                <w:rFonts w:eastAsia="Times New Roman" w:cs="Times New Roman"/>
                <w:color w:val="000000"/>
                <w:kern w:val="0"/>
                <w:sz w:val="22"/>
                <w:szCs w:val="24"/>
                <w:lang w:eastAsia="es-CO"/>
                <w14:ligatures w14:val="none"/>
              </w:rPr>
              <w:t>.</w:t>
            </w:r>
          </w:p>
        </w:tc>
      </w:tr>
      <w:tr w:rsidR="00D74B5A" w:rsidRPr="00D74B5A" w14:paraId="74E18F7D" w14:textId="77777777" w:rsidTr="000F00C6">
        <w:trPr>
          <w:trHeight w:val="600"/>
          <w:jc w:val="center"/>
        </w:trPr>
        <w:tc>
          <w:tcPr>
            <w:tcW w:w="1888" w:type="dxa"/>
            <w:vMerge/>
            <w:vAlign w:val="center"/>
            <w:hideMark/>
          </w:tcPr>
          <w:p w14:paraId="6A7B5896"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19025D6B"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0AC68D11"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7E1E8BAE"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Códigos de operación aplicables.</w:t>
            </w:r>
          </w:p>
        </w:tc>
      </w:tr>
      <w:tr w:rsidR="00D74B5A" w:rsidRPr="00D74B5A" w14:paraId="237A7811" w14:textId="77777777" w:rsidTr="000F00C6">
        <w:trPr>
          <w:trHeight w:val="600"/>
          <w:jc w:val="center"/>
        </w:trPr>
        <w:tc>
          <w:tcPr>
            <w:tcW w:w="1888" w:type="dxa"/>
            <w:vMerge/>
            <w:vAlign w:val="center"/>
            <w:hideMark/>
          </w:tcPr>
          <w:p w14:paraId="0C4AA33A"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restart"/>
            <w:shd w:val="clear" w:color="auto" w:fill="auto"/>
            <w:vAlign w:val="center"/>
            <w:hideMark/>
          </w:tcPr>
          <w:p w14:paraId="2664A271"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Exención del IVA</w:t>
            </w:r>
          </w:p>
        </w:tc>
        <w:tc>
          <w:tcPr>
            <w:tcW w:w="2976" w:type="dxa"/>
            <w:vMerge w:val="restart"/>
            <w:shd w:val="clear" w:color="auto" w:fill="auto"/>
            <w:vAlign w:val="center"/>
            <w:hideMark/>
          </w:tcPr>
          <w:p w14:paraId="7DB88FA1"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Exención del IVA en la adquisición de bienes y </w:t>
            </w:r>
            <w:r w:rsidRPr="00D74B5A">
              <w:rPr>
                <w:rFonts w:eastAsia="Times New Roman" w:cs="Times New Roman"/>
                <w:color w:val="000000"/>
                <w:kern w:val="0"/>
                <w:sz w:val="22"/>
                <w:szCs w:val="24"/>
                <w:lang w:eastAsia="es-CO"/>
                <w14:ligatures w14:val="none"/>
              </w:rPr>
              <w:lastRenderedPageBreak/>
              <w:t>servicios dentro de la zona franca, aplicable especialmente a bienes que serán transformados o procesados.</w:t>
            </w:r>
          </w:p>
        </w:tc>
        <w:tc>
          <w:tcPr>
            <w:tcW w:w="2268" w:type="dxa"/>
            <w:shd w:val="clear" w:color="auto" w:fill="auto"/>
            <w:vAlign w:val="center"/>
            <w:hideMark/>
          </w:tcPr>
          <w:p w14:paraId="2C6B17BD"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lastRenderedPageBreak/>
              <w:t xml:space="preserve">- </w:t>
            </w:r>
            <w:r w:rsidRPr="00D74B5A">
              <w:rPr>
                <w:rFonts w:eastAsia="Times New Roman" w:cs="Times New Roman"/>
                <w:b/>
                <w:bCs/>
                <w:color w:val="000000"/>
                <w:kern w:val="0"/>
                <w:sz w:val="22"/>
                <w:szCs w:val="24"/>
                <w:lang w:eastAsia="es-CO"/>
                <w14:ligatures w14:val="none"/>
              </w:rPr>
              <w:t>Circular DIAN 0043 de 2008</w:t>
            </w:r>
            <w:r w:rsidRPr="00D74B5A">
              <w:rPr>
                <w:rFonts w:eastAsia="Times New Roman" w:cs="Times New Roman"/>
                <w:color w:val="000000"/>
                <w:kern w:val="0"/>
                <w:sz w:val="22"/>
                <w:szCs w:val="24"/>
                <w:lang w:eastAsia="es-CO"/>
                <w14:ligatures w14:val="none"/>
              </w:rPr>
              <w:t>.</w:t>
            </w:r>
          </w:p>
        </w:tc>
      </w:tr>
      <w:tr w:rsidR="00D74B5A" w:rsidRPr="00D74B5A" w14:paraId="0803A6C9" w14:textId="77777777" w:rsidTr="000F00C6">
        <w:trPr>
          <w:trHeight w:val="600"/>
          <w:jc w:val="center"/>
        </w:trPr>
        <w:tc>
          <w:tcPr>
            <w:tcW w:w="1888" w:type="dxa"/>
            <w:vMerge/>
            <w:vAlign w:val="center"/>
            <w:hideMark/>
          </w:tcPr>
          <w:p w14:paraId="2C5CE5D1"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02E93AE7"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48855754"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3E742030"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Documentación fiscal adecuada.</w:t>
            </w:r>
          </w:p>
        </w:tc>
      </w:tr>
      <w:tr w:rsidR="00D74B5A" w:rsidRPr="00D74B5A" w14:paraId="73D3FB59" w14:textId="77777777" w:rsidTr="000F00C6">
        <w:trPr>
          <w:trHeight w:val="300"/>
          <w:jc w:val="center"/>
        </w:trPr>
        <w:tc>
          <w:tcPr>
            <w:tcW w:w="1888" w:type="dxa"/>
            <w:vMerge w:val="restart"/>
            <w:shd w:val="clear" w:color="auto" w:fill="auto"/>
            <w:vAlign w:val="center"/>
            <w:hideMark/>
          </w:tcPr>
          <w:p w14:paraId="0F221C3A"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lastRenderedPageBreak/>
              <w:t>b. Mecanismos de Optimización Tributaria</w:t>
            </w:r>
          </w:p>
        </w:tc>
        <w:tc>
          <w:tcPr>
            <w:tcW w:w="1935" w:type="dxa"/>
            <w:vMerge w:val="restart"/>
            <w:shd w:val="clear" w:color="auto" w:fill="auto"/>
            <w:vAlign w:val="center"/>
            <w:hideMark/>
          </w:tcPr>
          <w:p w14:paraId="2AA1A12F"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Formulario de Movimiento de Mercancías (FMM)</w:t>
            </w:r>
          </w:p>
        </w:tc>
        <w:tc>
          <w:tcPr>
            <w:tcW w:w="2976" w:type="dxa"/>
            <w:vMerge w:val="restart"/>
            <w:shd w:val="clear" w:color="auto" w:fill="auto"/>
            <w:vAlign w:val="center"/>
            <w:hideMark/>
          </w:tcPr>
          <w:p w14:paraId="15B13FD3"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Registro obligatorio para la entrada y salida de mercancías en zonas francas, asegurando la correcta aplicación de las exenciones tributarias.</w:t>
            </w:r>
          </w:p>
        </w:tc>
        <w:tc>
          <w:tcPr>
            <w:tcW w:w="2268" w:type="dxa"/>
            <w:shd w:val="clear" w:color="auto" w:fill="auto"/>
            <w:vAlign w:val="center"/>
            <w:hideMark/>
          </w:tcPr>
          <w:p w14:paraId="4BEA3A86"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 </w:t>
            </w:r>
            <w:r w:rsidRPr="00D74B5A">
              <w:rPr>
                <w:rFonts w:eastAsia="Times New Roman" w:cs="Times New Roman"/>
                <w:b/>
                <w:bCs/>
                <w:color w:val="000000"/>
                <w:kern w:val="0"/>
                <w:sz w:val="22"/>
                <w:szCs w:val="24"/>
                <w:lang w:eastAsia="es-CO"/>
                <w14:ligatures w14:val="none"/>
              </w:rPr>
              <w:t>Formulario FMM</w:t>
            </w:r>
            <w:r w:rsidRPr="00D74B5A">
              <w:rPr>
                <w:rFonts w:eastAsia="Times New Roman" w:cs="Times New Roman"/>
                <w:color w:val="000000"/>
                <w:kern w:val="0"/>
                <w:sz w:val="22"/>
                <w:szCs w:val="24"/>
                <w:lang w:eastAsia="es-CO"/>
                <w14:ligatures w14:val="none"/>
              </w:rPr>
              <w:t>.</w:t>
            </w:r>
          </w:p>
        </w:tc>
      </w:tr>
      <w:tr w:rsidR="00D74B5A" w:rsidRPr="00D74B5A" w14:paraId="682463DD" w14:textId="77777777" w:rsidTr="000F00C6">
        <w:trPr>
          <w:trHeight w:val="600"/>
          <w:jc w:val="center"/>
        </w:trPr>
        <w:tc>
          <w:tcPr>
            <w:tcW w:w="1888" w:type="dxa"/>
            <w:vMerge/>
            <w:vAlign w:val="center"/>
            <w:hideMark/>
          </w:tcPr>
          <w:p w14:paraId="265E68EA"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0EEB9BEC"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7FC96813"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6CAA9BB5"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 </w:t>
            </w:r>
            <w:r w:rsidRPr="00D74B5A">
              <w:rPr>
                <w:rFonts w:eastAsia="Times New Roman" w:cs="Times New Roman"/>
                <w:b/>
                <w:bCs/>
                <w:color w:val="000000"/>
                <w:kern w:val="0"/>
                <w:sz w:val="22"/>
                <w:szCs w:val="24"/>
                <w:lang w:eastAsia="es-CO"/>
                <w14:ligatures w14:val="none"/>
              </w:rPr>
              <w:t>Circular DIAN 0043 de 2008</w:t>
            </w:r>
            <w:r w:rsidRPr="00D74B5A">
              <w:rPr>
                <w:rFonts w:eastAsia="Times New Roman" w:cs="Times New Roman"/>
                <w:color w:val="000000"/>
                <w:kern w:val="0"/>
                <w:sz w:val="22"/>
                <w:szCs w:val="24"/>
                <w:lang w:eastAsia="es-CO"/>
                <w14:ligatures w14:val="none"/>
              </w:rPr>
              <w:t>.</w:t>
            </w:r>
          </w:p>
        </w:tc>
      </w:tr>
      <w:tr w:rsidR="00D74B5A" w:rsidRPr="00D74B5A" w14:paraId="539AC309" w14:textId="77777777" w:rsidTr="000F00C6">
        <w:trPr>
          <w:trHeight w:val="300"/>
          <w:jc w:val="center"/>
        </w:trPr>
        <w:tc>
          <w:tcPr>
            <w:tcW w:w="1888" w:type="dxa"/>
            <w:vMerge/>
            <w:vAlign w:val="center"/>
            <w:hideMark/>
          </w:tcPr>
          <w:p w14:paraId="571811E4"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restart"/>
            <w:shd w:val="clear" w:color="auto" w:fill="auto"/>
            <w:vAlign w:val="center"/>
            <w:hideMark/>
          </w:tcPr>
          <w:p w14:paraId="5173344A"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Declaración Especial de Importación</w:t>
            </w:r>
          </w:p>
        </w:tc>
        <w:tc>
          <w:tcPr>
            <w:tcW w:w="2976" w:type="dxa"/>
            <w:vMerge w:val="restart"/>
            <w:shd w:val="clear" w:color="auto" w:fill="auto"/>
            <w:vAlign w:val="center"/>
            <w:hideMark/>
          </w:tcPr>
          <w:p w14:paraId="4BA9DA44"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Facilita la importación de mercancías desde la zona franca al resto del territorio bajo condiciones fiscales favorables.</w:t>
            </w:r>
          </w:p>
        </w:tc>
        <w:tc>
          <w:tcPr>
            <w:tcW w:w="2268" w:type="dxa"/>
            <w:shd w:val="clear" w:color="auto" w:fill="auto"/>
            <w:vAlign w:val="center"/>
            <w:hideMark/>
          </w:tcPr>
          <w:p w14:paraId="4E27454F"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 </w:t>
            </w:r>
            <w:r w:rsidRPr="00D74B5A">
              <w:rPr>
                <w:rFonts w:eastAsia="Times New Roman" w:cs="Times New Roman"/>
                <w:b/>
                <w:bCs/>
                <w:color w:val="000000"/>
                <w:kern w:val="0"/>
                <w:sz w:val="22"/>
                <w:szCs w:val="24"/>
                <w:lang w:eastAsia="es-CO"/>
                <w14:ligatures w14:val="none"/>
              </w:rPr>
              <w:t>Circular 6 de 2021</w:t>
            </w:r>
            <w:r w:rsidRPr="00D74B5A">
              <w:rPr>
                <w:rFonts w:eastAsia="Times New Roman" w:cs="Times New Roman"/>
                <w:color w:val="000000"/>
                <w:kern w:val="0"/>
                <w:sz w:val="22"/>
                <w:szCs w:val="24"/>
                <w:lang w:eastAsia="es-CO"/>
                <w14:ligatures w14:val="none"/>
              </w:rPr>
              <w:t>.</w:t>
            </w:r>
          </w:p>
        </w:tc>
      </w:tr>
      <w:tr w:rsidR="00D74B5A" w:rsidRPr="00D74B5A" w14:paraId="15D4FDA8" w14:textId="77777777" w:rsidTr="000F00C6">
        <w:trPr>
          <w:trHeight w:val="300"/>
          <w:jc w:val="center"/>
        </w:trPr>
        <w:tc>
          <w:tcPr>
            <w:tcW w:w="1888" w:type="dxa"/>
            <w:vMerge/>
            <w:vAlign w:val="center"/>
            <w:hideMark/>
          </w:tcPr>
          <w:p w14:paraId="73391A37"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70AFAA09"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1E1B176E"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105E89B1"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Código 450.</w:t>
            </w:r>
          </w:p>
        </w:tc>
      </w:tr>
      <w:tr w:rsidR="00D74B5A" w:rsidRPr="00D74B5A" w14:paraId="3D824DC3" w14:textId="77777777" w:rsidTr="000F00C6">
        <w:trPr>
          <w:trHeight w:val="300"/>
          <w:jc w:val="center"/>
        </w:trPr>
        <w:tc>
          <w:tcPr>
            <w:tcW w:w="9067" w:type="dxa"/>
            <w:gridSpan w:val="4"/>
            <w:shd w:val="clear" w:color="auto" w:fill="auto"/>
            <w:vAlign w:val="center"/>
            <w:hideMark/>
          </w:tcPr>
          <w:p w14:paraId="2713CBE8"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2. Normativa Aduanera</w:t>
            </w:r>
          </w:p>
        </w:tc>
      </w:tr>
      <w:tr w:rsidR="00D74B5A" w:rsidRPr="00D74B5A" w14:paraId="3B9D5B09" w14:textId="77777777" w:rsidTr="000F00C6">
        <w:trPr>
          <w:trHeight w:val="300"/>
          <w:jc w:val="center"/>
        </w:trPr>
        <w:tc>
          <w:tcPr>
            <w:tcW w:w="1888" w:type="dxa"/>
            <w:vMerge w:val="restart"/>
            <w:shd w:val="clear" w:color="auto" w:fill="auto"/>
            <w:vAlign w:val="center"/>
            <w:hideMark/>
          </w:tcPr>
          <w:p w14:paraId="4AEDFA72"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a. Control de Ingreso y Salida de Mercancías</w:t>
            </w:r>
          </w:p>
        </w:tc>
        <w:tc>
          <w:tcPr>
            <w:tcW w:w="1935" w:type="dxa"/>
            <w:vMerge w:val="restart"/>
            <w:shd w:val="clear" w:color="auto" w:fill="auto"/>
            <w:vAlign w:val="center"/>
            <w:hideMark/>
          </w:tcPr>
          <w:p w14:paraId="26ADC1A1"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Trazabilidad de Mercancías</w:t>
            </w:r>
          </w:p>
        </w:tc>
        <w:tc>
          <w:tcPr>
            <w:tcW w:w="2976" w:type="dxa"/>
            <w:vMerge w:val="restart"/>
            <w:shd w:val="clear" w:color="auto" w:fill="auto"/>
            <w:vAlign w:val="center"/>
            <w:hideMark/>
          </w:tcPr>
          <w:p w14:paraId="72EA0BA3"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Uso de códigos y formularios específicos para las operaciones de entrada y salida de mercancías en la zona franca, tanto al territorio nacional como al exterior.</w:t>
            </w:r>
          </w:p>
        </w:tc>
        <w:tc>
          <w:tcPr>
            <w:tcW w:w="2268" w:type="dxa"/>
            <w:shd w:val="clear" w:color="auto" w:fill="auto"/>
            <w:vAlign w:val="center"/>
            <w:hideMark/>
          </w:tcPr>
          <w:p w14:paraId="17CD575D"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 </w:t>
            </w:r>
            <w:r w:rsidRPr="00D74B5A">
              <w:rPr>
                <w:rFonts w:eastAsia="Times New Roman" w:cs="Times New Roman"/>
                <w:b/>
                <w:bCs/>
                <w:color w:val="000000"/>
                <w:kern w:val="0"/>
                <w:sz w:val="22"/>
                <w:szCs w:val="24"/>
                <w:lang w:eastAsia="es-CO"/>
                <w14:ligatures w14:val="none"/>
              </w:rPr>
              <w:t>Circular 0033 de 2010</w:t>
            </w:r>
            <w:r w:rsidRPr="00D74B5A">
              <w:rPr>
                <w:rFonts w:eastAsia="Times New Roman" w:cs="Times New Roman"/>
                <w:color w:val="000000"/>
                <w:kern w:val="0"/>
                <w:sz w:val="22"/>
                <w:szCs w:val="24"/>
                <w:lang w:eastAsia="es-CO"/>
                <w14:ligatures w14:val="none"/>
              </w:rPr>
              <w:t>.</w:t>
            </w:r>
          </w:p>
        </w:tc>
      </w:tr>
      <w:tr w:rsidR="00D74B5A" w:rsidRPr="00D74B5A" w14:paraId="7596291A" w14:textId="77777777" w:rsidTr="000F00C6">
        <w:trPr>
          <w:trHeight w:val="300"/>
          <w:jc w:val="center"/>
        </w:trPr>
        <w:tc>
          <w:tcPr>
            <w:tcW w:w="1888" w:type="dxa"/>
            <w:vMerge/>
            <w:vAlign w:val="center"/>
            <w:hideMark/>
          </w:tcPr>
          <w:p w14:paraId="1EBA305A"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67DDBC7E"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409518C5"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32E42618"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Formulario FMM.</w:t>
            </w:r>
          </w:p>
        </w:tc>
      </w:tr>
      <w:tr w:rsidR="00D74B5A" w:rsidRPr="00D74B5A" w14:paraId="3F553FE1" w14:textId="77777777" w:rsidTr="000F00C6">
        <w:trPr>
          <w:trHeight w:val="300"/>
          <w:jc w:val="center"/>
        </w:trPr>
        <w:tc>
          <w:tcPr>
            <w:tcW w:w="1888" w:type="dxa"/>
            <w:vMerge/>
            <w:vAlign w:val="center"/>
            <w:hideMark/>
          </w:tcPr>
          <w:p w14:paraId="1CB3C81A"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38105873"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661E06CC"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28F7A3D7"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Facturas.</w:t>
            </w:r>
          </w:p>
        </w:tc>
      </w:tr>
      <w:tr w:rsidR="00D74B5A" w:rsidRPr="00D74B5A" w14:paraId="6F08955D" w14:textId="77777777" w:rsidTr="000F00C6">
        <w:trPr>
          <w:trHeight w:val="300"/>
          <w:jc w:val="center"/>
        </w:trPr>
        <w:tc>
          <w:tcPr>
            <w:tcW w:w="1888" w:type="dxa"/>
            <w:vMerge/>
            <w:vAlign w:val="center"/>
            <w:hideMark/>
          </w:tcPr>
          <w:p w14:paraId="44806D3C"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restart"/>
            <w:shd w:val="clear" w:color="auto" w:fill="auto"/>
            <w:vAlign w:val="center"/>
            <w:hideMark/>
          </w:tcPr>
          <w:p w14:paraId="0DEB701D"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Códigos de Operación en Zonas Francas</w:t>
            </w:r>
          </w:p>
        </w:tc>
        <w:tc>
          <w:tcPr>
            <w:tcW w:w="2976" w:type="dxa"/>
            <w:vMerge w:val="restart"/>
            <w:shd w:val="clear" w:color="auto" w:fill="auto"/>
            <w:vAlign w:val="center"/>
            <w:hideMark/>
          </w:tcPr>
          <w:p w14:paraId="1C38CFCB"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Regulan las operaciones entre usuarios de zonas francas, el resto del país y el exterior, garantizando control aduanero estricto.</w:t>
            </w:r>
          </w:p>
        </w:tc>
        <w:tc>
          <w:tcPr>
            <w:tcW w:w="2268" w:type="dxa"/>
            <w:shd w:val="clear" w:color="auto" w:fill="auto"/>
            <w:vAlign w:val="center"/>
            <w:hideMark/>
          </w:tcPr>
          <w:p w14:paraId="4A886E9F"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 </w:t>
            </w:r>
            <w:r w:rsidRPr="00D74B5A">
              <w:rPr>
                <w:rFonts w:eastAsia="Times New Roman" w:cs="Times New Roman"/>
                <w:b/>
                <w:bCs/>
                <w:color w:val="000000"/>
                <w:kern w:val="0"/>
                <w:sz w:val="22"/>
                <w:szCs w:val="24"/>
                <w:lang w:eastAsia="es-CO"/>
                <w14:ligatures w14:val="none"/>
              </w:rPr>
              <w:t>Circular 0033 de 2010</w:t>
            </w:r>
            <w:r w:rsidRPr="00D74B5A">
              <w:rPr>
                <w:rFonts w:eastAsia="Times New Roman" w:cs="Times New Roman"/>
                <w:color w:val="000000"/>
                <w:kern w:val="0"/>
                <w:sz w:val="22"/>
                <w:szCs w:val="24"/>
                <w:lang w:eastAsia="es-CO"/>
                <w14:ligatures w14:val="none"/>
              </w:rPr>
              <w:t>.</w:t>
            </w:r>
          </w:p>
        </w:tc>
      </w:tr>
      <w:tr w:rsidR="00D74B5A" w:rsidRPr="00D74B5A" w14:paraId="1146DA5B" w14:textId="77777777" w:rsidTr="000F00C6">
        <w:trPr>
          <w:trHeight w:val="600"/>
          <w:jc w:val="center"/>
        </w:trPr>
        <w:tc>
          <w:tcPr>
            <w:tcW w:w="1888" w:type="dxa"/>
            <w:vMerge/>
            <w:vAlign w:val="center"/>
            <w:hideMark/>
          </w:tcPr>
          <w:p w14:paraId="3756F531"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1E091B90"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5E733715"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0514FD52"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Códigos específicos por tipo de operación.</w:t>
            </w:r>
          </w:p>
        </w:tc>
      </w:tr>
      <w:tr w:rsidR="00D74B5A" w:rsidRPr="00D74B5A" w14:paraId="3BCD83D6" w14:textId="77777777" w:rsidTr="000F00C6">
        <w:trPr>
          <w:trHeight w:val="600"/>
          <w:jc w:val="center"/>
        </w:trPr>
        <w:tc>
          <w:tcPr>
            <w:tcW w:w="1888" w:type="dxa"/>
            <w:vMerge w:val="restart"/>
            <w:shd w:val="clear" w:color="auto" w:fill="auto"/>
            <w:vAlign w:val="center"/>
            <w:hideMark/>
          </w:tcPr>
          <w:p w14:paraId="663384F0"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lastRenderedPageBreak/>
              <w:t>b. Importación Temporal y Perfeccionamiento Activo</w:t>
            </w:r>
          </w:p>
        </w:tc>
        <w:tc>
          <w:tcPr>
            <w:tcW w:w="1935" w:type="dxa"/>
            <w:vMerge w:val="restart"/>
            <w:shd w:val="clear" w:color="auto" w:fill="auto"/>
            <w:vAlign w:val="center"/>
            <w:hideMark/>
          </w:tcPr>
          <w:p w14:paraId="617FC7A6"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Perfeccionamiento Activo</w:t>
            </w:r>
          </w:p>
        </w:tc>
        <w:tc>
          <w:tcPr>
            <w:tcW w:w="2976" w:type="dxa"/>
            <w:vMerge w:val="restart"/>
            <w:shd w:val="clear" w:color="auto" w:fill="auto"/>
            <w:vAlign w:val="center"/>
            <w:hideMark/>
          </w:tcPr>
          <w:p w14:paraId="7E1B0AAF"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Las mercancías pueden importarse temporalmente para transformación en la zona franca y luego exportarse sin tributar, favoreciendo la competitividad.</w:t>
            </w:r>
          </w:p>
        </w:tc>
        <w:tc>
          <w:tcPr>
            <w:tcW w:w="2268" w:type="dxa"/>
            <w:shd w:val="clear" w:color="auto" w:fill="auto"/>
            <w:vAlign w:val="center"/>
            <w:hideMark/>
          </w:tcPr>
          <w:p w14:paraId="6E75E48A"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 </w:t>
            </w:r>
            <w:r w:rsidRPr="00D74B5A">
              <w:rPr>
                <w:rFonts w:eastAsia="Times New Roman" w:cs="Times New Roman"/>
                <w:b/>
                <w:bCs/>
                <w:color w:val="000000"/>
                <w:kern w:val="0"/>
                <w:sz w:val="22"/>
                <w:szCs w:val="24"/>
                <w:lang w:eastAsia="es-CO"/>
                <w14:ligatures w14:val="none"/>
              </w:rPr>
              <w:t>Circular DIAN 0043 de 2008</w:t>
            </w:r>
            <w:r w:rsidRPr="00D74B5A">
              <w:rPr>
                <w:rFonts w:eastAsia="Times New Roman" w:cs="Times New Roman"/>
                <w:color w:val="000000"/>
                <w:kern w:val="0"/>
                <w:sz w:val="22"/>
                <w:szCs w:val="24"/>
                <w:lang w:eastAsia="es-CO"/>
                <w14:ligatures w14:val="none"/>
              </w:rPr>
              <w:t>.</w:t>
            </w:r>
          </w:p>
        </w:tc>
      </w:tr>
      <w:tr w:rsidR="00D74B5A" w:rsidRPr="00D74B5A" w14:paraId="4166D81F" w14:textId="77777777" w:rsidTr="000F00C6">
        <w:trPr>
          <w:trHeight w:val="300"/>
          <w:jc w:val="center"/>
        </w:trPr>
        <w:tc>
          <w:tcPr>
            <w:tcW w:w="1888" w:type="dxa"/>
            <w:vMerge/>
            <w:vAlign w:val="center"/>
            <w:hideMark/>
          </w:tcPr>
          <w:p w14:paraId="56476C67"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0D168616"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3422A53A"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3029747E"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Código de operación.</w:t>
            </w:r>
          </w:p>
        </w:tc>
      </w:tr>
      <w:tr w:rsidR="00D74B5A" w:rsidRPr="00D74B5A" w14:paraId="7652AB13" w14:textId="77777777" w:rsidTr="000F00C6">
        <w:trPr>
          <w:trHeight w:val="300"/>
          <w:jc w:val="center"/>
        </w:trPr>
        <w:tc>
          <w:tcPr>
            <w:tcW w:w="9067" w:type="dxa"/>
            <w:gridSpan w:val="4"/>
            <w:shd w:val="clear" w:color="auto" w:fill="auto"/>
            <w:vAlign w:val="center"/>
            <w:hideMark/>
          </w:tcPr>
          <w:p w14:paraId="217DE8A4" w14:textId="77777777" w:rsidR="00D74B5A" w:rsidRPr="00D74B5A" w:rsidRDefault="00D74B5A" w:rsidP="0015136C">
            <w:pPr>
              <w:spacing w:after="0" w:line="480" w:lineRule="auto"/>
              <w:ind w:firstLine="0"/>
              <w:jc w:val="center"/>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3. Normativa de Comercio Exterior</w:t>
            </w:r>
          </w:p>
        </w:tc>
      </w:tr>
      <w:tr w:rsidR="00D74B5A" w:rsidRPr="00D74B5A" w14:paraId="17C26BFA" w14:textId="77777777" w:rsidTr="000F00C6">
        <w:trPr>
          <w:trHeight w:val="600"/>
          <w:jc w:val="center"/>
        </w:trPr>
        <w:tc>
          <w:tcPr>
            <w:tcW w:w="1888" w:type="dxa"/>
            <w:vMerge w:val="restart"/>
            <w:shd w:val="clear" w:color="auto" w:fill="auto"/>
            <w:vAlign w:val="center"/>
            <w:hideMark/>
          </w:tcPr>
          <w:p w14:paraId="5C79ED63"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a. Facilitación de Exportaciones</w:t>
            </w:r>
          </w:p>
        </w:tc>
        <w:tc>
          <w:tcPr>
            <w:tcW w:w="1935" w:type="dxa"/>
            <w:vMerge w:val="restart"/>
            <w:shd w:val="clear" w:color="auto" w:fill="auto"/>
            <w:vAlign w:val="center"/>
            <w:hideMark/>
          </w:tcPr>
          <w:p w14:paraId="4C94E7F9"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Exportaciones desde Zonas Francas sin Tributos</w:t>
            </w:r>
          </w:p>
        </w:tc>
        <w:tc>
          <w:tcPr>
            <w:tcW w:w="2976" w:type="dxa"/>
            <w:vMerge w:val="restart"/>
            <w:shd w:val="clear" w:color="auto" w:fill="auto"/>
            <w:vAlign w:val="center"/>
            <w:hideMark/>
          </w:tcPr>
          <w:p w14:paraId="079422B6"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Las empresas pueden exportar bienes producidos o transformados dentro de la zona franca sin pagar tributos aduaneros, mejorando la competitividad internacional.</w:t>
            </w:r>
          </w:p>
        </w:tc>
        <w:tc>
          <w:tcPr>
            <w:tcW w:w="2268" w:type="dxa"/>
            <w:shd w:val="clear" w:color="auto" w:fill="auto"/>
            <w:vAlign w:val="center"/>
            <w:hideMark/>
          </w:tcPr>
          <w:p w14:paraId="59045F21"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 </w:t>
            </w:r>
            <w:r w:rsidRPr="00D74B5A">
              <w:rPr>
                <w:rFonts w:eastAsia="Times New Roman" w:cs="Times New Roman"/>
                <w:b/>
                <w:bCs/>
                <w:color w:val="000000"/>
                <w:kern w:val="0"/>
                <w:sz w:val="22"/>
                <w:szCs w:val="24"/>
                <w:lang w:eastAsia="es-CO"/>
                <w14:ligatures w14:val="none"/>
              </w:rPr>
              <w:t>Circular DIAN 0033 de 2010</w:t>
            </w:r>
            <w:r w:rsidRPr="00D74B5A">
              <w:rPr>
                <w:rFonts w:eastAsia="Times New Roman" w:cs="Times New Roman"/>
                <w:color w:val="000000"/>
                <w:kern w:val="0"/>
                <w:sz w:val="22"/>
                <w:szCs w:val="24"/>
                <w:lang w:eastAsia="es-CO"/>
                <w14:ligatures w14:val="none"/>
              </w:rPr>
              <w:t>.</w:t>
            </w:r>
          </w:p>
        </w:tc>
      </w:tr>
      <w:tr w:rsidR="00D74B5A" w:rsidRPr="00D74B5A" w14:paraId="79A129BE" w14:textId="77777777" w:rsidTr="000F00C6">
        <w:trPr>
          <w:trHeight w:val="600"/>
          <w:jc w:val="center"/>
        </w:trPr>
        <w:tc>
          <w:tcPr>
            <w:tcW w:w="1888" w:type="dxa"/>
            <w:vMerge/>
            <w:vAlign w:val="center"/>
            <w:hideMark/>
          </w:tcPr>
          <w:p w14:paraId="18B51A62"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76C1DCCB"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0640449F"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6A953863"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Formularios de Exportación (FMM).</w:t>
            </w:r>
          </w:p>
        </w:tc>
      </w:tr>
      <w:tr w:rsidR="00D74B5A" w:rsidRPr="00D74B5A" w14:paraId="75702B9C" w14:textId="77777777" w:rsidTr="000F00C6">
        <w:trPr>
          <w:trHeight w:val="600"/>
          <w:jc w:val="center"/>
        </w:trPr>
        <w:tc>
          <w:tcPr>
            <w:tcW w:w="1888" w:type="dxa"/>
            <w:vMerge w:val="restart"/>
            <w:shd w:val="clear" w:color="auto" w:fill="auto"/>
            <w:vAlign w:val="center"/>
            <w:hideMark/>
          </w:tcPr>
          <w:p w14:paraId="36CB60ED"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b. Reimportación y Transformación de Bienes</w:t>
            </w:r>
          </w:p>
        </w:tc>
        <w:tc>
          <w:tcPr>
            <w:tcW w:w="1935" w:type="dxa"/>
            <w:vMerge w:val="restart"/>
            <w:shd w:val="clear" w:color="auto" w:fill="auto"/>
            <w:vAlign w:val="center"/>
            <w:hideMark/>
          </w:tcPr>
          <w:p w14:paraId="3352242A"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r w:rsidRPr="00D74B5A">
              <w:rPr>
                <w:rFonts w:eastAsia="Times New Roman" w:cs="Times New Roman"/>
                <w:b/>
                <w:bCs/>
                <w:color w:val="000000"/>
                <w:kern w:val="0"/>
                <w:sz w:val="22"/>
                <w:szCs w:val="24"/>
                <w:lang w:eastAsia="es-CO"/>
                <w14:ligatures w14:val="none"/>
              </w:rPr>
              <w:t>Importación Temporal para Transformación</w:t>
            </w:r>
          </w:p>
        </w:tc>
        <w:tc>
          <w:tcPr>
            <w:tcW w:w="2976" w:type="dxa"/>
            <w:vMerge w:val="restart"/>
            <w:shd w:val="clear" w:color="auto" w:fill="auto"/>
            <w:vAlign w:val="center"/>
            <w:hideMark/>
          </w:tcPr>
          <w:p w14:paraId="71421E58"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Permite la importación temporal de bienes para su transformación dentro de la zona franca sin pagar aranceles, mientras se mantenga el proceso de transformación.</w:t>
            </w:r>
          </w:p>
        </w:tc>
        <w:tc>
          <w:tcPr>
            <w:tcW w:w="2268" w:type="dxa"/>
            <w:shd w:val="clear" w:color="auto" w:fill="auto"/>
            <w:vAlign w:val="center"/>
            <w:hideMark/>
          </w:tcPr>
          <w:p w14:paraId="109313ED"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xml:space="preserve">- </w:t>
            </w:r>
            <w:r w:rsidRPr="00D74B5A">
              <w:rPr>
                <w:rFonts w:eastAsia="Times New Roman" w:cs="Times New Roman"/>
                <w:b/>
                <w:bCs/>
                <w:color w:val="000000"/>
                <w:kern w:val="0"/>
                <w:sz w:val="22"/>
                <w:szCs w:val="24"/>
                <w:lang w:eastAsia="es-CO"/>
                <w14:ligatures w14:val="none"/>
              </w:rPr>
              <w:t>Circular DIAN 0043 de 2008</w:t>
            </w:r>
            <w:r w:rsidRPr="00D74B5A">
              <w:rPr>
                <w:rFonts w:eastAsia="Times New Roman" w:cs="Times New Roman"/>
                <w:color w:val="000000"/>
                <w:kern w:val="0"/>
                <w:sz w:val="22"/>
                <w:szCs w:val="24"/>
                <w:lang w:eastAsia="es-CO"/>
                <w14:ligatures w14:val="none"/>
              </w:rPr>
              <w:t>.</w:t>
            </w:r>
          </w:p>
        </w:tc>
      </w:tr>
      <w:tr w:rsidR="00D74B5A" w:rsidRPr="00D74B5A" w14:paraId="2B50FA94" w14:textId="77777777" w:rsidTr="000F00C6">
        <w:trPr>
          <w:trHeight w:val="300"/>
          <w:jc w:val="center"/>
        </w:trPr>
        <w:tc>
          <w:tcPr>
            <w:tcW w:w="1888" w:type="dxa"/>
            <w:vMerge/>
            <w:vAlign w:val="center"/>
            <w:hideMark/>
          </w:tcPr>
          <w:p w14:paraId="6B45E892"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1935" w:type="dxa"/>
            <w:vMerge/>
            <w:vAlign w:val="center"/>
            <w:hideMark/>
          </w:tcPr>
          <w:p w14:paraId="73F80E44" w14:textId="77777777" w:rsidR="00D74B5A" w:rsidRPr="00D74B5A" w:rsidRDefault="00D74B5A" w:rsidP="0015136C">
            <w:pPr>
              <w:spacing w:after="0" w:line="480" w:lineRule="auto"/>
              <w:ind w:firstLine="0"/>
              <w:rPr>
                <w:rFonts w:eastAsia="Times New Roman" w:cs="Times New Roman"/>
                <w:b/>
                <w:bCs/>
                <w:color w:val="000000"/>
                <w:kern w:val="0"/>
                <w:sz w:val="22"/>
                <w:szCs w:val="24"/>
                <w:lang w:eastAsia="es-CO"/>
                <w14:ligatures w14:val="none"/>
              </w:rPr>
            </w:pPr>
          </w:p>
        </w:tc>
        <w:tc>
          <w:tcPr>
            <w:tcW w:w="2976" w:type="dxa"/>
            <w:vMerge/>
            <w:vAlign w:val="center"/>
            <w:hideMark/>
          </w:tcPr>
          <w:p w14:paraId="0E482FD5"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p>
        </w:tc>
        <w:tc>
          <w:tcPr>
            <w:tcW w:w="2268" w:type="dxa"/>
            <w:shd w:val="clear" w:color="auto" w:fill="auto"/>
            <w:vAlign w:val="center"/>
            <w:hideMark/>
          </w:tcPr>
          <w:p w14:paraId="025FABDD" w14:textId="77777777" w:rsidR="00D74B5A" w:rsidRPr="00D74B5A" w:rsidRDefault="00D74B5A" w:rsidP="0015136C">
            <w:pPr>
              <w:spacing w:after="0" w:line="480" w:lineRule="auto"/>
              <w:ind w:firstLine="0"/>
              <w:rPr>
                <w:rFonts w:eastAsia="Times New Roman" w:cs="Times New Roman"/>
                <w:color w:val="000000"/>
                <w:kern w:val="0"/>
                <w:sz w:val="22"/>
                <w:szCs w:val="24"/>
                <w:lang w:eastAsia="es-CO"/>
                <w14:ligatures w14:val="none"/>
              </w:rPr>
            </w:pPr>
            <w:r w:rsidRPr="00D74B5A">
              <w:rPr>
                <w:rFonts w:eastAsia="Times New Roman" w:cs="Times New Roman"/>
                <w:color w:val="000000"/>
                <w:kern w:val="0"/>
                <w:sz w:val="22"/>
                <w:szCs w:val="24"/>
                <w:lang w:eastAsia="es-CO"/>
                <w14:ligatures w14:val="none"/>
              </w:rPr>
              <w:t>- Formulario de reingreso.</w:t>
            </w:r>
          </w:p>
        </w:tc>
      </w:tr>
    </w:tbl>
    <w:p w14:paraId="68D3F0ED" w14:textId="4ADD9C05" w:rsidR="00D74B5A" w:rsidRDefault="00D74B5A" w:rsidP="0015136C">
      <w:pPr>
        <w:spacing w:line="480" w:lineRule="auto"/>
        <w:jc w:val="center"/>
        <w:rPr>
          <w:lang w:eastAsia="es-ES"/>
        </w:rPr>
      </w:pPr>
      <w:r>
        <w:rPr>
          <w:lang w:eastAsia="es-ES"/>
        </w:rPr>
        <w:t>Nota: elaboración propia con información de la página web de la DIAN</w:t>
      </w:r>
    </w:p>
    <w:p w14:paraId="32B75996" w14:textId="1F6A905A" w:rsidR="00D74B5A" w:rsidRDefault="00D74B5A" w:rsidP="000F00C6">
      <w:pPr>
        <w:tabs>
          <w:tab w:val="left" w:pos="3570"/>
        </w:tabs>
        <w:spacing w:line="480" w:lineRule="auto"/>
        <w:ind w:firstLine="0"/>
        <w:rPr>
          <w:b/>
          <w:lang w:eastAsia="es-ES"/>
        </w:rPr>
      </w:pPr>
    </w:p>
    <w:p w14:paraId="7B855A0B" w14:textId="5C74385B" w:rsidR="00F71D92" w:rsidRPr="000F00C6" w:rsidRDefault="00F71D92" w:rsidP="000F00C6">
      <w:pPr>
        <w:pStyle w:val="Prrafodelista"/>
        <w:numPr>
          <w:ilvl w:val="0"/>
          <w:numId w:val="29"/>
        </w:numPr>
        <w:spacing w:line="480" w:lineRule="auto"/>
        <w:rPr>
          <w:rFonts w:ascii="Times New Roman" w:hAnsi="Times New Roman"/>
          <w:b/>
        </w:rPr>
      </w:pPr>
      <w:r w:rsidRPr="000F00C6">
        <w:rPr>
          <w:rFonts w:ascii="Times New Roman" w:hAnsi="Times New Roman"/>
          <w:b/>
        </w:rPr>
        <w:t>Normativa Tributaria Aplicable a las Zonas Francas</w:t>
      </w:r>
    </w:p>
    <w:p w14:paraId="45DC5E31" w14:textId="412E1CFD" w:rsidR="00F71D92" w:rsidRPr="000F00C6" w:rsidRDefault="00F71D92" w:rsidP="000F00C6">
      <w:pPr>
        <w:pStyle w:val="Prrafodelista"/>
        <w:numPr>
          <w:ilvl w:val="1"/>
          <w:numId w:val="30"/>
        </w:numPr>
        <w:spacing w:line="480" w:lineRule="auto"/>
        <w:rPr>
          <w:rFonts w:ascii="Times New Roman" w:hAnsi="Times New Roman"/>
          <w:b/>
        </w:rPr>
      </w:pPr>
      <w:r w:rsidRPr="000F00C6">
        <w:rPr>
          <w:rFonts w:ascii="Times New Roman" w:hAnsi="Times New Roman"/>
          <w:b/>
        </w:rPr>
        <w:t>Beneficios Tributarios Generales</w:t>
      </w:r>
    </w:p>
    <w:p w14:paraId="20046B0B" w14:textId="1FEC6C47" w:rsidR="00F71D92" w:rsidRDefault="00F71D92" w:rsidP="0015136C">
      <w:pPr>
        <w:spacing w:line="480" w:lineRule="auto"/>
        <w:rPr>
          <w:lang w:eastAsia="es-ES"/>
        </w:rPr>
      </w:pPr>
      <w:r>
        <w:rPr>
          <w:lang w:eastAsia="es-ES"/>
        </w:rPr>
        <w:t>Las zonas francas ofrecen diversos incentivos fiscales que buscan atraer inversión y mejorar la competitividad empresarial. Entre los más destacados se encuentran:</w:t>
      </w:r>
    </w:p>
    <w:p w14:paraId="648B46B5" w14:textId="77777777" w:rsidR="00F71D92" w:rsidRDefault="00F71D92" w:rsidP="0015136C">
      <w:pPr>
        <w:spacing w:line="480" w:lineRule="auto"/>
        <w:rPr>
          <w:lang w:eastAsia="es-ES"/>
        </w:rPr>
      </w:pPr>
      <w:r w:rsidRPr="006821EF">
        <w:rPr>
          <w:lang w:eastAsia="es-ES"/>
        </w:rPr>
        <w:lastRenderedPageBreak/>
        <w:t>Reducción en la tarifa del Impuesto de Renta: La normativa establece que las empresas que operan en zonas francas suelen estar sujetas a una tarifa reducida del impuesto sobre la renta comparado con el régimen general. Esto es fundamental para reducir la carga fiscal de las empresas y fomentar la inversión productiva.</w:t>
      </w:r>
    </w:p>
    <w:p w14:paraId="4E24730E" w14:textId="77777777" w:rsidR="00F71D92" w:rsidRDefault="00F71D92" w:rsidP="0015136C">
      <w:pPr>
        <w:spacing w:line="480" w:lineRule="auto"/>
        <w:rPr>
          <w:lang w:eastAsia="es-ES"/>
        </w:rPr>
      </w:pPr>
      <w:r>
        <w:rPr>
          <w:lang w:eastAsia="es-ES"/>
        </w:rPr>
        <w:t>Exención del IVA: Los usuarios que adquieren bienes y servicios dentro de una zona franca no están obligados a pagar el impuesto al valor agregado (IVA) en dichas transacciones. Esta exención aplica particularmente en las adquisiciones de bienes que serán transformados o procesados.</w:t>
      </w:r>
    </w:p>
    <w:p w14:paraId="675ED01A" w14:textId="23A4847C" w:rsidR="00F71D92" w:rsidRDefault="00F71D92" w:rsidP="0015136C">
      <w:pPr>
        <w:spacing w:line="480" w:lineRule="auto"/>
        <w:rPr>
          <w:lang w:eastAsia="es-ES"/>
        </w:rPr>
      </w:pPr>
      <w:r>
        <w:rPr>
          <w:lang w:eastAsia="es-ES"/>
        </w:rPr>
        <w:t>La Circular DIAN 0043 de 2008 menciona los códigos de operación en zonas francas que regulan estas operaciones y garantizan la aplicación de beneficios tributarios, facilitando el acceso a los incentivos fiscales mediante la correcta presentación de los documentos y soportes pertinentes</w:t>
      </w:r>
      <w:r w:rsidR="006821EF">
        <w:rPr>
          <w:lang w:eastAsia="es-ES"/>
        </w:rPr>
        <w:t xml:space="preserve"> </w:t>
      </w:r>
      <w:sdt>
        <w:sdtPr>
          <w:rPr>
            <w:lang w:eastAsia="es-ES"/>
          </w:rPr>
          <w:id w:val="1739969913"/>
          <w:citation/>
        </w:sdtPr>
        <w:sdtEndPr/>
        <w:sdtContent>
          <w:r w:rsidR="006821EF">
            <w:rPr>
              <w:lang w:eastAsia="es-ES"/>
            </w:rPr>
            <w:fldChar w:fldCharType="begin"/>
          </w:r>
          <w:r w:rsidR="006821EF">
            <w:rPr>
              <w:lang w:val="es-ES" w:eastAsia="es-ES"/>
            </w:rPr>
            <w:instrText xml:space="preserve"> CITATION DIA08 \l 3082 </w:instrText>
          </w:r>
          <w:r w:rsidR="006821EF">
            <w:rPr>
              <w:lang w:eastAsia="es-ES"/>
            </w:rPr>
            <w:fldChar w:fldCharType="separate"/>
          </w:r>
          <w:r w:rsidR="00901E21" w:rsidRPr="00901E21">
            <w:rPr>
              <w:noProof/>
              <w:lang w:val="es-ES" w:eastAsia="es-ES"/>
            </w:rPr>
            <w:t>(DIAN, 2008)</w:t>
          </w:r>
          <w:r w:rsidR="006821EF">
            <w:rPr>
              <w:lang w:eastAsia="es-ES"/>
            </w:rPr>
            <w:fldChar w:fldCharType="end"/>
          </w:r>
        </w:sdtContent>
      </w:sdt>
    </w:p>
    <w:p w14:paraId="3B62647D" w14:textId="77777777" w:rsidR="00F71D92" w:rsidRPr="006821EF" w:rsidRDefault="00F71D92" w:rsidP="0015136C">
      <w:pPr>
        <w:spacing w:line="480" w:lineRule="auto"/>
        <w:rPr>
          <w:rFonts w:cs="Times New Roman"/>
          <w:lang w:eastAsia="es-ES"/>
        </w:rPr>
      </w:pPr>
    </w:p>
    <w:p w14:paraId="1A5FA9AA" w14:textId="124AE161" w:rsidR="00DA79CF" w:rsidRPr="006821EF" w:rsidRDefault="00F71D92" w:rsidP="006821EF">
      <w:pPr>
        <w:pStyle w:val="Prrafodelista"/>
        <w:numPr>
          <w:ilvl w:val="1"/>
          <w:numId w:val="30"/>
        </w:numPr>
        <w:spacing w:line="480" w:lineRule="auto"/>
        <w:rPr>
          <w:rFonts w:ascii="Times New Roman" w:hAnsi="Times New Roman"/>
          <w:b/>
        </w:rPr>
      </w:pPr>
      <w:r w:rsidRPr="006821EF">
        <w:rPr>
          <w:rFonts w:ascii="Times New Roman" w:hAnsi="Times New Roman"/>
          <w:b/>
        </w:rPr>
        <w:t>Mecanismos de Optimización Tributaria</w:t>
      </w:r>
    </w:p>
    <w:p w14:paraId="37917969" w14:textId="0E29BD7B" w:rsidR="00F71D92" w:rsidRDefault="00F71D92" w:rsidP="0015136C">
      <w:pPr>
        <w:spacing w:line="480" w:lineRule="auto"/>
        <w:rPr>
          <w:lang w:eastAsia="es-ES"/>
        </w:rPr>
      </w:pPr>
      <w:r>
        <w:rPr>
          <w:lang w:eastAsia="es-ES"/>
        </w:rPr>
        <w:t>Los mecanismos para aprovechar estos beneficios requieren la correcta clasificación de las operaciones bajo los códigos estipulados por la DIAN. Por ejemplo, el uso del Formulario de Movimiento de Mercancías (FMM) es fundamental para el registro adecuado de la entrada y salida de mercancías en la zona franca, garantizando que se apliquen las exenciones tributarias correspondientes.</w:t>
      </w:r>
    </w:p>
    <w:p w14:paraId="7F42EE1B" w14:textId="474969A9" w:rsidR="00F71D92" w:rsidRDefault="00F71D92" w:rsidP="006821EF">
      <w:pPr>
        <w:spacing w:line="480" w:lineRule="auto"/>
        <w:rPr>
          <w:lang w:eastAsia="es-ES"/>
        </w:rPr>
      </w:pPr>
      <w:r>
        <w:rPr>
          <w:lang w:eastAsia="es-ES"/>
        </w:rPr>
        <w:t>La Circular 6 de 2021 establece de manera específica la creación de códigos para las Declaraciones Especiales de Importación, lo que permite que las empresas puedan sacar mercancías al resto del territorio nacional bajo condiciones fiscales favorables</w:t>
      </w:r>
      <w:r w:rsidR="006821EF">
        <w:rPr>
          <w:lang w:eastAsia="es-ES"/>
        </w:rPr>
        <w:t xml:space="preserve"> </w:t>
      </w:r>
      <w:sdt>
        <w:sdtPr>
          <w:rPr>
            <w:lang w:eastAsia="es-ES"/>
          </w:rPr>
          <w:id w:val="1518428491"/>
          <w:citation/>
        </w:sdtPr>
        <w:sdtEndPr/>
        <w:sdtContent>
          <w:r w:rsidR="006821EF">
            <w:rPr>
              <w:lang w:eastAsia="es-ES"/>
            </w:rPr>
            <w:fldChar w:fldCharType="begin"/>
          </w:r>
          <w:r w:rsidR="006821EF">
            <w:rPr>
              <w:lang w:val="es-ES" w:eastAsia="es-ES"/>
            </w:rPr>
            <w:instrText xml:space="preserve"> CITATION DIA21 \l 3082 </w:instrText>
          </w:r>
          <w:r w:rsidR="006821EF">
            <w:rPr>
              <w:lang w:eastAsia="es-ES"/>
            </w:rPr>
            <w:fldChar w:fldCharType="separate"/>
          </w:r>
          <w:r w:rsidR="00901E21" w:rsidRPr="00901E21">
            <w:rPr>
              <w:noProof/>
              <w:lang w:val="es-ES" w:eastAsia="es-ES"/>
            </w:rPr>
            <w:t>(DIAN, 2021)</w:t>
          </w:r>
          <w:r w:rsidR="006821EF">
            <w:rPr>
              <w:lang w:eastAsia="es-ES"/>
            </w:rPr>
            <w:fldChar w:fldCharType="end"/>
          </w:r>
        </w:sdtContent>
      </w:sdt>
    </w:p>
    <w:p w14:paraId="45B58216" w14:textId="2F143D6A" w:rsidR="00F71D92" w:rsidRPr="006821EF" w:rsidRDefault="00F71D92" w:rsidP="006821EF">
      <w:pPr>
        <w:pStyle w:val="Prrafodelista"/>
        <w:numPr>
          <w:ilvl w:val="0"/>
          <w:numId w:val="31"/>
        </w:numPr>
        <w:spacing w:line="480" w:lineRule="auto"/>
        <w:rPr>
          <w:rFonts w:ascii="Times New Roman" w:hAnsi="Times New Roman"/>
          <w:b/>
        </w:rPr>
      </w:pPr>
      <w:r w:rsidRPr="006821EF">
        <w:rPr>
          <w:rFonts w:ascii="Times New Roman" w:hAnsi="Times New Roman"/>
          <w:b/>
        </w:rPr>
        <w:lastRenderedPageBreak/>
        <w:t>Normativa Aduanera para Zonas Francas</w:t>
      </w:r>
    </w:p>
    <w:p w14:paraId="5F4C5EA1" w14:textId="61D76E9D" w:rsidR="00F71D92" w:rsidRPr="006821EF" w:rsidRDefault="00F71D92" w:rsidP="006821EF">
      <w:pPr>
        <w:pStyle w:val="Prrafodelista"/>
        <w:numPr>
          <w:ilvl w:val="2"/>
          <w:numId w:val="5"/>
        </w:numPr>
        <w:spacing w:line="480" w:lineRule="auto"/>
        <w:rPr>
          <w:rFonts w:ascii="Times New Roman" w:hAnsi="Times New Roman"/>
          <w:b/>
        </w:rPr>
      </w:pPr>
      <w:r w:rsidRPr="006821EF">
        <w:rPr>
          <w:rFonts w:ascii="Times New Roman" w:hAnsi="Times New Roman"/>
          <w:b/>
        </w:rPr>
        <w:t xml:space="preserve"> Control de Operaciones de Ingreso y Salida de Mercancías</w:t>
      </w:r>
    </w:p>
    <w:p w14:paraId="1B4FC8B1" w14:textId="3571A856" w:rsidR="00F71D92" w:rsidRDefault="00F71D92" w:rsidP="0015136C">
      <w:pPr>
        <w:spacing w:line="480" w:lineRule="auto"/>
        <w:rPr>
          <w:lang w:eastAsia="es-ES"/>
        </w:rPr>
      </w:pPr>
      <w:r>
        <w:rPr>
          <w:lang w:eastAsia="es-ES"/>
        </w:rPr>
        <w:t>El marco normativo aduanero para zonas francas se enfoca en el estricto control del movimiento de mercancías que ingresan y salen de las zonas francas, tanto al resto del país como al exterior. La regulación es clara en exigir el uso de formularios y códigos específicos para cada tipo de operación, lo que asegura la trazabilidad de las mercancías y el cumplimiento de los requisitos aduaneros.</w:t>
      </w:r>
      <w:r w:rsidR="00DA79CF">
        <w:rPr>
          <w:lang w:eastAsia="es-ES"/>
        </w:rPr>
        <w:t xml:space="preserve"> </w:t>
      </w:r>
      <w:r>
        <w:rPr>
          <w:lang w:eastAsia="es-ES"/>
        </w:rPr>
        <w:t xml:space="preserve">En particular, la Circular 0033 de 2010 </w:t>
      </w:r>
      <w:sdt>
        <w:sdtPr>
          <w:rPr>
            <w:lang w:eastAsia="es-ES"/>
          </w:rPr>
          <w:id w:val="274150173"/>
          <w:citation/>
        </w:sdtPr>
        <w:sdtEndPr/>
        <w:sdtContent>
          <w:r w:rsidR="006821EF">
            <w:rPr>
              <w:lang w:eastAsia="es-ES"/>
            </w:rPr>
            <w:fldChar w:fldCharType="begin"/>
          </w:r>
          <w:r w:rsidR="006821EF">
            <w:rPr>
              <w:lang w:val="es-ES" w:eastAsia="es-ES"/>
            </w:rPr>
            <w:instrText xml:space="preserve"> CITATION DIA10 \l 3082 </w:instrText>
          </w:r>
          <w:r w:rsidR="006821EF">
            <w:rPr>
              <w:lang w:eastAsia="es-ES"/>
            </w:rPr>
            <w:fldChar w:fldCharType="separate"/>
          </w:r>
          <w:r w:rsidR="00901E21" w:rsidRPr="00901E21">
            <w:rPr>
              <w:noProof/>
              <w:lang w:val="es-ES" w:eastAsia="es-ES"/>
            </w:rPr>
            <w:t>(DIAN, 2010)</w:t>
          </w:r>
          <w:r w:rsidR="006821EF">
            <w:rPr>
              <w:lang w:eastAsia="es-ES"/>
            </w:rPr>
            <w:fldChar w:fldCharType="end"/>
          </w:r>
        </w:sdtContent>
      </w:sdt>
      <w:r w:rsidR="006821EF">
        <w:rPr>
          <w:lang w:eastAsia="es-ES"/>
        </w:rPr>
        <w:t xml:space="preserve"> </w:t>
      </w:r>
      <w:r>
        <w:rPr>
          <w:lang w:eastAsia="es-ES"/>
        </w:rPr>
        <w:t>proporciona los códigos de operaciones en zonas francas para:</w:t>
      </w:r>
    </w:p>
    <w:p w14:paraId="5ED2EAB1" w14:textId="77777777" w:rsidR="00F71D92" w:rsidRPr="00DA79CF" w:rsidRDefault="00F71D92" w:rsidP="0015136C">
      <w:pPr>
        <w:pStyle w:val="Prrafodelista"/>
        <w:numPr>
          <w:ilvl w:val="0"/>
          <w:numId w:val="8"/>
        </w:numPr>
        <w:spacing w:line="480" w:lineRule="auto"/>
        <w:rPr>
          <w:rFonts w:ascii="Times New Roman" w:hAnsi="Times New Roman"/>
          <w:szCs w:val="24"/>
        </w:rPr>
      </w:pPr>
      <w:r w:rsidRPr="00DA79CF">
        <w:rPr>
          <w:rFonts w:ascii="Times New Roman" w:hAnsi="Times New Roman"/>
          <w:szCs w:val="24"/>
        </w:rPr>
        <w:t>Operaciones entre usuarios de zonas francas (tanto industriales como comerciales).</w:t>
      </w:r>
    </w:p>
    <w:p w14:paraId="5C827193" w14:textId="77777777" w:rsidR="00F71D92" w:rsidRPr="00DA79CF" w:rsidRDefault="00F71D92" w:rsidP="0015136C">
      <w:pPr>
        <w:pStyle w:val="Prrafodelista"/>
        <w:numPr>
          <w:ilvl w:val="0"/>
          <w:numId w:val="8"/>
        </w:numPr>
        <w:spacing w:line="480" w:lineRule="auto"/>
        <w:rPr>
          <w:rFonts w:ascii="Times New Roman" w:hAnsi="Times New Roman"/>
          <w:szCs w:val="24"/>
        </w:rPr>
      </w:pPr>
      <w:r w:rsidRPr="00DA79CF">
        <w:rPr>
          <w:rFonts w:ascii="Times New Roman" w:hAnsi="Times New Roman"/>
          <w:szCs w:val="24"/>
        </w:rPr>
        <w:t>Operaciones entre la zona franca y el resto del territorio aduanero nacional.</w:t>
      </w:r>
    </w:p>
    <w:p w14:paraId="134BF61D" w14:textId="77777777" w:rsidR="00F71D92" w:rsidRPr="00DA79CF" w:rsidRDefault="00F71D92" w:rsidP="0015136C">
      <w:pPr>
        <w:pStyle w:val="Prrafodelista"/>
        <w:numPr>
          <w:ilvl w:val="0"/>
          <w:numId w:val="8"/>
        </w:numPr>
        <w:spacing w:line="480" w:lineRule="auto"/>
        <w:rPr>
          <w:rFonts w:ascii="Times New Roman" w:hAnsi="Times New Roman"/>
          <w:szCs w:val="24"/>
        </w:rPr>
      </w:pPr>
      <w:r w:rsidRPr="00DA79CF">
        <w:rPr>
          <w:rFonts w:ascii="Times New Roman" w:hAnsi="Times New Roman"/>
          <w:szCs w:val="24"/>
        </w:rPr>
        <w:t>Operaciones con el resto del mundo.</w:t>
      </w:r>
    </w:p>
    <w:p w14:paraId="3C79D013" w14:textId="3BD6E55C" w:rsidR="00F71D92" w:rsidRPr="006821EF" w:rsidRDefault="00F71D92" w:rsidP="006821EF">
      <w:pPr>
        <w:pStyle w:val="Prrafodelista"/>
        <w:numPr>
          <w:ilvl w:val="0"/>
          <w:numId w:val="8"/>
        </w:numPr>
        <w:spacing w:line="480" w:lineRule="auto"/>
        <w:rPr>
          <w:rFonts w:ascii="Times New Roman" w:hAnsi="Times New Roman"/>
          <w:szCs w:val="24"/>
        </w:rPr>
      </w:pPr>
      <w:r w:rsidRPr="00DA79CF">
        <w:rPr>
          <w:rFonts w:ascii="Times New Roman" w:hAnsi="Times New Roman"/>
          <w:szCs w:val="24"/>
        </w:rPr>
        <w:t>Cada una de estas operaciones debe estar soportada por el Formulario de Movimiento de Mercancías (FMM), y dependiendo de la naturaleza de la operación, se exigen documentos adicionales como facturas comerciales, certificados de integración, o declaraciones de importación.</w:t>
      </w:r>
    </w:p>
    <w:p w14:paraId="2830381A" w14:textId="017A9EA8" w:rsidR="00F71D92" w:rsidRPr="006821EF" w:rsidRDefault="00F71D92" w:rsidP="006821EF">
      <w:pPr>
        <w:pStyle w:val="Prrafodelista"/>
        <w:numPr>
          <w:ilvl w:val="2"/>
          <w:numId w:val="5"/>
        </w:numPr>
        <w:spacing w:line="480" w:lineRule="auto"/>
        <w:rPr>
          <w:rFonts w:ascii="Times New Roman" w:hAnsi="Times New Roman"/>
          <w:b/>
        </w:rPr>
      </w:pPr>
      <w:r w:rsidRPr="006821EF">
        <w:rPr>
          <w:rFonts w:ascii="Times New Roman" w:hAnsi="Times New Roman"/>
          <w:b/>
        </w:rPr>
        <w:t>Importación Temporal y Perfeccionamiento Activo</w:t>
      </w:r>
    </w:p>
    <w:p w14:paraId="5BB27D94" w14:textId="1426E2FF" w:rsidR="00F71D92" w:rsidRDefault="00F71D92" w:rsidP="0015136C">
      <w:pPr>
        <w:spacing w:line="480" w:lineRule="auto"/>
        <w:rPr>
          <w:lang w:eastAsia="es-ES"/>
        </w:rPr>
      </w:pPr>
      <w:r>
        <w:rPr>
          <w:lang w:eastAsia="es-ES"/>
        </w:rPr>
        <w:t>Las zonas francas permiten la importación temporal de materias primas, insumos y bienes intermedios, con el fin de ser transformados o procesados dentro de la zona franca y posteriormente exportados. La Circular</w:t>
      </w:r>
      <w:r w:rsidR="006821EF">
        <w:rPr>
          <w:lang w:eastAsia="es-ES"/>
        </w:rPr>
        <w:t xml:space="preserve"> </w:t>
      </w:r>
      <w:sdt>
        <w:sdtPr>
          <w:rPr>
            <w:lang w:eastAsia="es-ES"/>
          </w:rPr>
          <w:id w:val="980962455"/>
          <w:citation/>
        </w:sdtPr>
        <w:sdtEndPr/>
        <w:sdtContent>
          <w:r w:rsidR="006821EF">
            <w:rPr>
              <w:lang w:eastAsia="es-ES"/>
            </w:rPr>
            <w:fldChar w:fldCharType="begin"/>
          </w:r>
          <w:r w:rsidR="006821EF">
            <w:rPr>
              <w:lang w:val="es-ES" w:eastAsia="es-ES"/>
            </w:rPr>
            <w:instrText xml:space="preserve"> CITATION DIA081 \l 3082 </w:instrText>
          </w:r>
          <w:r w:rsidR="006821EF">
            <w:rPr>
              <w:lang w:eastAsia="es-ES"/>
            </w:rPr>
            <w:fldChar w:fldCharType="separate"/>
          </w:r>
          <w:r w:rsidR="00901E21" w:rsidRPr="00901E21">
            <w:rPr>
              <w:noProof/>
              <w:lang w:val="es-ES" w:eastAsia="es-ES"/>
            </w:rPr>
            <w:t>(DIAN, 2008)</w:t>
          </w:r>
          <w:r w:rsidR="006821EF">
            <w:rPr>
              <w:lang w:eastAsia="es-ES"/>
            </w:rPr>
            <w:fldChar w:fldCharType="end"/>
          </w:r>
        </w:sdtContent>
      </w:sdt>
      <w:r>
        <w:rPr>
          <w:lang w:eastAsia="es-ES"/>
        </w:rPr>
        <w:t xml:space="preserve"> 0043 de 2008 también detalla el código de operación para el perfeccionamiento activo, que consiste en la importación temporal de materias primas que son transformadas en la zona franca y luego exportadas como bienes finales. Este procedimiento es clave para empresas industriales que buscan reducir costos y optimizar sus operaciones al </w:t>
      </w:r>
      <w:r>
        <w:rPr>
          <w:lang w:eastAsia="es-ES"/>
        </w:rPr>
        <w:lastRenderedPageBreak/>
        <w:t>beneficiarse de la suspensión de tributos aduaneros mientras se realiza el proceso de transformación.</w:t>
      </w:r>
    </w:p>
    <w:p w14:paraId="69887C84" w14:textId="77777777" w:rsidR="00F71D92" w:rsidRDefault="00F71D92" w:rsidP="0015136C">
      <w:pPr>
        <w:spacing w:line="480" w:lineRule="auto"/>
        <w:rPr>
          <w:lang w:eastAsia="es-ES"/>
        </w:rPr>
      </w:pPr>
      <w:r>
        <w:rPr>
          <w:lang w:eastAsia="es-ES"/>
        </w:rPr>
        <w:t>Un punto importante aquí es que los bienes que ingresan temporalmente para ser transformados o reparados no pierden su identidad original hasta que se completa el proceso de transformación. Solo entonces se consideran nuevos bienes producidos, lo que impacta las responsabilidades fiscales y aduaneras de la empresa.</w:t>
      </w:r>
    </w:p>
    <w:p w14:paraId="341DC76B" w14:textId="77777777" w:rsidR="00F71D92" w:rsidRDefault="00F71D92" w:rsidP="0015136C">
      <w:pPr>
        <w:spacing w:line="480" w:lineRule="auto"/>
        <w:rPr>
          <w:lang w:eastAsia="es-ES"/>
        </w:rPr>
      </w:pPr>
    </w:p>
    <w:p w14:paraId="75782A30" w14:textId="553AED33" w:rsidR="00F71D92" w:rsidRPr="006821EF" w:rsidRDefault="00F71D92" w:rsidP="006821EF">
      <w:pPr>
        <w:pStyle w:val="Prrafodelista"/>
        <w:numPr>
          <w:ilvl w:val="0"/>
          <w:numId w:val="31"/>
        </w:numPr>
        <w:spacing w:line="480" w:lineRule="auto"/>
        <w:rPr>
          <w:rFonts w:ascii="Times New Roman" w:hAnsi="Times New Roman"/>
          <w:b/>
        </w:rPr>
      </w:pPr>
      <w:r w:rsidRPr="006821EF">
        <w:rPr>
          <w:rFonts w:ascii="Times New Roman" w:hAnsi="Times New Roman"/>
          <w:b/>
        </w:rPr>
        <w:t>Normativa de Comercio Exterior en Zonas Francas</w:t>
      </w:r>
    </w:p>
    <w:p w14:paraId="1DF756DF" w14:textId="33172865" w:rsidR="00F71D92" w:rsidRPr="006821EF" w:rsidRDefault="00F71D92" w:rsidP="006821EF">
      <w:pPr>
        <w:pStyle w:val="Prrafodelista"/>
        <w:numPr>
          <w:ilvl w:val="0"/>
          <w:numId w:val="33"/>
        </w:numPr>
        <w:spacing w:line="480" w:lineRule="auto"/>
        <w:rPr>
          <w:rFonts w:ascii="Times New Roman" w:hAnsi="Times New Roman"/>
          <w:b/>
        </w:rPr>
      </w:pPr>
      <w:r w:rsidRPr="006821EF">
        <w:rPr>
          <w:rFonts w:ascii="Times New Roman" w:hAnsi="Times New Roman"/>
          <w:b/>
        </w:rPr>
        <w:t>Facilitación de Exportaciones</w:t>
      </w:r>
    </w:p>
    <w:p w14:paraId="1F3E767F" w14:textId="0765C78D" w:rsidR="00F71D92" w:rsidRDefault="00F71D92" w:rsidP="0015136C">
      <w:pPr>
        <w:spacing w:line="480" w:lineRule="auto"/>
        <w:rPr>
          <w:lang w:eastAsia="es-ES"/>
        </w:rPr>
      </w:pPr>
      <w:r>
        <w:rPr>
          <w:lang w:eastAsia="es-ES"/>
        </w:rPr>
        <w:t>La normativa de comercio exterior aplicable a zonas francas tiene como objetivo facilitar las exportaciones desde estas áreas, permitiendo que las mercancías producidas o transformadas dentro de la zona franca sean exportadas sin pagar tributos aduaneros. Las empresas que operan en una zona franca pueden enviar sus productos al exterior con un tratamiento fiscal preferencial, lo que aumenta su competitividad en el mercado internacional.</w:t>
      </w:r>
    </w:p>
    <w:p w14:paraId="5F69F618" w14:textId="78298D26" w:rsidR="00F71D92" w:rsidRDefault="00F71D92" w:rsidP="006821EF">
      <w:pPr>
        <w:spacing w:line="480" w:lineRule="auto"/>
        <w:rPr>
          <w:lang w:eastAsia="es-ES"/>
        </w:rPr>
      </w:pPr>
      <w:r>
        <w:rPr>
          <w:lang w:eastAsia="es-ES"/>
        </w:rPr>
        <w:t>La Circular DIAN 0033 de 2010 menciona los beneficios específicos de la exportación de bienes producidos en zonas francas, ya sea utilizando materias primas importadas o nacionales. Además, se describen las reglas para las exportaciones definitivas, que requieren la presentación de los formularios de movimiento de mercancías correspondientes.</w:t>
      </w:r>
      <w:r w:rsidR="006821EF">
        <w:rPr>
          <w:lang w:eastAsia="es-ES"/>
        </w:rPr>
        <w:t xml:space="preserve"> </w:t>
      </w:r>
      <w:sdt>
        <w:sdtPr>
          <w:rPr>
            <w:lang w:eastAsia="es-ES"/>
          </w:rPr>
          <w:id w:val="-117686073"/>
          <w:citation/>
        </w:sdtPr>
        <w:sdtEndPr/>
        <w:sdtContent>
          <w:r w:rsidR="006821EF">
            <w:rPr>
              <w:lang w:eastAsia="es-ES"/>
            </w:rPr>
            <w:fldChar w:fldCharType="begin"/>
          </w:r>
          <w:r w:rsidR="006821EF">
            <w:rPr>
              <w:lang w:val="es-ES" w:eastAsia="es-ES"/>
            </w:rPr>
            <w:instrText xml:space="preserve"> CITATION DIA10 \l 3082 </w:instrText>
          </w:r>
          <w:r w:rsidR="006821EF">
            <w:rPr>
              <w:lang w:eastAsia="es-ES"/>
            </w:rPr>
            <w:fldChar w:fldCharType="separate"/>
          </w:r>
          <w:r w:rsidR="00901E21" w:rsidRPr="00901E21">
            <w:rPr>
              <w:noProof/>
              <w:lang w:val="es-ES" w:eastAsia="es-ES"/>
            </w:rPr>
            <w:t>(DIAN, 2010)</w:t>
          </w:r>
          <w:r w:rsidR="006821EF">
            <w:rPr>
              <w:lang w:eastAsia="es-ES"/>
            </w:rPr>
            <w:fldChar w:fldCharType="end"/>
          </w:r>
        </w:sdtContent>
      </w:sdt>
    </w:p>
    <w:p w14:paraId="7F12EF20" w14:textId="26AEC462" w:rsidR="00F71D92" w:rsidRPr="006821EF" w:rsidRDefault="00F71D92" w:rsidP="006821EF">
      <w:pPr>
        <w:pStyle w:val="Prrafodelista"/>
        <w:numPr>
          <w:ilvl w:val="0"/>
          <w:numId w:val="33"/>
        </w:numPr>
        <w:spacing w:line="480" w:lineRule="auto"/>
        <w:rPr>
          <w:rFonts w:ascii="Times New Roman" w:hAnsi="Times New Roman"/>
          <w:b/>
        </w:rPr>
      </w:pPr>
      <w:r w:rsidRPr="006821EF">
        <w:rPr>
          <w:rFonts w:ascii="Times New Roman" w:hAnsi="Times New Roman"/>
          <w:b/>
        </w:rPr>
        <w:t>Reimportación y Transformación de Bienes</w:t>
      </w:r>
    </w:p>
    <w:p w14:paraId="4F1C21D1" w14:textId="4C4883F3" w:rsidR="00D13B17" w:rsidRDefault="00F71D92" w:rsidP="0015136C">
      <w:pPr>
        <w:spacing w:line="480" w:lineRule="auto"/>
        <w:rPr>
          <w:lang w:eastAsia="es-ES"/>
        </w:rPr>
      </w:pPr>
      <w:r>
        <w:rPr>
          <w:lang w:eastAsia="es-ES"/>
        </w:rPr>
        <w:t xml:space="preserve">Otra disposición importante es la que permite la importación temporal de bienes desde el exterior para su transformación en la zona franca. Este proceso, regulado en varias de las circulares (como la Circular DIAN 0043 de 2008), establece que los bienes importados pueden someterse a </w:t>
      </w:r>
      <w:r>
        <w:rPr>
          <w:lang w:eastAsia="es-ES"/>
        </w:rPr>
        <w:lastRenderedPageBreak/>
        <w:t>procesos de transformación dentro de la zona franca sin la necesidad de pagar aranceles o impuestos hasta que estos bienes sean vendidos en el mercado local o exportados.</w:t>
      </w:r>
      <w:r w:rsidR="00D13B17">
        <w:rPr>
          <w:lang w:eastAsia="es-ES"/>
        </w:rPr>
        <w:t xml:space="preserve"> </w:t>
      </w:r>
      <w:r>
        <w:rPr>
          <w:lang w:eastAsia="es-ES"/>
        </w:rPr>
        <w:t>Este tipo de operaciones es particularmente relevante para empresas que buscan utilizar las zonas francas como centros de transformación para productos destinados al mercado internacional.</w:t>
      </w:r>
    </w:p>
    <w:p w14:paraId="781BEB1F" w14:textId="7403D9FB" w:rsidR="00D8011B" w:rsidRDefault="00DA79CF" w:rsidP="006821EF">
      <w:pPr>
        <w:spacing w:line="480" w:lineRule="auto"/>
        <w:rPr>
          <w:lang w:eastAsia="es-ES"/>
        </w:rPr>
      </w:pPr>
      <w:r w:rsidRPr="00DA79CF">
        <w:rPr>
          <w:lang w:eastAsia="es-ES"/>
        </w:rPr>
        <w:t>El examen exhaustivo de las circulares emitidas por la DIAN indica que las zonas francas, como la que se podría establecer en Aguachica - Cesar, disponen de un marco normativo completo que integra incentivos fiscales, rigurosos controles aduaneros y facilidades para el comercio exterior. Estas regulaciones permiten a las empresas en zonas francas mejorar su estructura tributaria, gestionar sus operaciones aduaneras de manera eficiente y beneficiarse de las ventajas del comercio internacional, lo que podría posicionar a Aguachica como un punto clave para la actividad económica y comercial en la región. Las circulares más relevantes que regulan estas actividades, como la Circular 0033 de 2010 y la Circular 0043 de 2008, son fundamentales para comprender cómo aplicar los beneficios fiscales y aduaneros, así como para facilitar el comercio exterior hacia y desde una zona franca.</w:t>
      </w:r>
    </w:p>
    <w:p w14:paraId="33C61D4B" w14:textId="77777777" w:rsidR="00741F4B" w:rsidRDefault="00741F4B" w:rsidP="00741F4B">
      <w:pPr>
        <w:rPr>
          <w:lang w:val="x-none" w:eastAsia="es-ES"/>
        </w:rPr>
      </w:pPr>
    </w:p>
    <w:p w14:paraId="6C35368F" w14:textId="71CB928E" w:rsidR="00D13B17" w:rsidRDefault="00D13B17" w:rsidP="006821EF">
      <w:pPr>
        <w:pStyle w:val="Ttulo3"/>
      </w:pPr>
      <w:bookmarkStart w:id="62" w:name="_Toc183783048"/>
      <w:r w:rsidRPr="006821EF">
        <w:t>Resoluciones.</w:t>
      </w:r>
      <w:bookmarkEnd w:id="62"/>
      <w:r w:rsidRPr="006821EF">
        <w:t xml:space="preserve"> </w:t>
      </w:r>
    </w:p>
    <w:p w14:paraId="09F6C340" w14:textId="77777777" w:rsidR="00741F4B" w:rsidRPr="00741F4B" w:rsidRDefault="00741F4B" w:rsidP="00741F4B"/>
    <w:p w14:paraId="6800B1A6" w14:textId="7199BC4A" w:rsidR="00D13B17" w:rsidRPr="00D13B17" w:rsidRDefault="00D13B17" w:rsidP="009C08A2">
      <w:pPr>
        <w:spacing w:line="480" w:lineRule="auto"/>
        <w:rPr>
          <w:lang w:val="es-ES" w:eastAsia="es-ES"/>
        </w:rPr>
      </w:pPr>
      <w:r w:rsidRPr="00D13B17">
        <w:rPr>
          <w:lang w:val="es-ES" w:eastAsia="es-ES"/>
        </w:rPr>
        <w:t xml:space="preserve">Para analizar la normativa tributaria, aduanera y de comercio exterior aplicable al funcionamiento de una Zona Franca en Aguachica, Cesar, es fundamental considerar las disposiciones contenidas en las resoluciones gubernamentales vigentes, como la Resolución 96 de 2020 de la DIAN y la Resolución 1451 de 2017 del Ministerio de Comercio, Industria y Turismo. </w:t>
      </w:r>
    </w:p>
    <w:p w14:paraId="7DAC1228" w14:textId="0DB36D85" w:rsidR="00D13B17" w:rsidRPr="009C08A2" w:rsidRDefault="00D13B17" w:rsidP="009C08A2">
      <w:pPr>
        <w:pStyle w:val="Ttulo4"/>
        <w:rPr>
          <w:i/>
          <w:iCs w:val="0"/>
          <w:lang w:val="es-ES" w:eastAsia="es-ES"/>
        </w:rPr>
      </w:pPr>
      <w:r w:rsidRPr="009C08A2">
        <w:rPr>
          <w:i/>
          <w:iCs w:val="0"/>
          <w:lang w:val="es-ES" w:eastAsia="es-ES"/>
        </w:rPr>
        <w:lastRenderedPageBreak/>
        <w:t>Intercambio de Información y Control Aduanero Electrónico (Resolución DIAN 96 de 2020)</w:t>
      </w:r>
    </w:p>
    <w:p w14:paraId="633647ED" w14:textId="702AB559" w:rsidR="00D13B17" w:rsidRPr="00D13B17" w:rsidRDefault="00D13B17" w:rsidP="0015136C">
      <w:pPr>
        <w:spacing w:line="480" w:lineRule="auto"/>
        <w:rPr>
          <w:lang w:val="es-ES" w:eastAsia="es-ES"/>
        </w:rPr>
      </w:pPr>
      <w:r w:rsidRPr="00D13B17">
        <w:rPr>
          <w:lang w:val="es-ES" w:eastAsia="es-ES"/>
        </w:rPr>
        <w:t>El control aduanero es esencial para garantizar la transparencia y eficiencia en las operaciones de una zona franca. La Resolución 96 de 2020 establece un marco específico para el intercambio de información entre los sistemas electrónicos de los usuarios operadores de zonas francas y la DIAN.</w:t>
      </w:r>
    </w:p>
    <w:p w14:paraId="34723500" w14:textId="77777777" w:rsidR="00D13B17" w:rsidRPr="00D13B17" w:rsidRDefault="00D13B17" w:rsidP="0015136C">
      <w:pPr>
        <w:spacing w:line="480" w:lineRule="auto"/>
        <w:rPr>
          <w:lang w:val="es-ES" w:eastAsia="es-ES"/>
        </w:rPr>
      </w:pPr>
      <w:r w:rsidRPr="00D13B17">
        <w:rPr>
          <w:lang w:val="es-ES" w:eastAsia="es-ES"/>
        </w:rPr>
        <w:t>Sistema de Planilla de Recepción (Formulario 1314): Esta resolución introduce la obligatoriedad de utilizar servicios electrónicos para la presentación de la planilla de recepción de mercancías, facilitando así el control de los bienes que ingresan al territorio aduanero nacional. Este sistema no solo reduce los errores manuales, sino que también agiliza los tiempos de operación, lo cual es crucial para la eficiencia de una Zona Franca en Aguachica.</w:t>
      </w:r>
    </w:p>
    <w:p w14:paraId="1C681C0A" w14:textId="77777777" w:rsidR="00D13B17" w:rsidRPr="00D13B17" w:rsidRDefault="00D13B17" w:rsidP="0015136C">
      <w:pPr>
        <w:spacing w:line="480" w:lineRule="auto"/>
        <w:rPr>
          <w:lang w:val="es-ES" w:eastAsia="es-ES"/>
        </w:rPr>
      </w:pPr>
    </w:p>
    <w:p w14:paraId="1D31F8EF" w14:textId="31D9676F" w:rsidR="00D13B17" w:rsidRPr="00D13B17" w:rsidRDefault="00D13B17" w:rsidP="009C08A2">
      <w:pPr>
        <w:spacing w:line="480" w:lineRule="auto"/>
        <w:rPr>
          <w:lang w:val="es-ES" w:eastAsia="es-ES"/>
        </w:rPr>
      </w:pPr>
      <w:r w:rsidRPr="00D13B17">
        <w:rPr>
          <w:lang w:val="es-ES" w:eastAsia="es-ES"/>
        </w:rPr>
        <w:t>Especificaciones técnicas: Los usuarios operadores de zonas francas deben implementar infraestructura tecnológica que asegure la integración de sus sistemas con los de la DIAN, garantizando que la información sobre el movimiento de mercancías sea accesible en tiempo real. En Aguachica, esto implicaría que el operador de la zona franca establezca un sistema electrónico robusto, cumpliendo con las obligaciones de intercambio de datos para mantener el control adecuado de las mercancías.</w:t>
      </w:r>
    </w:p>
    <w:p w14:paraId="2127BD0C" w14:textId="6EEE2C51" w:rsidR="00D13B17" w:rsidRPr="009C08A2" w:rsidRDefault="00D13B17" w:rsidP="009C08A2">
      <w:pPr>
        <w:pStyle w:val="Ttulo4"/>
        <w:rPr>
          <w:lang w:val="es-ES" w:eastAsia="es-ES"/>
        </w:rPr>
      </w:pPr>
      <w:r w:rsidRPr="009C08A2">
        <w:rPr>
          <w:lang w:val="es-ES" w:eastAsia="es-ES"/>
        </w:rPr>
        <w:t>Regulación de la Comisión Intersectorial de Zonas Francas (Resolución Mincomercio 1451 de 2017)</w:t>
      </w:r>
    </w:p>
    <w:p w14:paraId="78F8E08C" w14:textId="317C0E3F" w:rsidR="00D13B17" w:rsidRPr="00D13B17" w:rsidRDefault="00D13B17" w:rsidP="0015136C">
      <w:pPr>
        <w:spacing w:line="480" w:lineRule="auto"/>
        <w:rPr>
          <w:lang w:val="es-ES" w:eastAsia="es-ES"/>
        </w:rPr>
      </w:pPr>
      <w:r w:rsidRPr="00D13B17">
        <w:rPr>
          <w:lang w:val="es-ES" w:eastAsia="es-ES"/>
        </w:rPr>
        <w:t xml:space="preserve">La Resolución 1451 de 2017, aunque derogada en 2021, proporciona una visión clara del funcionamiento de la Comisión Intersectorial de Zonas Francas, organismo encargado de evaluar </w:t>
      </w:r>
      <w:r w:rsidRPr="00D13B17">
        <w:rPr>
          <w:lang w:val="es-ES" w:eastAsia="es-ES"/>
        </w:rPr>
        <w:lastRenderedPageBreak/>
        <w:t>y aprobar la creación de nuevas zonas francas en Colombia. Este proceso es clave para garantizar que la Zona Franca en Aguachica cumpla con los requisitos necesarios.</w:t>
      </w:r>
    </w:p>
    <w:p w14:paraId="5A3D88E3" w14:textId="7F3B448D" w:rsidR="00D13B17" w:rsidRPr="00D13B17" w:rsidRDefault="00D13B17" w:rsidP="0015136C">
      <w:pPr>
        <w:spacing w:line="480" w:lineRule="auto"/>
        <w:rPr>
          <w:lang w:val="es-ES" w:eastAsia="es-ES"/>
        </w:rPr>
      </w:pPr>
      <w:r w:rsidRPr="00D13B17">
        <w:rPr>
          <w:lang w:val="es-ES" w:eastAsia="es-ES"/>
        </w:rPr>
        <w:t>Aprobación del Plan Maestro de Desarrollo: Para que una Zona Franca sea aprobada, es necesario someter a la Comisión un Plan Maestro de Desarrollo General que incluya una evaluación detallada del impacto económico, social y ambiental del proyecto. Este plan debe demostrar cómo la zona franca contribuirá al desarrollo productivo de la región, alineándose con las políticas nacionales de competitividad.</w:t>
      </w:r>
    </w:p>
    <w:p w14:paraId="05B94A5B" w14:textId="77777777" w:rsidR="00D13B17" w:rsidRPr="00D13B17" w:rsidRDefault="00D13B17" w:rsidP="0015136C">
      <w:pPr>
        <w:spacing w:line="480" w:lineRule="auto"/>
        <w:rPr>
          <w:lang w:val="es-ES" w:eastAsia="es-ES"/>
        </w:rPr>
      </w:pPr>
      <w:r w:rsidRPr="00D13B17">
        <w:rPr>
          <w:lang w:val="es-ES" w:eastAsia="es-ES"/>
        </w:rPr>
        <w:t>Funciones de la Comisión Intersectorial: La Comisión tiene la facultad de emitir conceptos de viabilidad, aprobar la existencia de la zona franca y evaluar solicitudes de prórroga. En el caso de Aguachica, este organismo será crucial para la planificación y el monitoreo continuo de la zona franca, asegurando que se cumplan los objetivos de inversión y empleo propuestos.</w:t>
      </w:r>
    </w:p>
    <w:p w14:paraId="30662907" w14:textId="77777777" w:rsidR="00D13B17" w:rsidRPr="00D13B17" w:rsidRDefault="00D13B17" w:rsidP="0015136C">
      <w:pPr>
        <w:spacing w:line="480" w:lineRule="auto"/>
        <w:rPr>
          <w:lang w:val="es-ES" w:eastAsia="es-ES"/>
        </w:rPr>
      </w:pPr>
    </w:p>
    <w:p w14:paraId="5A40AC36" w14:textId="6162F740" w:rsidR="00D13B17" w:rsidRPr="009C08A2" w:rsidRDefault="00D13B17" w:rsidP="009C08A2">
      <w:pPr>
        <w:pStyle w:val="Ttulo4"/>
        <w:rPr>
          <w:lang w:val="es-ES" w:eastAsia="es-ES"/>
        </w:rPr>
      </w:pPr>
      <w:r w:rsidRPr="009C08A2">
        <w:rPr>
          <w:lang w:val="es-ES" w:eastAsia="es-ES"/>
        </w:rPr>
        <w:t>Cumplimiento de Obligaciones y Control de Mercancías</w:t>
      </w:r>
    </w:p>
    <w:p w14:paraId="7E8D844D" w14:textId="1FC1C1DF" w:rsidR="00D13B17" w:rsidRPr="00D13B17" w:rsidRDefault="00D13B17" w:rsidP="0015136C">
      <w:pPr>
        <w:spacing w:line="480" w:lineRule="auto"/>
        <w:rPr>
          <w:lang w:val="es-ES" w:eastAsia="es-ES"/>
        </w:rPr>
      </w:pPr>
      <w:r w:rsidRPr="00D13B17">
        <w:rPr>
          <w:lang w:val="es-ES" w:eastAsia="es-ES"/>
        </w:rPr>
        <w:t>Las resoluciones también imponen obligaciones estrictas sobre los usuarios operadores y usuarios calificados en relación con la trazabilidad de las mercancías y el cumplimiento de las normativas aduaneras y tributarias.</w:t>
      </w:r>
    </w:p>
    <w:p w14:paraId="68F3AE26" w14:textId="67374A2C" w:rsidR="00D13B17" w:rsidRPr="00D13B17" w:rsidRDefault="00D13B17" w:rsidP="0015136C">
      <w:pPr>
        <w:spacing w:line="480" w:lineRule="auto"/>
        <w:rPr>
          <w:lang w:val="es-ES" w:eastAsia="es-ES"/>
        </w:rPr>
      </w:pPr>
      <w:r w:rsidRPr="00D13B17">
        <w:rPr>
          <w:lang w:val="es-ES" w:eastAsia="es-ES"/>
        </w:rPr>
        <w:t>Interconexión de Sistemas: Los operadores de zonas francas deben garantizar que sus sistemas estén interconectados con los de la DIAN para permitir la trazabilidad en tiempo real de las mercancías que ingresan, permanecen y salen de la zona franca. Esto asegura que la DIAN pueda monitorear las operaciones comerciales y aduaneras de forma precisa, minimizando el riesgo de fraude o evasión fiscal.</w:t>
      </w:r>
    </w:p>
    <w:p w14:paraId="532AFEA8" w14:textId="2CB43B4D" w:rsidR="00D13B17" w:rsidRPr="00D13B17" w:rsidRDefault="00D13B17" w:rsidP="009C08A2">
      <w:pPr>
        <w:spacing w:line="480" w:lineRule="auto"/>
        <w:rPr>
          <w:lang w:val="es-ES" w:eastAsia="es-ES"/>
        </w:rPr>
      </w:pPr>
      <w:r w:rsidRPr="00D13B17">
        <w:rPr>
          <w:lang w:val="es-ES" w:eastAsia="es-ES"/>
        </w:rPr>
        <w:lastRenderedPageBreak/>
        <w:t>Obligaciones Tributarias y Aduaneras: Los usuarios deben cumplir con todas las normativas vigentes en cuanto a la presentación de informes de inventarios y auditorías periódicas. Estas responsabilidades garantizan que las operaciones dentro de la zona franca sean completamente transparentes y eficientes, lo que es esencial para mantener la confianza de los inversionistas y del Estado.</w:t>
      </w:r>
    </w:p>
    <w:p w14:paraId="33784202" w14:textId="009CA937" w:rsidR="00D13B17" w:rsidRPr="00D13B17" w:rsidRDefault="00D13B17" w:rsidP="009C08A2">
      <w:pPr>
        <w:pStyle w:val="Ttulo4"/>
        <w:rPr>
          <w:lang w:val="es-ES" w:eastAsia="es-ES"/>
        </w:rPr>
      </w:pPr>
      <w:r w:rsidRPr="009C08A2">
        <w:rPr>
          <w:rStyle w:val="Ttulo4Car"/>
          <w:b/>
          <w:bCs/>
        </w:rPr>
        <w:t>Regulación de Sectores Estratégicos y Planificación</w:t>
      </w:r>
    </w:p>
    <w:p w14:paraId="4528868E" w14:textId="6B2F74C8" w:rsidR="00D13B17" w:rsidRPr="00D13B17" w:rsidRDefault="00D13B17" w:rsidP="0015136C">
      <w:pPr>
        <w:spacing w:line="480" w:lineRule="auto"/>
        <w:rPr>
          <w:lang w:val="es-ES" w:eastAsia="es-ES"/>
        </w:rPr>
      </w:pPr>
      <w:r w:rsidRPr="00D13B17">
        <w:rPr>
          <w:lang w:val="es-ES" w:eastAsia="es-ES"/>
        </w:rPr>
        <w:t>La Resolución 1451 de 2017 aborda también la necesidad de coordinar políticas que impulsen sectores estratégicos en el país. Esto es especialmente importante para la Zona Franca de Aguachica, ya que la identificación de sectores prioritarios permitirá enfocar los esfuerzos en áreas que promuevan un mayor valor agregado y competitividad internacional.</w:t>
      </w:r>
      <w:r>
        <w:rPr>
          <w:lang w:val="es-ES" w:eastAsia="es-ES"/>
        </w:rPr>
        <w:t xml:space="preserve"> </w:t>
      </w:r>
      <w:r w:rsidRPr="00D13B17">
        <w:rPr>
          <w:lang w:val="es-ES" w:eastAsia="es-ES"/>
        </w:rPr>
        <w:t>En este sentido, el desarrollo de sectores como la industria manufacturera, la logística avanzada o los servicios tecnológicos podría transformar a Aguachica en un centro de innovación y producción, generando economías de escala y fortaleciendo su participación en los mercados globales.</w:t>
      </w:r>
    </w:p>
    <w:p w14:paraId="3EBECD41" w14:textId="77777777" w:rsidR="00D13B17" w:rsidRPr="00D13B17" w:rsidRDefault="00D13B17" w:rsidP="0015136C">
      <w:pPr>
        <w:spacing w:line="480" w:lineRule="auto"/>
        <w:rPr>
          <w:lang w:val="es-ES" w:eastAsia="es-ES"/>
        </w:rPr>
      </w:pPr>
    </w:p>
    <w:p w14:paraId="38D4FE05" w14:textId="577F4A32" w:rsidR="00D13B17" w:rsidRPr="00D13B17" w:rsidRDefault="00D13B17" w:rsidP="009C08A2">
      <w:pPr>
        <w:pStyle w:val="Ttulo4"/>
        <w:rPr>
          <w:lang w:val="es-ES" w:eastAsia="es-ES"/>
        </w:rPr>
      </w:pPr>
      <w:r w:rsidRPr="00D13B17">
        <w:rPr>
          <w:lang w:val="es-ES" w:eastAsia="es-ES"/>
        </w:rPr>
        <w:t>Evaluación y Monitoreo de las Operaciones</w:t>
      </w:r>
    </w:p>
    <w:p w14:paraId="3B781BFC" w14:textId="60646598" w:rsidR="00D13B17" w:rsidRPr="00D13B17" w:rsidRDefault="00D13B17" w:rsidP="0015136C">
      <w:pPr>
        <w:spacing w:line="480" w:lineRule="auto"/>
        <w:rPr>
          <w:lang w:val="es-ES" w:eastAsia="es-ES"/>
        </w:rPr>
      </w:pPr>
      <w:r w:rsidRPr="00D13B17">
        <w:rPr>
          <w:lang w:val="es-ES" w:eastAsia="es-ES"/>
        </w:rPr>
        <w:t>Las resoluciones establecen mecanismos de evaluación y monitoreo continuo para asegurar que las zonas francas cumplan con los objetivos previstos.</w:t>
      </w:r>
      <w:r>
        <w:rPr>
          <w:lang w:val="es-ES" w:eastAsia="es-ES"/>
        </w:rPr>
        <w:t xml:space="preserve"> </w:t>
      </w:r>
      <w:r w:rsidRPr="00D13B17">
        <w:rPr>
          <w:lang w:val="es-ES" w:eastAsia="es-ES"/>
        </w:rPr>
        <w:t>Visitas técnicas y auditorías: La Comisión Intersectorial puede realizar visitas al área destinada para la zona franca, con el fin de evaluar la infraestructura y las condiciones de funcionamiento. Además, se exige el cumplimiento de auditorías regulares que evalúen los compromisos de inversión, generación de empleo y desarrollo sostenible por parte de los usuarios calificados. En Aguachica, estos mecanismos asegurarán que la zona franca mantenga su competitividad y transparencia en el largo plazo.</w:t>
      </w:r>
    </w:p>
    <w:p w14:paraId="32D810CB" w14:textId="5AB20D80" w:rsidR="00B173B2" w:rsidRDefault="007018B0" w:rsidP="006C3145">
      <w:pPr>
        <w:spacing w:line="480" w:lineRule="auto"/>
        <w:rPr>
          <w:lang w:val="es-ES" w:eastAsia="es-ES"/>
        </w:rPr>
      </w:pPr>
      <w:r>
        <w:rPr>
          <w:lang w:val="es-ES" w:eastAsia="es-ES"/>
        </w:rPr>
        <w:lastRenderedPageBreak/>
        <w:t>Finalmente, e</w:t>
      </w:r>
      <w:r w:rsidRPr="007018B0">
        <w:rPr>
          <w:lang w:val="es-ES" w:eastAsia="es-ES"/>
        </w:rPr>
        <w:t xml:space="preserve">l funcionamiento de una Zona Franca en Aguachica, Cesar, </w:t>
      </w:r>
      <w:r>
        <w:rPr>
          <w:lang w:val="es-ES" w:eastAsia="es-ES"/>
        </w:rPr>
        <w:t xml:space="preserve">debe estar </w:t>
      </w:r>
      <w:r w:rsidRPr="007018B0">
        <w:rPr>
          <w:lang w:val="es-ES" w:eastAsia="es-ES"/>
        </w:rPr>
        <w:t>fundamentado en un marco normativo sólido, regulado por resoluciones clave como la Resolución 96 de 2020 y la Resolución 1451 de 2017. Estas normativas subrayan la relevancia de los sistemas electrónicos en la gestión aduanera, la necesidad de contar con un plan maestro de desarrollo aprobado y el cumplimiento de estrictas obligaciones tributarias y aduaneras. La implementación de servicios tecnológicos para la trazabilidad de mercancías, la gestión de planes de desarrollo y el control riguroso de los usuarios de la zona son elementos esenciales para garantizar que la Zona Franca en Aguachica opere de manera eficiente, transparente y en línea con las políticas nacionales de competitividad</w:t>
      </w:r>
    </w:p>
    <w:p w14:paraId="7B2019F3" w14:textId="3E85CEC9" w:rsidR="00A15E14" w:rsidRDefault="00A15E14" w:rsidP="009C08A2">
      <w:pPr>
        <w:pStyle w:val="Ttulo4"/>
        <w:rPr>
          <w:lang w:val="es-ES" w:eastAsia="es-ES"/>
        </w:rPr>
      </w:pPr>
      <w:r w:rsidRPr="00A15E14">
        <w:rPr>
          <w:lang w:val="es-ES" w:eastAsia="es-ES"/>
        </w:rPr>
        <w:t>Guía Legal de Zonas Francas 2024</w:t>
      </w:r>
    </w:p>
    <w:p w14:paraId="2E5ADA66" w14:textId="77777777" w:rsidR="009C08A2" w:rsidRPr="009C08A2" w:rsidRDefault="009C08A2" w:rsidP="009C08A2">
      <w:pPr>
        <w:rPr>
          <w:lang w:val="es-ES" w:eastAsia="es-ES"/>
        </w:rPr>
      </w:pPr>
    </w:p>
    <w:p w14:paraId="199074D8" w14:textId="77C3DBD2" w:rsidR="00A15E14" w:rsidRDefault="00A15E14" w:rsidP="0015136C">
      <w:pPr>
        <w:spacing w:line="480" w:lineRule="auto"/>
        <w:rPr>
          <w:lang w:val="es-ES" w:eastAsia="es-ES"/>
        </w:rPr>
      </w:pPr>
      <w:r w:rsidRPr="00A15E14">
        <w:rPr>
          <w:lang w:val="es-ES" w:eastAsia="es-ES"/>
        </w:rPr>
        <w:t xml:space="preserve">A partir de la Guía Legal de Zonas Francas 2024 proporcionada, </w:t>
      </w:r>
      <w:r>
        <w:rPr>
          <w:lang w:val="es-ES" w:eastAsia="es-ES"/>
        </w:rPr>
        <w:t>se hace</w:t>
      </w:r>
      <w:r w:rsidRPr="00A15E14">
        <w:rPr>
          <w:lang w:val="es-ES" w:eastAsia="es-ES"/>
        </w:rPr>
        <w:t xml:space="preserve"> un análisis detallado sobre la normativa tributaria, aduanera y de comercio exterior para el funcionamiento de una Zona Franca en Aguachica - Cesar, con base en las disposiciones gubernamentales vigentes.</w:t>
      </w:r>
    </w:p>
    <w:p w14:paraId="7CAFBE55" w14:textId="77777777" w:rsidR="00E72E0E" w:rsidRDefault="00E72E0E" w:rsidP="00E72E0E">
      <w:pPr>
        <w:rPr>
          <w:lang w:val="es-ES" w:eastAsia="es-ES"/>
        </w:rPr>
      </w:pPr>
    </w:p>
    <w:p w14:paraId="13B4C621" w14:textId="7ACB6532" w:rsidR="00A15E14" w:rsidRDefault="00A15E14" w:rsidP="009C08A2">
      <w:pPr>
        <w:pStyle w:val="Ttulo3"/>
        <w:rPr>
          <w:rStyle w:val="Ttulo3Car"/>
          <w:b/>
          <w:bCs/>
        </w:rPr>
      </w:pPr>
      <w:bookmarkStart w:id="63" w:name="_Toc183783049"/>
      <w:r w:rsidRPr="009C08A2">
        <w:rPr>
          <w:rStyle w:val="Ttulo3Car"/>
          <w:b/>
          <w:bCs/>
        </w:rPr>
        <w:t>Normativa Tributaria Aplicable a las Zonas Francas</w:t>
      </w:r>
      <w:bookmarkEnd w:id="63"/>
    </w:p>
    <w:p w14:paraId="63885A02" w14:textId="77777777" w:rsidR="00E72E0E" w:rsidRPr="00E72E0E" w:rsidRDefault="00E72E0E" w:rsidP="00E72E0E"/>
    <w:p w14:paraId="1921A334" w14:textId="199CB4C1" w:rsidR="00A15E14" w:rsidRDefault="00A15E14" w:rsidP="009C08A2">
      <w:pPr>
        <w:pStyle w:val="Ttulo4"/>
        <w:rPr>
          <w:lang w:val="es-ES" w:eastAsia="es-ES"/>
        </w:rPr>
      </w:pPr>
      <w:r w:rsidRPr="00F06495">
        <w:rPr>
          <w:lang w:val="es-ES" w:eastAsia="es-ES"/>
        </w:rPr>
        <w:t>Beneficios Tributarios Generales</w:t>
      </w:r>
    </w:p>
    <w:p w14:paraId="073C67C3" w14:textId="77777777" w:rsidR="00E72E0E" w:rsidRPr="00E72E0E" w:rsidRDefault="00E72E0E" w:rsidP="00E72E0E">
      <w:pPr>
        <w:rPr>
          <w:lang w:val="es-ES" w:eastAsia="es-ES"/>
        </w:rPr>
      </w:pPr>
    </w:p>
    <w:p w14:paraId="299C0D59" w14:textId="682BFF15" w:rsidR="00A15E14" w:rsidRPr="00A15E14" w:rsidRDefault="00A15E14" w:rsidP="0015136C">
      <w:pPr>
        <w:spacing w:line="480" w:lineRule="auto"/>
        <w:rPr>
          <w:lang w:val="es-ES" w:eastAsia="es-ES"/>
        </w:rPr>
      </w:pPr>
      <w:r w:rsidRPr="00A15E14">
        <w:rPr>
          <w:lang w:val="es-ES" w:eastAsia="es-ES"/>
        </w:rPr>
        <w:t>Uno de los pilares fundamentales de las zonas francas es su capacidad de ofrecer incentivos fiscales significativos, diseñados para estimular la inversión empresarial y fomentar el crecimiento económico en sectores clave. Las zonas francas gozan de reducción en la tarifa del impuesto sobre la renta, lo que representa un alivio importante en la carga fiscal de las empresas que operan dentro de estos territorios especiales.</w:t>
      </w:r>
    </w:p>
    <w:p w14:paraId="69633F56" w14:textId="411018B8" w:rsidR="00A15E14" w:rsidRPr="00A15E14" w:rsidRDefault="00A15E14" w:rsidP="0015136C">
      <w:pPr>
        <w:spacing w:line="480" w:lineRule="auto"/>
        <w:rPr>
          <w:lang w:val="es-ES" w:eastAsia="es-ES"/>
        </w:rPr>
      </w:pPr>
      <w:r w:rsidRPr="00A15E14">
        <w:rPr>
          <w:lang w:val="es-ES" w:eastAsia="es-ES"/>
        </w:rPr>
        <w:lastRenderedPageBreak/>
        <w:t>Con la implementación de la Sentencia C-384 de 2023, aquellas zonas francas que fueron declaradas antes del 13 de diciembre de 2022 continúan disfrutando de una tarifa preferencial del 20% en el impuesto de renta, sin ninguna restricción o condicionamiento. Para las zonas declaradas con posterioridad a esta fecha, se aplican diferentes tarifas, dependiendo del enfoque exportador de la empresa. Por ejemplo, las empresas con un plan de internacionalización mantendrán la tarifa del 20%, mientras que aquellas que no se comprometan a exportar verán incrementada la tarifa hasta un 35%. Este mecanismo busca incentivar la participación de las empresas en el mercado internacional, haciéndolas más competitivas a través de la reducción de sus costos fiscales</w:t>
      </w:r>
      <w:r w:rsidR="009C08A2">
        <w:rPr>
          <w:lang w:val="es-ES" w:eastAsia="es-ES"/>
        </w:rPr>
        <w:t xml:space="preserve"> </w:t>
      </w:r>
      <w:sdt>
        <w:sdtPr>
          <w:rPr>
            <w:lang w:val="es-ES" w:eastAsia="es-ES"/>
          </w:rPr>
          <w:id w:val="-1352788941"/>
          <w:citation/>
        </w:sdtPr>
        <w:sdtEndPr/>
        <w:sdtContent>
          <w:r w:rsidR="009C08A2">
            <w:rPr>
              <w:lang w:val="es-ES" w:eastAsia="es-ES"/>
            </w:rPr>
            <w:fldChar w:fldCharType="begin"/>
          </w:r>
          <w:r w:rsidR="009C08A2">
            <w:rPr>
              <w:lang w:val="es-ES" w:eastAsia="es-ES"/>
            </w:rPr>
            <w:instrText xml:space="preserve"> CITATION Cor23 \l 3082 </w:instrText>
          </w:r>
          <w:r w:rsidR="009C08A2">
            <w:rPr>
              <w:lang w:val="es-ES" w:eastAsia="es-ES"/>
            </w:rPr>
            <w:fldChar w:fldCharType="separate"/>
          </w:r>
          <w:r w:rsidR="00901E21" w:rsidRPr="00901E21">
            <w:rPr>
              <w:noProof/>
              <w:lang w:val="es-ES" w:eastAsia="es-ES"/>
            </w:rPr>
            <w:t>(Corte Constitucional de Colombia, 2023)</w:t>
          </w:r>
          <w:r w:rsidR="009C08A2">
            <w:rPr>
              <w:lang w:val="es-ES" w:eastAsia="es-ES"/>
            </w:rPr>
            <w:fldChar w:fldCharType="end"/>
          </w:r>
        </w:sdtContent>
      </w:sdt>
      <w:r w:rsidRPr="00A15E14">
        <w:rPr>
          <w:lang w:val="es-ES" w:eastAsia="es-ES"/>
        </w:rPr>
        <w:t>.</w:t>
      </w:r>
    </w:p>
    <w:p w14:paraId="1F81C087" w14:textId="77777777" w:rsidR="00A15E14" w:rsidRPr="00A15E14" w:rsidRDefault="00A15E14" w:rsidP="0015136C">
      <w:pPr>
        <w:spacing w:line="480" w:lineRule="auto"/>
        <w:rPr>
          <w:lang w:val="es-ES" w:eastAsia="es-ES"/>
        </w:rPr>
      </w:pPr>
      <w:r w:rsidRPr="00A15E14">
        <w:rPr>
          <w:lang w:val="es-ES" w:eastAsia="es-ES"/>
        </w:rPr>
        <w:t>Además, las zonas francas están diseñadas para ser puntos de concentración de operaciones comerciales y logísticas que, bajo el marco legal vigente, permiten que las empresas que operen dentro de ellas disfruten de una exención del IVA en la compra de bienes y servicios. Este beneficio es particularmente atractivo para aquellas empresas que realizan procesos de transformación industrial, ya que les permite adquirir insumos y maquinaria sin tener que incurrir en el pago del impuesto sobre el valor agregado, lo que reduce los costos operativos de forma significativa.</w:t>
      </w:r>
    </w:p>
    <w:p w14:paraId="3A286BCF" w14:textId="798F3252" w:rsidR="00A15E14" w:rsidRPr="00A15E14" w:rsidRDefault="00A15E14" w:rsidP="0015136C">
      <w:pPr>
        <w:spacing w:line="480" w:lineRule="auto"/>
        <w:rPr>
          <w:lang w:val="es-ES" w:eastAsia="es-ES"/>
        </w:rPr>
      </w:pPr>
      <w:r w:rsidRPr="00A15E14">
        <w:rPr>
          <w:lang w:val="es-ES" w:eastAsia="es-ES"/>
        </w:rPr>
        <w:t>Es importante destacar que, de acuerdo con la Circular DIAN 0043 de 2008, el correcto acceso a estos beneficios fiscales está estrictamente regulado por la presentación adecuada de los códigos de operación correspondientes. Las empresas deben presentar documentos y soportes precisos para garantizar que estos incentivos se apliquen de manera adecuada, optimizando sus recursos financieros y asegurando el cumplimiento de las obligaciones fiscales.</w:t>
      </w:r>
      <w:sdt>
        <w:sdtPr>
          <w:rPr>
            <w:lang w:val="es-ES" w:eastAsia="es-ES"/>
          </w:rPr>
          <w:id w:val="-1433265959"/>
          <w:citation/>
        </w:sdtPr>
        <w:sdtEndPr/>
        <w:sdtContent>
          <w:r w:rsidR="009C08A2">
            <w:rPr>
              <w:lang w:val="es-ES" w:eastAsia="es-ES"/>
            </w:rPr>
            <w:fldChar w:fldCharType="begin"/>
          </w:r>
          <w:r w:rsidR="009C08A2">
            <w:rPr>
              <w:lang w:val="es-ES" w:eastAsia="es-ES"/>
            </w:rPr>
            <w:instrText xml:space="preserve"> CITATION DIA08 \l 3082 </w:instrText>
          </w:r>
          <w:r w:rsidR="009C08A2">
            <w:rPr>
              <w:lang w:val="es-ES" w:eastAsia="es-ES"/>
            </w:rPr>
            <w:fldChar w:fldCharType="separate"/>
          </w:r>
          <w:r w:rsidR="00901E21">
            <w:rPr>
              <w:noProof/>
              <w:lang w:val="es-ES" w:eastAsia="es-ES"/>
            </w:rPr>
            <w:t xml:space="preserve"> </w:t>
          </w:r>
          <w:r w:rsidR="00901E21" w:rsidRPr="00901E21">
            <w:rPr>
              <w:noProof/>
              <w:lang w:val="es-ES" w:eastAsia="es-ES"/>
            </w:rPr>
            <w:t>(DIAN, 2008)</w:t>
          </w:r>
          <w:r w:rsidR="009C08A2">
            <w:rPr>
              <w:lang w:val="es-ES" w:eastAsia="es-ES"/>
            </w:rPr>
            <w:fldChar w:fldCharType="end"/>
          </w:r>
        </w:sdtContent>
      </w:sdt>
    </w:p>
    <w:p w14:paraId="3BBCB99E" w14:textId="48DA3293" w:rsidR="00A15E14" w:rsidRPr="00F06495" w:rsidRDefault="00A15E14" w:rsidP="009C08A2">
      <w:pPr>
        <w:pStyle w:val="Ttulo4"/>
        <w:rPr>
          <w:lang w:val="es-ES" w:eastAsia="es-ES"/>
        </w:rPr>
      </w:pPr>
      <w:r w:rsidRPr="00F06495">
        <w:rPr>
          <w:lang w:val="es-ES" w:eastAsia="es-ES"/>
        </w:rPr>
        <w:t>Mecanismos de Optimización Tributaria</w:t>
      </w:r>
    </w:p>
    <w:p w14:paraId="268EBD2E" w14:textId="5FFB39A4" w:rsidR="00A15E14" w:rsidRPr="00A15E14" w:rsidRDefault="00A15E14" w:rsidP="0015136C">
      <w:pPr>
        <w:spacing w:line="480" w:lineRule="auto"/>
        <w:rPr>
          <w:lang w:val="es-ES" w:eastAsia="es-ES"/>
        </w:rPr>
      </w:pPr>
      <w:r w:rsidRPr="00A15E14">
        <w:rPr>
          <w:lang w:val="es-ES" w:eastAsia="es-ES"/>
        </w:rPr>
        <w:t xml:space="preserve">Además de los beneficios tributarios generales, la normativa colombiana establece una serie de mecanismos adicionales que permiten a las empresas optimizar su gestión fiscal dentro de las </w:t>
      </w:r>
      <w:r w:rsidRPr="00A15E14">
        <w:rPr>
          <w:lang w:val="es-ES" w:eastAsia="es-ES"/>
        </w:rPr>
        <w:lastRenderedPageBreak/>
        <w:t>zonas francas. El uso del Formulario de Movimiento de Mercancías (FMM) es fundamental para registrar la entrada y salida de productos dentro de la zona franca. Este formulario asegura la trazabilidad de las mercancías y garantiza que se apliquen las exenciones tributarias de manera adecuada. Cualquier error en la presentación de este formulario puede resultar en la pérdida de los beneficios fiscales, por lo que su correcto uso es clave para la gestión fiscal eficiente.</w:t>
      </w:r>
    </w:p>
    <w:p w14:paraId="050FD818" w14:textId="1936A79C" w:rsidR="00A15E14" w:rsidRDefault="00A15E14" w:rsidP="009C08A2">
      <w:pPr>
        <w:spacing w:line="480" w:lineRule="auto"/>
        <w:rPr>
          <w:lang w:val="es-ES" w:eastAsia="es-ES"/>
        </w:rPr>
      </w:pPr>
      <w:r w:rsidRPr="00A15E14">
        <w:rPr>
          <w:lang w:val="es-ES" w:eastAsia="es-ES"/>
        </w:rPr>
        <w:t>Asimismo</w:t>
      </w:r>
      <w:r w:rsidR="009C08A2">
        <w:rPr>
          <w:lang w:val="es-ES" w:eastAsia="es-ES"/>
        </w:rPr>
        <w:t xml:space="preserve"> según </w:t>
      </w:r>
      <w:r w:rsidR="009C08A2" w:rsidRPr="009C08A2">
        <w:rPr>
          <w:noProof/>
          <w:lang w:val="es-ES" w:eastAsia="es-ES"/>
        </w:rPr>
        <w:t xml:space="preserve">DIAN </w:t>
      </w:r>
      <w:r w:rsidR="009C08A2">
        <w:rPr>
          <w:noProof/>
          <w:lang w:val="es-ES" w:eastAsia="es-ES"/>
        </w:rPr>
        <w:t>(</w:t>
      </w:r>
      <w:r w:rsidR="009C08A2" w:rsidRPr="009C08A2">
        <w:rPr>
          <w:noProof/>
          <w:lang w:val="es-ES" w:eastAsia="es-ES"/>
        </w:rPr>
        <w:t>2021)</w:t>
      </w:r>
      <w:r w:rsidRPr="00A15E14">
        <w:rPr>
          <w:lang w:val="es-ES" w:eastAsia="es-ES"/>
        </w:rPr>
        <w:t>, la Circular 6 de 2021 establece la creación de códigos específicos para las Declaraciones Especiales de Importación, que permiten a las empresas sacar mercancías desde la zona franca hacia el territorio aduanero nacional bajo condiciones fiscales favorables. Este mecanismo es crucial para aquellas empresas que desean nacionalizar bienes fabricados dentro de la zona franca, lo que les permite aprovechar al máximo las exenciones fiscales y optimizar sus operaciones comerciales.</w:t>
      </w:r>
    </w:p>
    <w:p w14:paraId="502D031C" w14:textId="77777777" w:rsidR="00E72E0E" w:rsidRPr="00A15E14" w:rsidRDefault="00E72E0E" w:rsidP="00E72E0E">
      <w:pPr>
        <w:rPr>
          <w:lang w:val="es-ES" w:eastAsia="es-ES"/>
        </w:rPr>
      </w:pPr>
    </w:p>
    <w:p w14:paraId="4BE1D0C8" w14:textId="5FC09042" w:rsidR="00A15E14" w:rsidRDefault="00A15E14" w:rsidP="009C08A2">
      <w:pPr>
        <w:pStyle w:val="Ttulo3"/>
        <w:rPr>
          <w:rStyle w:val="Ttulo3Car"/>
          <w:b/>
        </w:rPr>
      </w:pPr>
      <w:bookmarkStart w:id="64" w:name="_Toc183783050"/>
      <w:r w:rsidRPr="00E72E0E">
        <w:rPr>
          <w:rStyle w:val="Ttulo3Car"/>
          <w:b/>
        </w:rPr>
        <w:t>Normativa Aduanera para Zonas Francas</w:t>
      </w:r>
      <w:bookmarkEnd w:id="64"/>
    </w:p>
    <w:p w14:paraId="33654C4D" w14:textId="77777777" w:rsidR="00E72E0E" w:rsidRPr="00E72E0E" w:rsidRDefault="00E72E0E" w:rsidP="00E72E0E"/>
    <w:p w14:paraId="31136E1C" w14:textId="3E8AF8D4" w:rsidR="00A15E14" w:rsidRDefault="00A15E14" w:rsidP="009C08A2">
      <w:pPr>
        <w:pStyle w:val="Ttulo4"/>
        <w:rPr>
          <w:lang w:val="es-ES" w:eastAsia="es-ES"/>
        </w:rPr>
      </w:pPr>
      <w:r w:rsidRPr="003071C6">
        <w:rPr>
          <w:lang w:val="es-ES" w:eastAsia="es-ES"/>
        </w:rPr>
        <w:t>Control de Operaciones de Ingreso y Salida de Mercancías</w:t>
      </w:r>
    </w:p>
    <w:p w14:paraId="2176A558" w14:textId="77777777" w:rsidR="00E72E0E" w:rsidRPr="00E72E0E" w:rsidRDefault="00E72E0E" w:rsidP="00E72E0E">
      <w:pPr>
        <w:rPr>
          <w:lang w:val="es-ES" w:eastAsia="es-ES"/>
        </w:rPr>
      </w:pPr>
    </w:p>
    <w:p w14:paraId="6A27C2A4" w14:textId="1F27AFBF" w:rsidR="00A15E14" w:rsidRPr="00A15E14" w:rsidRDefault="00A15E14" w:rsidP="0015136C">
      <w:pPr>
        <w:spacing w:line="480" w:lineRule="auto"/>
        <w:rPr>
          <w:lang w:val="es-ES" w:eastAsia="es-ES"/>
        </w:rPr>
      </w:pPr>
      <w:r w:rsidRPr="00A15E14">
        <w:rPr>
          <w:lang w:val="es-ES" w:eastAsia="es-ES"/>
        </w:rPr>
        <w:t xml:space="preserve">El control aduanero en las zonas francas es uno de los aspectos más regulados por la normativa vigente, ya que busca garantizar la legalidad y trazabilidad de las operaciones comerciales dentro y fuera de estas áreas especiales. Según </w:t>
      </w:r>
      <w:r w:rsidR="009C08A2" w:rsidRPr="009C08A2">
        <w:rPr>
          <w:noProof/>
          <w:lang w:val="es-ES" w:eastAsia="es-ES"/>
        </w:rPr>
        <w:t xml:space="preserve">DIAN </w:t>
      </w:r>
      <w:r w:rsidR="009C08A2">
        <w:rPr>
          <w:noProof/>
          <w:lang w:val="es-ES" w:eastAsia="es-ES"/>
        </w:rPr>
        <w:t>(</w:t>
      </w:r>
      <w:r w:rsidR="009C08A2" w:rsidRPr="009C08A2">
        <w:rPr>
          <w:noProof/>
          <w:lang w:val="es-ES" w:eastAsia="es-ES"/>
        </w:rPr>
        <w:t>2019)</w:t>
      </w:r>
      <w:r w:rsidR="009C08A2">
        <w:rPr>
          <w:noProof/>
          <w:lang w:val="es-ES" w:eastAsia="es-ES"/>
        </w:rPr>
        <w:t xml:space="preserve"> </w:t>
      </w:r>
      <w:r w:rsidRPr="00A15E14">
        <w:rPr>
          <w:lang w:val="es-ES" w:eastAsia="es-ES"/>
        </w:rPr>
        <w:t>el Decreto 1165 de 2019, que regula el régimen de aduanas en Colombia, las zonas francas se rigen por estrictos protocolos que controlan el ingreso y la salida de mercancías, ya sea hacia el territorio aduanero nacional o hacia el exterior.</w:t>
      </w:r>
    </w:p>
    <w:p w14:paraId="788B3793" w14:textId="4AC0C64D" w:rsidR="00A15E14" w:rsidRPr="00A15E14" w:rsidRDefault="00A15E14" w:rsidP="0015136C">
      <w:pPr>
        <w:spacing w:line="480" w:lineRule="auto"/>
        <w:rPr>
          <w:lang w:val="es-ES" w:eastAsia="es-ES"/>
        </w:rPr>
      </w:pPr>
      <w:r w:rsidRPr="00A15E14">
        <w:rPr>
          <w:lang w:val="es-ES" w:eastAsia="es-ES"/>
        </w:rPr>
        <w:lastRenderedPageBreak/>
        <w:t>Una de las ventajas más destacadas de este régimen aduanero es que las mercancías que ingresan a la zona franca no están sujetas a tributos aduaneros mientras permanezcan en la zona o sean reexportadas. Este beneficio es esencial para las empresas que se dedican al almacenamiento y distribución internacional de productos, ya que les permite mantener inventarios en la zona franca sin incurrir en costos adicionales hasta que las mercancías sean finalmente vendidas o nacionalizadas.</w:t>
      </w:r>
    </w:p>
    <w:p w14:paraId="1C4A2EAB" w14:textId="4FA557B9" w:rsidR="00A15E14" w:rsidRDefault="00A15E14" w:rsidP="0049276C">
      <w:pPr>
        <w:spacing w:line="480" w:lineRule="auto"/>
        <w:rPr>
          <w:lang w:val="es-ES" w:eastAsia="es-ES"/>
        </w:rPr>
      </w:pPr>
      <w:r w:rsidRPr="00A15E14">
        <w:rPr>
          <w:lang w:val="es-ES" w:eastAsia="es-ES"/>
        </w:rPr>
        <w:t>El Formulario de Movimiento de Mercancías (FMM) es el instrumento clave para registrar y documentar todas las operaciones aduaneras dentro de las zonas francas. Según el Decreto 2147 de 2016, todas las transacciones deben estar debidamente documentadas a través de este formulario, lo que asegura la transparencia y el cumplimiento de las normativas aduaneras. Además, el Decreto 278 de 2021 introdujo modificaciones importantes que refuerzan el control sobre el movimiento de mercancías, especialmente en lo que respecta a la reexportación y la nacionalización de bienes</w:t>
      </w:r>
      <w:r w:rsidR="009C08A2">
        <w:rPr>
          <w:lang w:val="es-ES" w:eastAsia="es-ES"/>
        </w:rPr>
        <w:t xml:space="preserve"> esto según, </w:t>
      </w:r>
      <w:sdt>
        <w:sdtPr>
          <w:rPr>
            <w:lang w:val="es-ES" w:eastAsia="es-ES"/>
          </w:rPr>
          <w:id w:val="617263942"/>
          <w:citation/>
        </w:sdtPr>
        <w:sdtEndPr/>
        <w:sdtContent>
          <w:r w:rsidR="009C08A2">
            <w:rPr>
              <w:lang w:val="es-ES" w:eastAsia="es-ES"/>
            </w:rPr>
            <w:fldChar w:fldCharType="begin"/>
          </w:r>
          <w:r w:rsidR="009C08A2">
            <w:rPr>
              <w:lang w:val="es-ES" w:eastAsia="es-ES"/>
            </w:rPr>
            <w:instrText xml:space="preserve"> CITATION Alc16 \l 3082 </w:instrText>
          </w:r>
          <w:r w:rsidR="009C08A2">
            <w:rPr>
              <w:lang w:val="es-ES" w:eastAsia="es-ES"/>
            </w:rPr>
            <w:fldChar w:fldCharType="separate"/>
          </w:r>
          <w:r w:rsidR="00901E21" w:rsidRPr="00901E21">
            <w:rPr>
              <w:noProof/>
              <w:lang w:val="es-ES" w:eastAsia="es-ES"/>
            </w:rPr>
            <w:t>(Alcaldia Mayor de Bogota, 2016)</w:t>
          </w:r>
          <w:r w:rsidR="009C08A2">
            <w:rPr>
              <w:lang w:val="es-ES" w:eastAsia="es-ES"/>
            </w:rPr>
            <w:fldChar w:fldCharType="end"/>
          </w:r>
        </w:sdtContent>
      </w:sdt>
    </w:p>
    <w:p w14:paraId="5FB1E23B" w14:textId="77777777" w:rsidR="00E72E0E" w:rsidRPr="00A15E14" w:rsidRDefault="00E72E0E" w:rsidP="00E72E0E">
      <w:pPr>
        <w:rPr>
          <w:lang w:val="es-ES" w:eastAsia="es-ES"/>
        </w:rPr>
      </w:pPr>
    </w:p>
    <w:p w14:paraId="64ED05C6" w14:textId="7E1DF7EC" w:rsidR="00A15E14" w:rsidRDefault="00A15E14" w:rsidP="0049276C">
      <w:pPr>
        <w:pStyle w:val="Ttulo4"/>
        <w:rPr>
          <w:rStyle w:val="Ttulo4Car"/>
          <w:b/>
          <w:iCs/>
        </w:rPr>
      </w:pPr>
      <w:r w:rsidRPr="0049276C">
        <w:rPr>
          <w:rStyle w:val="Ttulo4Car"/>
          <w:b/>
          <w:iCs/>
        </w:rPr>
        <w:t>Importación Temporal y Perfeccionamiento Activo</w:t>
      </w:r>
    </w:p>
    <w:p w14:paraId="736F1722" w14:textId="77777777" w:rsidR="00E72E0E" w:rsidRPr="00E72E0E" w:rsidRDefault="00E72E0E" w:rsidP="00E72E0E"/>
    <w:p w14:paraId="4226F294" w14:textId="60844F57" w:rsidR="00A15E14" w:rsidRPr="00A15E14" w:rsidRDefault="00A15E14" w:rsidP="0015136C">
      <w:pPr>
        <w:spacing w:line="480" w:lineRule="auto"/>
        <w:rPr>
          <w:lang w:val="es-ES" w:eastAsia="es-ES"/>
        </w:rPr>
      </w:pPr>
      <w:r w:rsidRPr="00A15E14">
        <w:rPr>
          <w:lang w:val="es-ES" w:eastAsia="es-ES"/>
        </w:rPr>
        <w:t>Otro aspecto clave de la normativa aduanera en las zonas francas es la posibilidad de realizar importaciones temporales de materias primas e insumos para su procesamiento y transformación dentro de la zona. Este mecanismo, conocido como perfeccionamiento activo, permite a las empresas realizar operaciones industriales sin necesidad de pagar aranceles o impuestos sobre las mercancías importadas, siempre y cuando estas sean transformadas y luego exportadas.</w:t>
      </w:r>
    </w:p>
    <w:p w14:paraId="6B34F965" w14:textId="56E30EA2" w:rsidR="00A15E14" w:rsidRDefault="0049276C" w:rsidP="0015136C">
      <w:pPr>
        <w:spacing w:line="480" w:lineRule="auto"/>
        <w:rPr>
          <w:lang w:val="es-ES" w:eastAsia="es-ES"/>
        </w:rPr>
      </w:pPr>
      <w:r>
        <w:rPr>
          <w:lang w:val="es-ES" w:eastAsia="es-ES"/>
        </w:rPr>
        <w:lastRenderedPageBreak/>
        <w:t xml:space="preserve">Según la </w:t>
      </w:r>
      <w:r w:rsidRPr="0049276C">
        <w:rPr>
          <w:noProof/>
          <w:lang w:val="es-ES" w:eastAsia="es-ES"/>
        </w:rPr>
        <w:t xml:space="preserve">Secretaria Mayor de Bogota </w:t>
      </w:r>
      <w:r>
        <w:rPr>
          <w:noProof/>
          <w:lang w:val="es-ES" w:eastAsia="es-ES"/>
        </w:rPr>
        <w:t>(</w:t>
      </w:r>
      <w:r w:rsidRPr="0049276C">
        <w:rPr>
          <w:noProof/>
          <w:lang w:val="es-ES" w:eastAsia="es-ES"/>
        </w:rPr>
        <w:t>2024)</w:t>
      </w:r>
      <w:r>
        <w:rPr>
          <w:noProof/>
          <w:lang w:val="es-ES" w:eastAsia="es-ES"/>
        </w:rPr>
        <w:t xml:space="preserve">, </w:t>
      </w:r>
      <w:r>
        <w:rPr>
          <w:lang w:val="es-ES" w:eastAsia="es-ES"/>
        </w:rPr>
        <w:t>e</w:t>
      </w:r>
      <w:r w:rsidR="00A15E14" w:rsidRPr="00A15E14">
        <w:rPr>
          <w:lang w:val="es-ES" w:eastAsia="es-ES"/>
        </w:rPr>
        <w:t>l Decreto 027 de 2024 amplía las disposiciones sobre el perfeccionamiento activo, facilitando a las empresas nacionales e internacionales la nacionalización de productos manufacturados en la zona franca. Esto resulta especialmente relevante para empresas industriales que buscan reducir costos y mejorar su competitividad en el mercado global, al utilizar la zona franca como un centro de transformación de bienes con componentes importados.</w:t>
      </w:r>
    </w:p>
    <w:p w14:paraId="57DACADD" w14:textId="77777777" w:rsidR="00E72E0E" w:rsidRPr="00A15E14" w:rsidRDefault="00E72E0E" w:rsidP="00E72E0E">
      <w:pPr>
        <w:rPr>
          <w:lang w:val="es-ES" w:eastAsia="es-ES"/>
        </w:rPr>
      </w:pPr>
    </w:p>
    <w:p w14:paraId="623870B1" w14:textId="77777777" w:rsidR="0049276C" w:rsidRDefault="00A15E14" w:rsidP="0049276C">
      <w:pPr>
        <w:pStyle w:val="Ttulo3"/>
        <w:rPr>
          <w:lang w:val="es-ES" w:eastAsia="es-ES"/>
        </w:rPr>
      </w:pPr>
      <w:bookmarkStart w:id="65" w:name="_Toc183783051"/>
      <w:r w:rsidRPr="003071C6">
        <w:rPr>
          <w:lang w:val="es-ES" w:eastAsia="es-ES"/>
        </w:rPr>
        <w:t>Normativa de Comercio Exterior para Zonas Francas</w:t>
      </w:r>
      <w:bookmarkEnd w:id="65"/>
    </w:p>
    <w:p w14:paraId="56FC564C" w14:textId="77777777" w:rsidR="00E72E0E" w:rsidRPr="00E72E0E" w:rsidRDefault="00E72E0E" w:rsidP="00E72E0E">
      <w:pPr>
        <w:rPr>
          <w:lang w:val="es-ES" w:eastAsia="es-ES"/>
        </w:rPr>
      </w:pPr>
    </w:p>
    <w:p w14:paraId="08BE6076" w14:textId="3D9041C8" w:rsidR="00A15E14" w:rsidRDefault="00A15E14" w:rsidP="0049276C">
      <w:pPr>
        <w:pStyle w:val="Ttulo4"/>
        <w:rPr>
          <w:rStyle w:val="Ttulo4Car"/>
          <w:b/>
          <w:bCs/>
        </w:rPr>
      </w:pPr>
      <w:r w:rsidRPr="0049276C">
        <w:rPr>
          <w:rStyle w:val="Ttulo4Car"/>
          <w:b/>
          <w:bCs/>
        </w:rPr>
        <w:t>Facilitación de Exportaciones</w:t>
      </w:r>
    </w:p>
    <w:p w14:paraId="29878AE3" w14:textId="77777777" w:rsidR="00E72E0E" w:rsidRPr="00E72E0E" w:rsidRDefault="00E72E0E" w:rsidP="00E72E0E"/>
    <w:p w14:paraId="014B442E" w14:textId="191ABA71" w:rsidR="00A15E14" w:rsidRPr="00A15E14" w:rsidRDefault="00A15E14" w:rsidP="0015136C">
      <w:pPr>
        <w:spacing w:line="480" w:lineRule="auto"/>
        <w:rPr>
          <w:lang w:val="es-ES" w:eastAsia="es-ES"/>
        </w:rPr>
      </w:pPr>
      <w:r w:rsidRPr="00A15E14">
        <w:rPr>
          <w:lang w:val="es-ES" w:eastAsia="es-ES"/>
        </w:rPr>
        <w:t>El objetivo principal de las zonas francas es promover el comercio exterior, facilitando las exportaciones de productos manufacturados o transformados dentro de estas áreas. De acuerdo con el Decreto 2147 de 2016 y sus modificaciones, las zonas francas están diseñadas para actuar como centros logísticos internacionales, donde las empresas pueden almacenar, transformar y exportar productos sin incurrir en los tributos aduaneros que normalmente se aplican en el territorio nacional</w:t>
      </w:r>
      <w:r w:rsidR="0049276C">
        <w:rPr>
          <w:lang w:val="es-ES" w:eastAsia="es-ES"/>
        </w:rPr>
        <w:t xml:space="preserve">, esto según </w:t>
      </w:r>
      <w:sdt>
        <w:sdtPr>
          <w:rPr>
            <w:lang w:val="es-ES" w:eastAsia="es-ES"/>
          </w:rPr>
          <w:id w:val="1677072985"/>
          <w:citation/>
        </w:sdtPr>
        <w:sdtEndPr/>
        <w:sdtContent>
          <w:r w:rsidR="0049276C">
            <w:rPr>
              <w:lang w:val="es-ES" w:eastAsia="es-ES"/>
            </w:rPr>
            <w:fldChar w:fldCharType="begin"/>
          </w:r>
          <w:r w:rsidR="0049276C">
            <w:rPr>
              <w:lang w:val="es-ES" w:eastAsia="es-ES"/>
            </w:rPr>
            <w:instrText xml:space="preserve"> CITATION Alc16 \l 3082 </w:instrText>
          </w:r>
          <w:r w:rsidR="0049276C">
            <w:rPr>
              <w:lang w:val="es-ES" w:eastAsia="es-ES"/>
            </w:rPr>
            <w:fldChar w:fldCharType="separate"/>
          </w:r>
          <w:r w:rsidR="00901E21" w:rsidRPr="00901E21">
            <w:rPr>
              <w:noProof/>
              <w:lang w:val="es-ES" w:eastAsia="es-ES"/>
            </w:rPr>
            <w:t>(Alcaldia Mayor de Bogota, 2016)</w:t>
          </w:r>
          <w:r w:rsidR="0049276C">
            <w:rPr>
              <w:lang w:val="es-ES" w:eastAsia="es-ES"/>
            </w:rPr>
            <w:fldChar w:fldCharType="end"/>
          </w:r>
        </w:sdtContent>
      </w:sdt>
    </w:p>
    <w:p w14:paraId="2B8199F0" w14:textId="5793884E" w:rsidR="00A15E14" w:rsidRPr="00A15E14" w:rsidRDefault="00A15E14" w:rsidP="0049276C">
      <w:pPr>
        <w:spacing w:line="480" w:lineRule="auto"/>
        <w:rPr>
          <w:lang w:val="es-ES" w:eastAsia="es-ES"/>
        </w:rPr>
      </w:pPr>
      <w:r w:rsidRPr="00A15E14">
        <w:rPr>
          <w:lang w:val="es-ES" w:eastAsia="es-ES"/>
        </w:rPr>
        <w:t>Las exportaciones que se realicen desde una zona franca están exentas de tributos aduaneros, lo que reduce significativamente los costos de las empresas que operan en mercados internacionales. Esto hace que las zonas francas sean puntos estratégicos para el comercio exterior, ya que permiten que los productos fabricados o transformados dentro de estas zonas lleguen al mercado global sin las cargas impositivas que usualmente se aplican.</w:t>
      </w:r>
    </w:p>
    <w:p w14:paraId="25FB65A7" w14:textId="370A3B81" w:rsidR="00A15E14" w:rsidRDefault="00A15E14" w:rsidP="0049276C">
      <w:pPr>
        <w:pStyle w:val="Ttulo4"/>
        <w:rPr>
          <w:lang w:val="es-ES" w:eastAsia="es-ES"/>
        </w:rPr>
      </w:pPr>
      <w:r w:rsidRPr="003071C6">
        <w:rPr>
          <w:lang w:val="es-ES" w:eastAsia="es-ES"/>
        </w:rPr>
        <w:lastRenderedPageBreak/>
        <w:t>Reimportación y Transformación de Bienes</w:t>
      </w:r>
    </w:p>
    <w:p w14:paraId="4F245A1A" w14:textId="77777777" w:rsidR="00E72E0E" w:rsidRPr="00E72E0E" w:rsidRDefault="00E72E0E" w:rsidP="00E72E0E">
      <w:pPr>
        <w:rPr>
          <w:lang w:val="es-ES" w:eastAsia="es-ES"/>
        </w:rPr>
      </w:pPr>
    </w:p>
    <w:p w14:paraId="5D63C1EA" w14:textId="32F37F02" w:rsidR="00A15E14" w:rsidRPr="00A15E14" w:rsidRDefault="00A15E14" w:rsidP="0015136C">
      <w:pPr>
        <w:spacing w:line="480" w:lineRule="auto"/>
        <w:rPr>
          <w:lang w:val="es-ES" w:eastAsia="es-ES"/>
        </w:rPr>
      </w:pPr>
      <w:r w:rsidRPr="00A15E14">
        <w:rPr>
          <w:lang w:val="es-ES" w:eastAsia="es-ES"/>
        </w:rPr>
        <w:t>Además de las exportaciones, la normativa también permite la importación temporal de bienes desde el exterior para su transformación en la zona franca. Estos bienes pueden ser reexportados sin pagar aranceles o impuestos mientras permanezcan en la zona franca. Este proceso es ideal para empresas que buscan utilizar las zonas francas como centros de transformación industrial, ya que les permite agregar valor a los productos importados sin incurrir en costos fiscales adicionales.</w:t>
      </w:r>
    </w:p>
    <w:p w14:paraId="13DB3692" w14:textId="425C473E" w:rsidR="00A15E14" w:rsidRPr="00A15E14" w:rsidRDefault="00A15E14" w:rsidP="0015136C">
      <w:pPr>
        <w:spacing w:line="480" w:lineRule="auto"/>
        <w:rPr>
          <w:lang w:val="es-ES" w:eastAsia="es-ES"/>
        </w:rPr>
      </w:pPr>
      <w:r w:rsidRPr="00A15E14">
        <w:rPr>
          <w:lang w:val="es-ES" w:eastAsia="es-ES"/>
        </w:rPr>
        <w:t>La normativa vigente, incluida la Circular DIAN 0043 de 2008, regula detalladamente el proceso de reimportación de bienes, asegurando que las empresas puedan llevar a cabo estos procesos de transformación de manera eficiente y legal. Esta normativa es particularmente relevante para industrias manufactureras que dependen de insumos internacionales para producir bienes de alto valor agregado destinados a la exportación.</w:t>
      </w:r>
    </w:p>
    <w:p w14:paraId="6CBC268F" w14:textId="1E998A39" w:rsidR="00F06495" w:rsidRDefault="003071C6" w:rsidP="0049276C">
      <w:pPr>
        <w:spacing w:line="480" w:lineRule="auto"/>
        <w:rPr>
          <w:lang w:val="es-ES" w:eastAsia="es-ES"/>
        </w:rPr>
      </w:pPr>
      <w:r>
        <w:rPr>
          <w:lang w:val="es-ES" w:eastAsia="es-ES"/>
        </w:rPr>
        <w:t>En c</w:t>
      </w:r>
      <w:r w:rsidR="00A15E14" w:rsidRPr="00A15E14">
        <w:rPr>
          <w:lang w:val="es-ES" w:eastAsia="es-ES"/>
        </w:rPr>
        <w:t>onclusión</w:t>
      </w:r>
      <w:r>
        <w:rPr>
          <w:lang w:val="es-ES" w:eastAsia="es-ES"/>
        </w:rPr>
        <w:t>, e</w:t>
      </w:r>
      <w:r w:rsidR="00A15E14" w:rsidRPr="00A15E14">
        <w:rPr>
          <w:lang w:val="es-ES" w:eastAsia="es-ES"/>
        </w:rPr>
        <w:t xml:space="preserve">l régimen de zonas francas en Colombia, basado en la normativa tributaria, aduanera y de comercio exterior, ofrece una plataforma sólida y flexible para optimizar las operaciones empresariales en áreas estratégicas como </w:t>
      </w:r>
      <w:r w:rsidR="00461D25">
        <w:rPr>
          <w:lang w:val="es-ES" w:eastAsia="es-ES"/>
        </w:rPr>
        <w:t xml:space="preserve">lo puede ser </w:t>
      </w:r>
      <w:r w:rsidR="00A15E14" w:rsidRPr="00A15E14">
        <w:rPr>
          <w:lang w:val="es-ES" w:eastAsia="es-ES"/>
        </w:rPr>
        <w:t>Aguachica - Cesar. La combinación de incentivos fiscales, facilidades aduaneras y beneficios para el comercio exterior convierte a las zonas francas en motores de desarrollo económico y competitividad internacional. Empresas que aprovechen estos incentivos podrán reducir costos, mejorar su competitividad y expandirse en mercados internacionales.</w:t>
      </w:r>
      <w:r>
        <w:rPr>
          <w:lang w:val="es-ES" w:eastAsia="es-ES"/>
        </w:rPr>
        <w:t xml:space="preserve"> </w:t>
      </w:r>
      <w:r w:rsidR="00A15E14" w:rsidRPr="00A15E14">
        <w:rPr>
          <w:lang w:val="es-ES" w:eastAsia="es-ES"/>
        </w:rPr>
        <w:t>La creación de una zona franca en Aguachica fortalecería la actividad económica de la región, facilitando el acceso a los mercados globales y promoviendo el desarrollo de sectores industriales clave, mientras se asegura el cumplimiento de las normativas gubernamentales que regulan su funcionamiento.</w:t>
      </w:r>
    </w:p>
    <w:p w14:paraId="6E125CF6" w14:textId="75361E51" w:rsidR="007E3A3F" w:rsidRDefault="007E3A3F" w:rsidP="0049276C">
      <w:pPr>
        <w:pStyle w:val="Ttulo3"/>
        <w:rPr>
          <w:lang w:val="es-ES" w:eastAsia="es-ES"/>
        </w:rPr>
      </w:pPr>
      <w:bookmarkStart w:id="66" w:name="_Toc183783052"/>
      <w:r w:rsidRPr="007E3A3F">
        <w:rPr>
          <w:lang w:val="es-ES" w:eastAsia="es-ES"/>
        </w:rPr>
        <w:lastRenderedPageBreak/>
        <w:t>Conclusiones</w:t>
      </w:r>
      <w:bookmarkEnd w:id="66"/>
    </w:p>
    <w:p w14:paraId="40A16DC3" w14:textId="77777777" w:rsidR="00E72E0E" w:rsidRPr="00E72E0E" w:rsidRDefault="00E72E0E" w:rsidP="00E72E0E">
      <w:pPr>
        <w:rPr>
          <w:lang w:val="es-ES" w:eastAsia="es-ES"/>
        </w:rPr>
      </w:pPr>
    </w:p>
    <w:p w14:paraId="3C4B31DD" w14:textId="4AB87CC2" w:rsidR="007E3A3F" w:rsidRPr="007E3A3F" w:rsidRDefault="007E3A3F" w:rsidP="0015136C">
      <w:pPr>
        <w:spacing w:line="480" w:lineRule="auto"/>
        <w:rPr>
          <w:lang w:val="es-ES" w:eastAsia="es-ES"/>
        </w:rPr>
      </w:pPr>
      <w:r w:rsidRPr="007E3A3F">
        <w:rPr>
          <w:lang w:val="es-ES" w:eastAsia="es-ES"/>
        </w:rPr>
        <w:t>La Ley 1004 de 2005 y su respectiva reglamentación proporcionan un entorno favorable para la creación de zonas francas en Colombia. Esta normativa ofrece importantes incentivos fiscales y aduaneros, tales como la reducción del impuesto sobre la renta al 20%, la exención del IVA, y la posibilidad de aplazar impuestos de importación hasta que los bienes ingresen al mercado local, lo cual hace que la propuesta de una Zona Franca en Aguachica sea altamente competitiva.</w:t>
      </w:r>
    </w:p>
    <w:p w14:paraId="351921D3" w14:textId="2296F10D" w:rsidR="007E3A3F" w:rsidRPr="007E3A3F" w:rsidRDefault="007E3A3F" w:rsidP="0015136C">
      <w:pPr>
        <w:spacing w:line="480" w:lineRule="auto"/>
        <w:rPr>
          <w:lang w:val="es-ES" w:eastAsia="es-ES"/>
        </w:rPr>
      </w:pPr>
      <w:r w:rsidRPr="007E3A3F">
        <w:rPr>
          <w:lang w:val="es-ES" w:eastAsia="es-ES"/>
        </w:rPr>
        <w:t>Además de estos incentivos, la ley establece un control riguroso sobre las operaciones dentro de la zona franca, garantizando la transparencia y cumplimiento de las normativas vigentes a través de auditorías, control de inventarios, y un régimen aduanero especial que facilita el comercio internacional. Esto es crucial para asegurar la confianza de los inversionistas y fomentar el desarrollo de la región.</w:t>
      </w:r>
    </w:p>
    <w:p w14:paraId="20337D83" w14:textId="77777777" w:rsidR="007E3A3F" w:rsidRPr="007E3A3F" w:rsidRDefault="007E3A3F" w:rsidP="0015136C">
      <w:pPr>
        <w:spacing w:line="480" w:lineRule="auto"/>
        <w:rPr>
          <w:lang w:val="es-ES" w:eastAsia="es-ES"/>
        </w:rPr>
      </w:pPr>
      <w:r w:rsidRPr="007E3A3F">
        <w:rPr>
          <w:lang w:val="es-ES" w:eastAsia="es-ES"/>
        </w:rPr>
        <w:t>La creación de una Zona Franca en Aguachica contribuiría significativamente al desarrollo económico de la región al actuar como un polo de atracción para nuevas inversiones y generación de empleo. Los beneficios de simplificación en los procedimientos comerciales y la flexibilidad en términos de comercio exterior potenciarían la competitividad tanto a nivel local como internacional, impulsando industrias clave como la manufactura, la logística y los servicios.</w:t>
      </w:r>
    </w:p>
    <w:p w14:paraId="0833E43F" w14:textId="526A151B" w:rsidR="007E3A3F" w:rsidRPr="007E3A3F" w:rsidRDefault="007E3A3F" w:rsidP="0015136C">
      <w:pPr>
        <w:spacing w:line="480" w:lineRule="auto"/>
        <w:rPr>
          <w:lang w:val="es-ES" w:eastAsia="es-ES"/>
        </w:rPr>
      </w:pPr>
      <w:r w:rsidRPr="007E3A3F">
        <w:rPr>
          <w:lang w:val="es-ES" w:eastAsia="es-ES"/>
        </w:rPr>
        <w:t>Sin embargo, para garantizar el éxito de este proyecto, es necesario que Aguachica cumpla con todos los requisitos establecidos en la normativa, como la localización precisa del área, un análisis de viabilidad económica robusto y la implementación de infraestructura adecuada. La gestión eficiente del operador de la zona franca también será determinante para el cumplimiento de los compromisos de inversión y empleo.</w:t>
      </w:r>
    </w:p>
    <w:p w14:paraId="01083BEE" w14:textId="77777777" w:rsidR="007E3A3F" w:rsidRDefault="007E3A3F" w:rsidP="0015136C">
      <w:pPr>
        <w:spacing w:line="480" w:lineRule="auto"/>
        <w:rPr>
          <w:lang w:val="es-ES" w:eastAsia="es-ES"/>
        </w:rPr>
      </w:pPr>
    </w:p>
    <w:p w14:paraId="0EED9736" w14:textId="66176185" w:rsidR="001971B9" w:rsidRDefault="001428CC" w:rsidP="0049276C">
      <w:pPr>
        <w:pStyle w:val="Ttulo2"/>
      </w:pPr>
      <w:bookmarkStart w:id="67" w:name="_Toc183783053"/>
      <w:r>
        <w:lastRenderedPageBreak/>
        <w:t>CARACTERIZACIÓN DE</w:t>
      </w:r>
      <w:r w:rsidR="00F22CC6" w:rsidRPr="0049276C">
        <w:t xml:space="preserve"> LAS ZONAS FRANCAS DE LA REGIÓN CARIBE COLOMBIANA EN RELACIÓN A SU BALANZA COMERCIAL.</w:t>
      </w:r>
      <w:bookmarkEnd w:id="67"/>
    </w:p>
    <w:p w14:paraId="2761B854" w14:textId="77777777" w:rsidR="00AF4A88" w:rsidRPr="00AF4A88" w:rsidRDefault="00AF4A88" w:rsidP="00AF4A88"/>
    <w:p w14:paraId="408BA781" w14:textId="3649092A" w:rsidR="00C27723" w:rsidRDefault="00C27723" w:rsidP="0049276C">
      <w:pPr>
        <w:spacing w:line="480" w:lineRule="auto"/>
        <w:rPr>
          <w:lang w:eastAsia="es-ES"/>
        </w:rPr>
      </w:pPr>
      <w:r>
        <w:rPr>
          <w:lang w:eastAsia="es-ES"/>
        </w:rPr>
        <w:t>La región caribe colombiana se ha convertido en un punto estratégico para el desarrollo económico del país, gracias a la creación de zonas francas que fomentan el comercio internacional y la inversión. Estas áreas, diseñadas para promover la competitividad y la atracción de capitales, desempeñan un papel fundamental en la economía regional al facilitar operaciones de importación y exportación, así como al incentivar la generación de empleo y el desarrollo industrial. Este apartado tiene como objetivo caracterizar las zonas francas de la región caribe colombiana, centrándose en su balanza comercial durante los años 2023 y 2024. A través del análisis de los datos obtenidos DANE sobre ingresos y salidas FOB, ingresos en CIF, así como las exportaciones e importaciones, se busca comprender cómo estas zonas contribuyen a la balanza comercial regional y nacional.</w:t>
      </w:r>
    </w:p>
    <w:p w14:paraId="0E23D717" w14:textId="68D92E82" w:rsidR="00C27723" w:rsidRDefault="00C27723" w:rsidP="0015136C">
      <w:pPr>
        <w:spacing w:line="480" w:lineRule="auto"/>
        <w:rPr>
          <w:lang w:eastAsia="es-ES"/>
        </w:rPr>
      </w:pPr>
      <w:r w:rsidRPr="0049276C">
        <w:rPr>
          <w:lang w:eastAsia="es-ES"/>
        </w:rPr>
        <w:t>La balanza comercial, que refleja la diferencia entre las exportaciones e importaciones, es un indicador clave del desempeño económico de estas zonas francas</w:t>
      </w:r>
      <w:r w:rsidR="0049276C" w:rsidRPr="0049276C">
        <w:rPr>
          <w:lang w:eastAsia="es-ES"/>
        </w:rPr>
        <w:t>.</w:t>
      </w:r>
      <w:r w:rsidRPr="0049276C">
        <w:rPr>
          <w:lang w:eastAsia="es-ES"/>
        </w:rPr>
        <w:t xml:space="preserve"> Un </w:t>
      </w:r>
      <w:r>
        <w:rPr>
          <w:lang w:eastAsia="es-ES"/>
        </w:rPr>
        <w:t>análisis detallado de estos aspectos permitirá identificar no solo las fortalezas y debilidades de cada zona franca, sino también las oportunidades de mejora y su impacto en el desarrollo sostenible de la región. En los siguientes apartados, se presentará una caracterización exhaustiva de cada zona franca, analizando sus cifras comerciales y comparando su desempeño en el contexto de la balanza comercial, con el fin de ofrecer una visión integral del papel que juegan en la economía caribeña y, por ende, en la economía colombiana.</w:t>
      </w:r>
    </w:p>
    <w:p w14:paraId="6EDA0D89" w14:textId="77777777" w:rsidR="0049276C" w:rsidRDefault="0049276C" w:rsidP="0015136C">
      <w:pPr>
        <w:spacing w:line="480" w:lineRule="auto"/>
        <w:rPr>
          <w:lang w:eastAsia="es-ES"/>
        </w:rPr>
      </w:pPr>
    </w:p>
    <w:p w14:paraId="4BCEBB86" w14:textId="508EBACF" w:rsidR="001971B9" w:rsidRDefault="001971B9" w:rsidP="0015136C">
      <w:pPr>
        <w:spacing w:line="480" w:lineRule="auto"/>
        <w:rPr>
          <w:lang w:eastAsia="es-ES"/>
        </w:rPr>
      </w:pPr>
    </w:p>
    <w:p w14:paraId="564E9C07" w14:textId="36680FF7" w:rsidR="0049276C" w:rsidRPr="0049276C" w:rsidRDefault="0049276C" w:rsidP="0049276C">
      <w:pPr>
        <w:pStyle w:val="Descripcin"/>
        <w:spacing w:after="0"/>
        <w:rPr>
          <w:b/>
          <w:bCs/>
          <w:i w:val="0"/>
          <w:iCs w:val="0"/>
          <w:color w:val="auto"/>
          <w:sz w:val="24"/>
          <w:szCs w:val="24"/>
        </w:rPr>
      </w:pPr>
      <w:bookmarkStart w:id="68" w:name="_Toc178689004"/>
      <w:bookmarkStart w:id="69" w:name="_Toc183783077"/>
      <w:r w:rsidRPr="0049276C">
        <w:rPr>
          <w:b/>
          <w:bCs/>
          <w:i w:val="0"/>
          <w:iCs w:val="0"/>
          <w:color w:val="auto"/>
          <w:sz w:val="24"/>
          <w:szCs w:val="24"/>
        </w:rPr>
        <w:lastRenderedPageBreak/>
        <w:t xml:space="preserve">Tabla </w:t>
      </w:r>
      <w:r w:rsidRPr="0049276C">
        <w:rPr>
          <w:b/>
          <w:bCs/>
          <w:i w:val="0"/>
          <w:iCs w:val="0"/>
          <w:color w:val="auto"/>
          <w:sz w:val="24"/>
          <w:szCs w:val="24"/>
        </w:rPr>
        <w:fldChar w:fldCharType="begin"/>
      </w:r>
      <w:r w:rsidRPr="0049276C">
        <w:rPr>
          <w:b/>
          <w:bCs/>
          <w:i w:val="0"/>
          <w:iCs w:val="0"/>
          <w:color w:val="auto"/>
          <w:sz w:val="24"/>
          <w:szCs w:val="24"/>
        </w:rPr>
        <w:instrText xml:space="preserve"> SEQ Tabla \* ARABIC </w:instrText>
      </w:r>
      <w:r w:rsidRPr="0049276C">
        <w:rPr>
          <w:b/>
          <w:bCs/>
          <w:i w:val="0"/>
          <w:iCs w:val="0"/>
          <w:color w:val="auto"/>
          <w:sz w:val="24"/>
          <w:szCs w:val="24"/>
        </w:rPr>
        <w:fldChar w:fldCharType="separate"/>
      </w:r>
      <w:r w:rsidR="00901E21">
        <w:rPr>
          <w:b/>
          <w:bCs/>
          <w:i w:val="0"/>
          <w:iCs w:val="0"/>
          <w:noProof/>
          <w:color w:val="auto"/>
          <w:sz w:val="24"/>
          <w:szCs w:val="24"/>
        </w:rPr>
        <w:t>6</w:t>
      </w:r>
      <w:r w:rsidRPr="0049276C">
        <w:rPr>
          <w:b/>
          <w:bCs/>
          <w:i w:val="0"/>
          <w:iCs w:val="0"/>
          <w:color w:val="auto"/>
          <w:sz w:val="24"/>
          <w:szCs w:val="24"/>
        </w:rPr>
        <w:fldChar w:fldCharType="end"/>
      </w:r>
      <w:r w:rsidRPr="0049276C">
        <w:rPr>
          <w:b/>
          <w:bCs/>
          <w:i w:val="0"/>
          <w:iCs w:val="0"/>
          <w:color w:val="auto"/>
          <w:sz w:val="24"/>
          <w:szCs w:val="24"/>
        </w:rPr>
        <w:t>:</w:t>
      </w:r>
      <w:bookmarkEnd w:id="68"/>
      <w:bookmarkEnd w:id="69"/>
      <w:r w:rsidRPr="0049276C">
        <w:rPr>
          <w:b/>
          <w:bCs/>
          <w:i w:val="0"/>
          <w:iCs w:val="0"/>
          <w:color w:val="auto"/>
          <w:sz w:val="24"/>
          <w:szCs w:val="24"/>
        </w:rPr>
        <w:t xml:space="preserve"> </w:t>
      </w:r>
    </w:p>
    <w:p w14:paraId="6ECB8841" w14:textId="7D2A3F36" w:rsidR="00C27723" w:rsidRPr="006C3145" w:rsidRDefault="0049276C" w:rsidP="0049276C">
      <w:pPr>
        <w:pStyle w:val="Descripcin"/>
        <w:spacing w:after="0"/>
        <w:rPr>
          <w:i w:val="0"/>
          <w:iCs w:val="0"/>
          <w:color w:val="auto"/>
          <w:sz w:val="24"/>
          <w:szCs w:val="24"/>
        </w:rPr>
      </w:pPr>
      <w:bookmarkStart w:id="70" w:name="_Toc178689005"/>
      <w:bookmarkStart w:id="71" w:name="_Toc183783078"/>
      <w:r w:rsidRPr="006C3145">
        <w:rPr>
          <w:i w:val="0"/>
          <w:iCs w:val="0"/>
          <w:color w:val="auto"/>
          <w:sz w:val="24"/>
          <w:szCs w:val="24"/>
        </w:rPr>
        <w:t>Cuadro: Ingresos Totales, según Zonas Francas - Miles de dólares CIF 2024/2023 (Junio)</w:t>
      </w:r>
      <w:bookmarkEnd w:id="70"/>
      <w:bookmarkEnd w:id="71"/>
    </w:p>
    <w:p w14:paraId="58C7F054" w14:textId="77777777" w:rsidR="0049276C" w:rsidRPr="0049276C" w:rsidRDefault="0049276C" w:rsidP="0049276C"/>
    <w:tbl>
      <w:tblPr>
        <w:tblW w:w="520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800"/>
        <w:gridCol w:w="1200"/>
        <w:gridCol w:w="1200"/>
      </w:tblGrid>
      <w:tr w:rsidR="00C27723" w:rsidRPr="00C27723" w14:paraId="161B89FA" w14:textId="77777777" w:rsidTr="0049276C">
        <w:trPr>
          <w:trHeight w:val="300"/>
          <w:jc w:val="center"/>
        </w:trPr>
        <w:tc>
          <w:tcPr>
            <w:tcW w:w="2800" w:type="dxa"/>
            <w:tcBorders>
              <w:top w:val="single" w:sz="4" w:space="0" w:color="auto"/>
              <w:bottom w:val="single" w:sz="4" w:space="0" w:color="auto"/>
            </w:tcBorders>
            <w:shd w:val="clear" w:color="auto" w:fill="auto"/>
            <w:vAlign w:val="center"/>
            <w:hideMark/>
          </w:tcPr>
          <w:p w14:paraId="36EBD5DD" w14:textId="77777777" w:rsidR="00C27723" w:rsidRPr="00C27723" w:rsidRDefault="00C27723" w:rsidP="0015136C">
            <w:pPr>
              <w:spacing w:after="0" w:line="480" w:lineRule="auto"/>
              <w:ind w:firstLine="0"/>
              <w:jc w:val="center"/>
              <w:rPr>
                <w:rFonts w:eastAsia="Times New Roman" w:cs="Times New Roman"/>
                <w:b/>
                <w:bCs/>
                <w:color w:val="000000"/>
                <w:kern w:val="0"/>
                <w:lang w:eastAsia="es-CO"/>
                <w14:ligatures w14:val="none"/>
              </w:rPr>
            </w:pPr>
            <w:r w:rsidRPr="00C27723">
              <w:rPr>
                <w:rFonts w:eastAsia="Times New Roman" w:cs="Times New Roman"/>
                <w:b/>
                <w:bCs/>
                <w:color w:val="000000"/>
                <w:kern w:val="0"/>
                <w:lang w:eastAsia="es-CO"/>
                <w14:ligatures w14:val="none"/>
              </w:rPr>
              <w:t>Zona Franca</w:t>
            </w:r>
          </w:p>
        </w:tc>
        <w:tc>
          <w:tcPr>
            <w:tcW w:w="1200" w:type="dxa"/>
            <w:tcBorders>
              <w:top w:val="single" w:sz="4" w:space="0" w:color="auto"/>
              <w:bottom w:val="single" w:sz="4" w:space="0" w:color="auto"/>
            </w:tcBorders>
            <w:shd w:val="clear" w:color="auto" w:fill="auto"/>
            <w:vAlign w:val="center"/>
            <w:hideMark/>
          </w:tcPr>
          <w:p w14:paraId="10784545" w14:textId="77777777" w:rsidR="00C27723" w:rsidRPr="00C27723" w:rsidRDefault="00C27723" w:rsidP="0015136C">
            <w:pPr>
              <w:spacing w:after="0" w:line="480" w:lineRule="auto"/>
              <w:ind w:firstLine="0"/>
              <w:jc w:val="center"/>
              <w:rPr>
                <w:rFonts w:eastAsia="Times New Roman" w:cs="Times New Roman"/>
                <w:b/>
                <w:bCs/>
                <w:color w:val="000000"/>
                <w:kern w:val="0"/>
                <w:lang w:eastAsia="es-CO"/>
                <w14:ligatures w14:val="none"/>
              </w:rPr>
            </w:pPr>
            <w:r w:rsidRPr="00C27723">
              <w:rPr>
                <w:rFonts w:eastAsia="Times New Roman" w:cs="Times New Roman"/>
                <w:b/>
                <w:bCs/>
                <w:color w:val="000000"/>
                <w:kern w:val="0"/>
                <w:lang w:eastAsia="es-CO"/>
                <w14:ligatures w14:val="none"/>
              </w:rPr>
              <w:t>2023</w:t>
            </w:r>
          </w:p>
        </w:tc>
        <w:tc>
          <w:tcPr>
            <w:tcW w:w="1200" w:type="dxa"/>
            <w:tcBorders>
              <w:top w:val="single" w:sz="4" w:space="0" w:color="auto"/>
              <w:bottom w:val="single" w:sz="4" w:space="0" w:color="auto"/>
            </w:tcBorders>
            <w:shd w:val="clear" w:color="auto" w:fill="auto"/>
            <w:vAlign w:val="center"/>
            <w:hideMark/>
          </w:tcPr>
          <w:p w14:paraId="71063491" w14:textId="77777777" w:rsidR="00C27723" w:rsidRPr="00C27723" w:rsidRDefault="00C27723" w:rsidP="0015136C">
            <w:pPr>
              <w:spacing w:after="0" w:line="480" w:lineRule="auto"/>
              <w:ind w:firstLine="0"/>
              <w:jc w:val="center"/>
              <w:rPr>
                <w:rFonts w:eastAsia="Times New Roman" w:cs="Times New Roman"/>
                <w:b/>
                <w:bCs/>
                <w:color w:val="000000"/>
                <w:kern w:val="0"/>
                <w:lang w:eastAsia="es-CO"/>
                <w14:ligatures w14:val="none"/>
              </w:rPr>
            </w:pPr>
            <w:r w:rsidRPr="00C27723">
              <w:rPr>
                <w:rFonts w:eastAsia="Times New Roman" w:cs="Times New Roman"/>
                <w:b/>
                <w:bCs/>
                <w:color w:val="000000"/>
                <w:kern w:val="0"/>
                <w:lang w:eastAsia="es-CO"/>
                <w14:ligatures w14:val="none"/>
              </w:rPr>
              <w:t>2024</w:t>
            </w:r>
          </w:p>
        </w:tc>
      </w:tr>
      <w:tr w:rsidR="00C27723" w:rsidRPr="00C27723" w14:paraId="7522D370" w14:textId="77777777" w:rsidTr="0049276C">
        <w:trPr>
          <w:trHeight w:val="600"/>
          <w:jc w:val="center"/>
        </w:trPr>
        <w:tc>
          <w:tcPr>
            <w:tcW w:w="2800" w:type="dxa"/>
            <w:tcBorders>
              <w:top w:val="single" w:sz="4" w:space="0" w:color="auto"/>
            </w:tcBorders>
            <w:shd w:val="clear" w:color="auto" w:fill="auto"/>
            <w:vAlign w:val="center"/>
            <w:hideMark/>
          </w:tcPr>
          <w:p w14:paraId="3988F37E"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ZFP Internacional del Atlántico</w:t>
            </w:r>
          </w:p>
        </w:tc>
        <w:tc>
          <w:tcPr>
            <w:tcW w:w="1200" w:type="dxa"/>
            <w:tcBorders>
              <w:top w:val="single" w:sz="4" w:space="0" w:color="auto"/>
            </w:tcBorders>
            <w:shd w:val="clear" w:color="auto" w:fill="auto"/>
            <w:vAlign w:val="center"/>
            <w:hideMark/>
          </w:tcPr>
          <w:p w14:paraId="55F2010A"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16,894.20</w:t>
            </w:r>
          </w:p>
        </w:tc>
        <w:tc>
          <w:tcPr>
            <w:tcW w:w="1200" w:type="dxa"/>
            <w:tcBorders>
              <w:top w:val="single" w:sz="4" w:space="0" w:color="auto"/>
            </w:tcBorders>
            <w:shd w:val="clear" w:color="auto" w:fill="auto"/>
            <w:vAlign w:val="center"/>
            <w:hideMark/>
          </w:tcPr>
          <w:p w14:paraId="401EB56C"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29,893.12</w:t>
            </w:r>
          </w:p>
        </w:tc>
      </w:tr>
      <w:tr w:rsidR="00C27723" w:rsidRPr="00C27723" w14:paraId="7FB8805F" w14:textId="77777777" w:rsidTr="0049276C">
        <w:trPr>
          <w:trHeight w:val="300"/>
          <w:jc w:val="center"/>
        </w:trPr>
        <w:tc>
          <w:tcPr>
            <w:tcW w:w="2800" w:type="dxa"/>
            <w:shd w:val="clear" w:color="auto" w:fill="auto"/>
            <w:vAlign w:val="center"/>
            <w:hideMark/>
          </w:tcPr>
          <w:p w14:paraId="54165C68"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ZFP Palermo</w:t>
            </w:r>
          </w:p>
        </w:tc>
        <w:tc>
          <w:tcPr>
            <w:tcW w:w="1200" w:type="dxa"/>
            <w:shd w:val="clear" w:color="auto" w:fill="auto"/>
            <w:vAlign w:val="center"/>
            <w:hideMark/>
          </w:tcPr>
          <w:p w14:paraId="78E3F132"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5,277.39</w:t>
            </w:r>
          </w:p>
        </w:tc>
        <w:tc>
          <w:tcPr>
            <w:tcW w:w="1200" w:type="dxa"/>
            <w:shd w:val="clear" w:color="auto" w:fill="auto"/>
            <w:vAlign w:val="center"/>
            <w:hideMark/>
          </w:tcPr>
          <w:p w14:paraId="5BA90F30"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12,428.02</w:t>
            </w:r>
          </w:p>
        </w:tc>
      </w:tr>
      <w:tr w:rsidR="00C27723" w:rsidRPr="00C27723" w14:paraId="4B4659ED" w14:textId="77777777" w:rsidTr="0049276C">
        <w:trPr>
          <w:trHeight w:val="300"/>
          <w:jc w:val="center"/>
        </w:trPr>
        <w:tc>
          <w:tcPr>
            <w:tcW w:w="2800" w:type="dxa"/>
            <w:shd w:val="clear" w:color="auto" w:fill="auto"/>
            <w:vAlign w:val="center"/>
            <w:hideMark/>
          </w:tcPr>
          <w:p w14:paraId="6421B7D8"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ZFP Barranquilla</w:t>
            </w:r>
          </w:p>
        </w:tc>
        <w:tc>
          <w:tcPr>
            <w:tcW w:w="1200" w:type="dxa"/>
            <w:shd w:val="clear" w:color="auto" w:fill="auto"/>
            <w:vAlign w:val="center"/>
            <w:hideMark/>
          </w:tcPr>
          <w:p w14:paraId="7C96B2B4"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67,681.04</w:t>
            </w:r>
          </w:p>
        </w:tc>
        <w:tc>
          <w:tcPr>
            <w:tcW w:w="1200" w:type="dxa"/>
            <w:shd w:val="clear" w:color="auto" w:fill="auto"/>
            <w:vAlign w:val="center"/>
            <w:hideMark/>
          </w:tcPr>
          <w:p w14:paraId="3C52B068"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73,974.90</w:t>
            </w:r>
          </w:p>
        </w:tc>
      </w:tr>
      <w:tr w:rsidR="00C27723" w:rsidRPr="00C27723" w14:paraId="18E16877" w14:textId="77777777" w:rsidTr="0049276C">
        <w:trPr>
          <w:trHeight w:val="300"/>
          <w:jc w:val="center"/>
        </w:trPr>
        <w:tc>
          <w:tcPr>
            <w:tcW w:w="2800" w:type="dxa"/>
            <w:shd w:val="clear" w:color="auto" w:fill="auto"/>
            <w:vAlign w:val="center"/>
            <w:hideMark/>
          </w:tcPr>
          <w:p w14:paraId="64F4B243"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ZFP Cartagena</w:t>
            </w:r>
          </w:p>
        </w:tc>
        <w:tc>
          <w:tcPr>
            <w:tcW w:w="1200" w:type="dxa"/>
            <w:shd w:val="clear" w:color="auto" w:fill="auto"/>
            <w:vAlign w:val="center"/>
            <w:hideMark/>
          </w:tcPr>
          <w:p w14:paraId="1A679407"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24,421.70</w:t>
            </w:r>
          </w:p>
        </w:tc>
        <w:tc>
          <w:tcPr>
            <w:tcW w:w="1200" w:type="dxa"/>
            <w:shd w:val="clear" w:color="auto" w:fill="auto"/>
            <w:vAlign w:val="center"/>
            <w:hideMark/>
          </w:tcPr>
          <w:p w14:paraId="12A6824C"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24,945.58</w:t>
            </w:r>
          </w:p>
        </w:tc>
      </w:tr>
      <w:tr w:rsidR="00C27723" w:rsidRPr="00C27723" w14:paraId="69ADD6C8" w14:textId="77777777" w:rsidTr="0049276C">
        <w:trPr>
          <w:trHeight w:val="300"/>
          <w:jc w:val="center"/>
        </w:trPr>
        <w:tc>
          <w:tcPr>
            <w:tcW w:w="2800" w:type="dxa"/>
            <w:shd w:val="clear" w:color="auto" w:fill="auto"/>
            <w:vAlign w:val="center"/>
            <w:hideMark/>
          </w:tcPr>
          <w:p w14:paraId="1A716251"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ZFP Tayrona</w:t>
            </w:r>
          </w:p>
        </w:tc>
        <w:tc>
          <w:tcPr>
            <w:tcW w:w="1200" w:type="dxa"/>
            <w:shd w:val="clear" w:color="auto" w:fill="auto"/>
            <w:vAlign w:val="center"/>
            <w:hideMark/>
          </w:tcPr>
          <w:p w14:paraId="0AD5830A"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34,923.26</w:t>
            </w:r>
          </w:p>
        </w:tc>
        <w:tc>
          <w:tcPr>
            <w:tcW w:w="1200" w:type="dxa"/>
            <w:shd w:val="clear" w:color="auto" w:fill="auto"/>
            <w:vAlign w:val="center"/>
            <w:hideMark/>
          </w:tcPr>
          <w:p w14:paraId="3C10C04B"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34,368.83</w:t>
            </w:r>
          </w:p>
        </w:tc>
      </w:tr>
      <w:tr w:rsidR="00C27723" w:rsidRPr="00C27723" w14:paraId="3C07642F" w14:textId="77777777" w:rsidTr="0049276C">
        <w:trPr>
          <w:trHeight w:val="300"/>
          <w:jc w:val="center"/>
        </w:trPr>
        <w:tc>
          <w:tcPr>
            <w:tcW w:w="2800" w:type="dxa"/>
            <w:shd w:val="clear" w:color="auto" w:fill="auto"/>
            <w:vAlign w:val="center"/>
            <w:hideMark/>
          </w:tcPr>
          <w:p w14:paraId="4D15B92E"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ZFP Santa Marta</w:t>
            </w:r>
          </w:p>
        </w:tc>
        <w:tc>
          <w:tcPr>
            <w:tcW w:w="1200" w:type="dxa"/>
            <w:shd w:val="clear" w:color="auto" w:fill="auto"/>
            <w:vAlign w:val="center"/>
            <w:hideMark/>
          </w:tcPr>
          <w:p w14:paraId="556E0395"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17,811.70</w:t>
            </w:r>
          </w:p>
        </w:tc>
        <w:tc>
          <w:tcPr>
            <w:tcW w:w="1200" w:type="dxa"/>
            <w:shd w:val="clear" w:color="auto" w:fill="auto"/>
            <w:vAlign w:val="center"/>
            <w:hideMark/>
          </w:tcPr>
          <w:p w14:paraId="788C5E37"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12,932.62</w:t>
            </w:r>
          </w:p>
        </w:tc>
      </w:tr>
      <w:tr w:rsidR="00C27723" w:rsidRPr="00C27723" w14:paraId="24586947" w14:textId="77777777" w:rsidTr="0049276C">
        <w:trPr>
          <w:trHeight w:val="300"/>
          <w:jc w:val="center"/>
        </w:trPr>
        <w:tc>
          <w:tcPr>
            <w:tcW w:w="2800" w:type="dxa"/>
            <w:shd w:val="clear" w:color="auto" w:fill="auto"/>
            <w:vAlign w:val="center"/>
            <w:hideMark/>
          </w:tcPr>
          <w:p w14:paraId="029B30D3"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ZFP la Cayena</w:t>
            </w:r>
          </w:p>
        </w:tc>
        <w:tc>
          <w:tcPr>
            <w:tcW w:w="1200" w:type="dxa"/>
            <w:shd w:val="clear" w:color="auto" w:fill="auto"/>
            <w:vAlign w:val="center"/>
            <w:hideMark/>
          </w:tcPr>
          <w:p w14:paraId="16ACC8A6"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33,197.66</w:t>
            </w:r>
          </w:p>
        </w:tc>
        <w:tc>
          <w:tcPr>
            <w:tcW w:w="1200" w:type="dxa"/>
            <w:shd w:val="clear" w:color="auto" w:fill="auto"/>
            <w:vAlign w:val="center"/>
            <w:hideMark/>
          </w:tcPr>
          <w:p w14:paraId="7D9A5268" w14:textId="77777777" w:rsidR="00C27723" w:rsidRPr="00C27723" w:rsidRDefault="00C27723" w:rsidP="0015136C">
            <w:pPr>
              <w:spacing w:after="0" w:line="480" w:lineRule="auto"/>
              <w:ind w:firstLine="0"/>
              <w:jc w:val="center"/>
              <w:rPr>
                <w:rFonts w:eastAsia="Times New Roman" w:cs="Times New Roman"/>
                <w:color w:val="000000"/>
                <w:kern w:val="0"/>
                <w:lang w:eastAsia="es-CO"/>
                <w14:ligatures w14:val="none"/>
              </w:rPr>
            </w:pPr>
            <w:r w:rsidRPr="00C27723">
              <w:rPr>
                <w:rFonts w:eastAsia="Times New Roman" w:cs="Times New Roman"/>
                <w:color w:val="000000"/>
                <w:kern w:val="0"/>
                <w:lang w:eastAsia="es-CO"/>
                <w14:ligatures w14:val="none"/>
              </w:rPr>
              <w:t>27,460.75</w:t>
            </w:r>
          </w:p>
        </w:tc>
      </w:tr>
    </w:tbl>
    <w:p w14:paraId="54DF9602" w14:textId="2462DAE4" w:rsidR="003071C6" w:rsidRDefault="0050758B" w:rsidP="0015136C">
      <w:pPr>
        <w:spacing w:line="480" w:lineRule="auto"/>
        <w:jc w:val="center"/>
        <w:rPr>
          <w:lang w:eastAsia="es-ES"/>
        </w:rPr>
      </w:pPr>
      <w:r>
        <w:rPr>
          <w:lang w:eastAsia="es-ES"/>
        </w:rPr>
        <w:t>Nota: Elaboración propia, a partir de da datos del DANE</w:t>
      </w:r>
    </w:p>
    <w:p w14:paraId="16C9649E" w14:textId="7D8C32C9" w:rsidR="00C27723" w:rsidRDefault="00461D25" w:rsidP="0015136C">
      <w:pPr>
        <w:spacing w:line="480" w:lineRule="auto"/>
        <w:rPr>
          <w:lang w:eastAsia="es-ES"/>
        </w:rPr>
      </w:pPr>
      <w:r>
        <w:rPr>
          <w:lang w:eastAsia="es-ES"/>
        </w:rPr>
        <w:t>El análisis</w:t>
      </w:r>
      <w:r w:rsidR="00C27723">
        <w:rPr>
          <w:lang w:eastAsia="es-ES"/>
        </w:rPr>
        <w:t xml:space="preserve"> de los ingresos totales de las zonas francas en la región caribeña de Colombia para los años 2023 y 2024 presenta un panorama económico variado. En primer lugar, la Zona Franca Permanente Internacional del Atlántico ha experimentado un notable aumento de aproximadamente 12.998,92 millones de dólares, lo que equivale a un crecimiento del 76,9%. Este incremento sugiere una intensificación de la actividad comercial y la posible atracción de nuevas inversiones, lo que podría crear un entorno empresarial más favorable.</w:t>
      </w:r>
    </w:p>
    <w:p w14:paraId="0D11819E" w14:textId="40825676" w:rsidR="00C27723" w:rsidRDefault="00C27723" w:rsidP="0015136C">
      <w:pPr>
        <w:spacing w:line="480" w:lineRule="auto"/>
        <w:rPr>
          <w:lang w:eastAsia="es-ES"/>
        </w:rPr>
      </w:pPr>
      <w:r>
        <w:rPr>
          <w:lang w:eastAsia="es-ES"/>
        </w:rPr>
        <w:t>Por otro lado, la Zona Franca Palermo ha mostrado un crecimiento impresionante de 7.150,63 millones de dólares, lo que representa un aumento del 135,6%. Este avance no solo resalta el potencial de esta zona franca, sino que también indica una mayor atracción de empresas y actividades comerciales que podrían ser fundamentales para el desarrollo económico regional.</w:t>
      </w:r>
      <w:r w:rsidR="00461D25">
        <w:rPr>
          <w:lang w:eastAsia="es-ES"/>
        </w:rPr>
        <w:t xml:space="preserve"> </w:t>
      </w:r>
      <w:r>
        <w:rPr>
          <w:lang w:eastAsia="es-ES"/>
        </w:rPr>
        <w:t xml:space="preserve">En contraste, la Zona Franca Barranquilla, aunque continúa siendo la que reporta los ingresos más </w:t>
      </w:r>
      <w:r>
        <w:rPr>
          <w:lang w:eastAsia="es-ES"/>
        </w:rPr>
        <w:lastRenderedPageBreak/>
        <w:t>altos, presenta un crecimiento modesto de solo 6.293,86 millones de dólares, equivalente al 9,3%. Este estancamiento sugiere que esta zona ha alcanzado una fase de madurez, donde las oportunidades de expansión pueden ser más limitadas, requiriendo innovaciones y mejoras en la competitividad para mantener su posición predominante.</w:t>
      </w:r>
    </w:p>
    <w:p w14:paraId="73A65027" w14:textId="77777777" w:rsidR="00C27723" w:rsidRDefault="00C27723" w:rsidP="0015136C">
      <w:pPr>
        <w:spacing w:line="480" w:lineRule="auto"/>
        <w:rPr>
          <w:lang w:eastAsia="es-ES"/>
        </w:rPr>
      </w:pPr>
      <w:r>
        <w:rPr>
          <w:lang w:eastAsia="es-ES"/>
        </w:rPr>
        <w:t>La situación en la Zona Franca Cartagena es relativamente estable, con un incremento marginal de 523,88 millones de dólares. Sin embargo, el bajo crecimiento de solo un 2,1% puede indicar desafíos para atraer inversiones y mejorar su rendimiento comercial. En el caso de la Zona Franca Tayrona, se observa una disminución de 554,43 millones de dólares, correspondiente a una caída del 1,6%. Esta situación es preocupante y podría ser indicativa de problemas estructurales o de competencia que necesitan ser analizados detenidamente.</w:t>
      </w:r>
    </w:p>
    <w:p w14:paraId="208AB055" w14:textId="4E5DEC7E" w:rsidR="003071C6" w:rsidRDefault="00C27723" w:rsidP="0015136C">
      <w:pPr>
        <w:spacing w:line="480" w:lineRule="auto"/>
        <w:rPr>
          <w:lang w:eastAsia="es-ES"/>
        </w:rPr>
      </w:pPr>
      <w:r>
        <w:rPr>
          <w:lang w:eastAsia="es-ES"/>
        </w:rPr>
        <w:t>Finalmente, las Zonas Francas Santa Marta y La Cayena enfrentan los mayores desafíos, con caídas significativas en sus ingresos de 4.879,08 millones de dólares (-27,4%) y 5.736,91 millones de dólares (-17,3%), respectivamente. Estas reducciones destacan la necesidad urgente de implementar estrategias para revertir el rendimiento decreciente y abordar las posibles causas que afectan su competitividad en el mercado.</w:t>
      </w:r>
    </w:p>
    <w:p w14:paraId="5FE3E6A6" w14:textId="43FBD322" w:rsidR="0049276C" w:rsidRPr="0049276C" w:rsidRDefault="0049276C" w:rsidP="0049276C">
      <w:pPr>
        <w:pStyle w:val="Descripcin"/>
        <w:spacing w:after="0"/>
        <w:rPr>
          <w:rFonts w:cs="Times New Roman"/>
          <w:b/>
          <w:bCs/>
          <w:i w:val="0"/>
          <w:iCs w:val="0"/>
          <w:color w:val="auto"/>
          <w:sz w:val="24"/>
          <w:szCs w:val="22"/>
          <w:lang w:eastAsia="es-ES"/>
        </w:rPr>
      </w:pPr>
      <w:bookmarkStart w:id="72" w:name="_Toc178689006"/>
      <w:bookmarkStart w:id="73" w:name="_Toc183783079"/>
      <w:r w:rsidRPr="0049276C">
        <w:rPr>
          <w:rFonts w:cs="Times New Roman"/>
          <w:b/>
          <w:bCs/>
          <w:i w:val="0"/>
          <w:iCs w:val="0"/>
          <w:color w:val="auto"/>
          <w:sz w:val="24"/>
          <w:szCs w:val="22"/>
          <w:lang w:eastAsia="es-ES"/>
        </w:rPr>
        <w:t xml:space="preserve">Tabla </w:t>
      </w:r>
      <w:r w:rsidRPr="0049276C">
        <w:rPr>
          <w:rFonts w:cs="Times New Roman"/>
          <w:b/>
          <w:bCs/>
          <w:i w:val="0"/>
          <w:iCs w:val="0"/>
          <w:color w:val="auto"/>
          <w:sz w:val="24"/>
          <w:szCs w:val="22"/>
          <w:lang w:eastAsia="es-ES"/>
        </w:rPr>
        <w:fldChar w:fldCharType="begin"/>
      </w:r>
      <w:r w:rsidRPr="0049276C">
        <w:rPr>
          <w:rFonts w:cs="Times New Roman"/>
          <w:b/>
          <w:bCs/>
          <w:i w:val="0"/>
          <w:iCs w:val="0"/>
          <w:color w:val="auto"/>
          <w:sz w:val="24"/>
          <w:szCs w:val="22"/>
          <w:lang w:eastAsia="es-ES"/>
        </w:rPr>
        <w:instrText xml:space="preserve"> SEQ Tabla \* ARABIC </w:instrText>
      </w:r>
      <w:r w:rsidRPr="0049276C">
        <w:rPr>
          <w:rFonts w:cs="Times New Roman"/>
          <w:b/>
          <w:bCs/>
          <w:i w:val="0"/>
          <w:iCs w:val="0"/>
          <w:color w:val="auto"/>
          <w:sz w:val="24"/>
          <w:szCs w:val="22"/>
          <w:lang w:eastAsia="es-ES"/>
        </w:rPr>
        <w:fldChar w:fldCharType="separate"/>
      </w:r>
      <w:r w:rsidR="00901E21">
        <w:rPr>
          <w:rFonts w:cs="Times New Roman"/>
          <w:b/>
          <w:bCs/>
          <w:i w:val="0"/>
          <w:iCs w:val="0"/>
          <w:noProof/>
          <w:color w:val="auto"/>
          <w:sz w:val="24"/>
          <w:szCs w:val="22"/>
          <w:lang w:eastAsia="es-ES"/>
        </w:rPr>
        <w:t>7</w:t>
      </w:r>
      <w:r w:rsidRPr="0049276C">
        <w:rPr>
          <w:rFonts w:cs="Times New Roman"/>
          <w:b/>
          <w:bCs/>
          <w:i w:val="0"/>
          <w:iCs w:val="0"/>
          <w:color w:val="auto"/>
          <w:sz w:val="24"/>
          <w:szCs w:val="22"/>
          <w:lang w:eastAsia="es-ES"/>
        </w:rPr>
        <w:fldChar w:fldCharType="end"/>
      </w:r>
      <w:r w:rsidRPr="0049276C">
        <w:rPr>
          <w:rFonts w:cs="Times New Roman"/>
          <w:b/>
          <w:bCs/>
          <w:i w:val="0"/>
          <w:iCs w:val="0"/>
          <w:color w:val="auto"/>
          <w:sz w:val="24"/>
          <w:szCs w:val="22"/>
          <w:lang w:eastAsia="es-ES"/>
        </w:rPr>
        <w:t>:</w:t>
      </w:r>
      <w:bookmarkEnd w:id="72"/>
      <w:bookmarkEnd w:id="73"/>
    </w:p>
    <w:p w14:paraId="039B6C0C" w14:textId="424C52A3" w:rsidR="003071C6" w:rsidRPr="006C3145" w:rsidRDefault="0049276C" w:rsidP="0049276C">
      <w:pPr>
        <w:pStyle w:val="Descripcin"/>
        <w:spacing w:after="0"/>
        <w:ind w:firstLine="708"/>
        <w:rPr>
          <w:rFonts w:cs="Times New Roman"/>
          <w:i w:val="0"/>
          <w:iCs w:val="0"/>
          <w:color w:val="auto"/>
          <w:sz w:val="24"/>
          <w:szCs w:val="22"/>
          <w:lang w:eastAsia="es-ES"/>
        </w:rPr>
      </w:pPr>
      <w:bookmarkStart w:id="74" w:name="_Toc178689007"/>
      <w:bookmarkStart w:id="75" w:name="_Toc183783080"/>
      <w:r w:rsidRPr="006C3145">
        <w:rPr>
          <w:rFonts w:cs="Times New Roman"/>
          <w:i w:val="0"/>
          <w:iCs w:val="0"/>
          <w:color w:val="auto"/>
          <w:sz w:val="24"/>
          <w:szCs w:val="22"/>
          <w:lang w:eastAsia="es-ES"/>
        </w:rPr>
        <w:t>Ingresos Totales, según Zonas Francas - Toneladas Métricas 2024/2023 (Junio)</w:t>
      </w:r>
      <w:bookmarkEnd w:id="74"/>
      <w:bookmarkEnd w:id="75"/>
    </w:p>
    <w:p w14:paraId="050B04FF" w14:textId="77777777" w:rsidR="0049276C" w:rsidRPr="0049276C" w:rsidRDefault="0049276C" w:rsidP="0049276C">
      <w:pPr>
        <w:rPr>
          <w:lang w:eastAsia="es-ES"/>
        </w:rPr>
      </w:pPr>
    </w:p>
    <w:tbl>
      <w:tblPr>
        <w:tblW w:w="600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600"/>
        <w:gridCol w:w="1200"/>
        <w:gridCol w:w="1200"/>
      </w:tblGrid>
      <w:tr w:rsidR="00D06D27" w:rsidRPr="0049276C" w14:paraId="1B4B6134" w14:textId="77777777" w:rsidTr="0049276C">
        <w:trPr>
          <w:trHeight w:val="300"/>
          <w:jc w:val="center"/>
        </w:trPr>
        <w:tc>
          <w:tcPr>
            <w:tcW w:w="3600" w:type="dxa"/>
            <w:tcBorders>
              <w:top w:val="single" w:sz="4" w:space="0" w:color="auto"/>
              <w:bottom w:val="single" w:sz="4" w:space="0" w:color="auto"/>
            </w:tcBorders>
            <w:shd w:val="clear" w:color="auto" w:fill="auto"/>
            <w:vAlign w:val="center"/>
            <w:hideMark/>
          </w:tcPr>
          <w:p w14:paraId="633F0F94" w14:textId="77777777" w:rsidR="00D06D27" w:rsidRPr="0049276C" w:rsidRDefault="00D06D27" w:rsidP="0015136C">
            <w:pPr>
              <w:spacing w:after="0" w:line="480" w:lineRule="auto"/>
              <w:ind w:firstLine="0"/>
              <w:jc w:val="center"/>
              <w:rPr>
                <w:rFonts w:eastAsia="Times New Roman" w:cs="Times New Roman"/>
                <w:b/>
                <w:bCs/>
                <w:color w:val="000000"/>
                <w:kern w:val="0"/>
                <w:sz w:val="22"/>
                <w:lang w:eastAsia="es-CO"/>
                <w14:ligatures w14:val="none"/>
              </w:rPr>
            </w:pPr>
            <w:r w:rsidRPr="0049276C">
              <w:rPr>
                <w:rFonts w:eastAsia="Times New Roman" w:cs="Times New Roman"/>
                <w:b/>
                <w:bCs/>
                <w:color w:val="000000"/>
                <w:kern w:val="0"/>
                <w:sz w:val="22"/>
                <w:lang w:eastAsia="es-CO"/>
                <w14:ligatures w14:val="none"/>
              </w:rPr>
              <w:t>Zona Franca</w:t>
            </w:r>
          </w:p>
        </w:tc>
        <w:tc>
          <w:tcPr>
            <w:tcW w:w="1200" w:type="dxa"/>
            <w:tcBorders>
              <w:top w:val="single" w:sz="4" w:space="0" w:color="auto"/>
              <w:bottom w:val="single" w:sz="4" w:space="0" w:color="auto"/>
            </w:tcBorders>
            <w:shd w:val="clear" w:color="auto" w:fill="auto"/>
            <w:vAlign w:val="center"/>
            <w:hideMark/>
          </w:tcPr>
          <w:p w14:paraId="05459E80" w14:textId="77777777" w:rsidR="00D06D27" w:rsidRPr="0049276C" w:rsidRDefault="00D06D27" w:rsidP="0015136C">
            <w:pPr>
              <w:spacing w:after="0" w:line="480" w:lineRule="auto"/>
              <w:ind w:firstLine="0"/>
              <w:jc w:val="center"/>
              <w:rPr>
                <w:rFonts w:eastAsia="Times New Roman" w:cs="Times New Roman"/>
                <w:b/>
                <w:bCs/>
                <w:color w:val="000000"/>
                <w:kern w:val="0"/>
                <w:sz w:val="22"/>
                <w:lang w:eastAsia="es-CO"/>
                <w14:ligatures w14:val="none"/>
              </w:rPr>
            </w:pPr>
            <w:r w:rsidRPr="0049276C">
              <w:rPr>
                <w:rFonts w:eastAsia="Times New Roman" w:cs="Times New Roman"/>
                <w:b/>
                <w:bCs/>
                <w:color w:val="000000"/>
                <w:kern w:val="0"/>
                <w:sz w:val="22"/>
                <w:lang w:eastAsia="es-CO"/>
                <w14:ligatures w14:val="none"/>
              </w:rPr>
              <w:t>2023</w:t>
            </w:r>
          </w:p>
        </w:tc>
        <w:tc>
          <w:tcPr>
            <w:tcW w:w="1200" w:type="dxa"/>
            <w:tcBorders>
              <w:top w:val="single" w:sz="4" w:space="0" w:color="auto"/>
              <w:bottom w:val="single" w:sz="4" w:space="0" w:color="auto"/>
            </w:tcBorders>
            <w:shd w:val="clear" w:color="auto" w:fill="auto"/>
            <w:vAlign w:val="center"/>
            <w:hideMark/>
          </w:tcPr>
          <w:p w14:paraId="5ADE4008" w14:textId="77777777" w:rsidR="00D06D27" w:rsidRPr="0049276C" w:rsidRDefault="00D06D27" w:rsidP="0015136C">
            <w:pPr>
              <w:spacing w:after="0" w:line="480" w:lineRule="auto"/>
              <w:ind w:firstLine="0"/>
              <w:jc w:val="center"/>
              <w:rPr>
                <w:rFonts w:eastAsia="Times New Roman" w:cs="Times New Roman"/>
                <w:b/>
                <w:bCs/>
                <w:color w:val="000000"/>
                <w:kern w:val="0"/>
                <w:sz w:val="22"/>
                <w:lang w:eastAsia="es-CO"/>
                <w14:ligatures w14:val="none"/>
              </w:rPr>
            </w:pPr>
            <w:r w:rsidRPr="0049276C">
              <w:rPr>
                <w:rFonts w:eastAsia="Times New Roman" w:cs="Times New Roman"/>
                <w:b/>
                <w:bCs/>
                <w:color w:val="000000"/>
                <w:kern w:val="0"/>
                <w:sz w:val="22"/>
                <w:lang w:eastAsia="es-CO"/>
                <w14:ligatures w14:val="none"/>
              </w:rPr>
              <w:t>2024</w:t>
            </w:r>
          </w:p>
        </w:tc>
      </w:tr>
      <w:tr w:rsidR="00D06D27" w:rsidRPr="0049276C" w14:paraId="25947B72" w14:textId="77777777" w:rsidTr="0049276C">
        <w:trPr>
          <w:trHeight w:val="600"/>
          <w:jc w:val="center"/>
        </w:trPr>
        <w:tc>
          <w:tcPr>
            <w:tcW w:w="3600" w:type="dxa"/>
            <w:tcBorders>
              <w:top w:val="single" w:sz="4" w:space="0" w:color="auto"/>
            </w:tcBorders>
            <w:shd w:val="clear" w:color="auto" w:fill="auto"/>
            <w:vAlign w:val="center"/>
            <w:hideMark/>
          </w:tcPr>
          <w:p w14:paraId="35DCC9C1"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ZFP Parque Industrial FEMSA</w:t>
            </w:r>
          </w:p>
        </w:tc>
        <w:tc>
          <w:tcPr>
            <w:tcW w:w="1200" w:type="dxa"/>
            <w:tcBorders>
              <w:top w:val="single" w:sz="4" w:space="0" w:color="auto"/>
            </w:tcBorders>
            <w:shd w:val="clear" w:color="auto" w:fill="auto"/>
            <w:vAlign w:val="center"/>
            <w:hideMark/>
          </w:tcPr>
          <w:p w14:paraId="7234BDFD"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345,473.50</w:t>
            </w:r>
          </w:p>
        </w:tc>
        <w:tc>
          <w:tcPr>
            <w:tcW w:w="1200" w:type="dxa"/>
            <w:tcBorders>
              <w:top w:val="single" w:sz="4" w:space="0" w:color="auto"/>
            </w:tcBorders>
            <w:shd w:val="clear" w:color="auto" w:fill="auto"/>
            <w:vAlign w:val="center"/>
            <w:hideMark/>
          </w:tcPr>
          <w:p w14:paraId="6C697AAF"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264,930.30</w:t>
            </w:r>
          </w:p>
        </w:tc>
      </w:tr>
      <w:tr w:rsidR="00D06D27" w:rsidRPr="0049276C" w14:paraId="758C66EC" w14:textId="77777777" w:rsidTr="0049276C">
        <w:trPr>
          <w:trHeight w:val="300"/>
          <w:jc w:val="center"/>
        </w:trPr>
        <w:tc>
          <w:tcPr>
            <w:tcW w:w="3600" w:type="dxa"/>
            <w:shd w:val="clear" w:color="auto" w:fill="auto"/>
            <w:vAlign w:val="center"/>
            <w:hideMark/>
          </w:tcPr>
          <w:p w14:paraId="4C507F3B"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ZFP Parque Central</w:t>
            </w:r>
          </w:p>
        </w:tc>
        <w:tc>
          <w:tcPr>
            <w:tcW w:w="1200" w:type="dxa"/>
            <w:shd w:val="clear" w:color="auto" w:fill="auto"/>
            <w:vAlign w:val="center"/>
            <w:hideMark/>
          </w:tcPr>
          <w:p w14:paraId="472DEAD3"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69,697.61</w:t>
            </w:r>
          </w:p>
        </w:tc>
        <w:tc>
          <w:tcPr>
            <w:tcW w:w="1200" w:type="dxa"/>
            <w:shd w:val="clear" w:color="auto" w:fill="auto"/>
            <w:vAlign w:val="center"/>
            <w:hideMark/>
          </w:tcPr>
          <w:p w14:paraId="47968C2D"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53,160.90</w:t>
            </w:r>
          </w:p>
        </w:tc>
      </w:tr>
      <w:tr w:rsidR="00D06D27" w:rsidRPr="0049276C" w14:paraId="11CFFB78" w14:textId="77777777" w:rsidTr="0049276C">
        <w:trPr>
          <w:trHeight w:val="600"/>
          <w:jc w:val="center"/>
        </w:trPr>
        <w:tc>
          <w:tcPr>
            <w:tcW w:w="3600" w:type="dxa"/>
            <w:shd w:val="clear" w:color="auto" w:fill="auto"/>
            <w:vAlign w:val="center"/>
            <w:hideMark/>
          </w:tcPr>
          <w:p w14:paraId="26555E00"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ZFP Internacional del Atlántico</w:t>
            </w:r>
          </w:p>
        </w:tc>
        <w:tc>
          <w:tcPr>
            <w:tcW w:w="1200" w:type="dxa"/>
            <w:shd w:val="clear" w:color="auto" w:fill="auto"/>
            <w:vAlign w:val="center"/>
            <w:hideMark/>
          </w:tcPr>
          <w:p w14:paraId="3403FFFD"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25,297.24</w:t>
            </w:r>
          </w:p>
        </w:tc>
        <w:tc>
          <w:tcPr>
            <w:tcW w:w="1200" w:type="dxa"/>
            <w:shd w:val="clear" w:color="auto" w:fill="auto"/>
            <w:vAlign w:val="center"/>
            <w:hideMark/>
          </w:tcPr>
          <w:p w14:paraId="18806C85"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11,931.96</w:t>
            </w:r>
          </w:p>
        </w:tc>
      </w:tr>
      <w:tr w:rsidR="00D06D27" w:rsidRPr="0049276C" w14:paraId="34F5146C" w14:textId="77777777" w:rsidTr="0049276C">
        <w:trPr>
          <w:trHeight w:val="300"/>
          <w:jc w:val="center"/>
        </w:trPr>
        <w:tc>
          <w:tcPr>
            <w:tcW w:w="3600" w:type="dxa"/>
            <w:shd w:val="clear" w:color="auto" w:fill="auto"/>
            <w:vAlign w:val="center"/>
            <w:hideMark/>
          </w:tcPr>
          <w:p w14:paraId="72EED334"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ZFP Santa Marta</w:t>
            </w:r>
          </w:p>
        </w:tc>
        <w:tc>
          <w:tcPr>
            <w:tcW w:w="1200" w:type="dxa"/>
            <w:shd w:val="clear" w:color="auto" w:fill="auto"/>
            <w:vAlign w:val="center"/>
            <w:hideMark/>
          </w:tcPr>
          <w:p w14:paraId="4F295CF6"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30,455.54</w:t>
            </w:r>
          </w:p>
        </w:tc>
        <w:tc>
          <w:tcPr>
            <w:tcW w:w="1200" w:type="dxa"/>
            <w:shd w:val="clear" w:color="auto" w:fill="auto"/>
            <w:vAlign w:val="center"/>
            <w:hideMark/>
          </w:tcPr>
          <w:p w14:paraId="00E038F1"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27,184.87</w:t>
            </w:r>
          </w:p>
        </w:tc>
      </w:tr>
      <w:tr w:rsidR="00D06D27" w:rsidRPr="0049276C" w14:paraId="4CCC5238" w14:textId="77777777" w:rsidTr="0049276C">
        <w:trPr>
          <w:trHeight w:val="300"/>
          <w:jc w:val="center"/>
        </w:trPr>
        <w:tc>
          <w:tcPr>
            <w:tcW w:w="3600" w:type="dxa"/>
            <w:shd w:val="clear" w:color="auto" w:fill="auto"/>
            <w:vAlign w:val="center"/>
            <w:hideMark/>
          </w:tcPr>
          <w:p w14:paraId="391D46C8"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lastRenderedPageBreak/>
              <w:t>ZFP la Cayena</w:t>
            </w:r>
          </w:p>
        </w:tc>
        <w:tc>
          <w:tcPr>
            <w:tcW w:w="1200" w:type="dxa"/>
            <w:shd w:val="clear" w:color="auto" w:fill="auto"/>
            <w:vAlign w:val="center"/>
            <w:hideMark/>
          </w:tcPr>
          <w:p w14:paraId="333139F1"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40,555.21</w:t>
            </w:r>
          </w:p>
        </w:tc>
        <w:tc>
          <w:tcPr>
            <w:tcW w:w="1200" w:type="dxa"/>
            <w:shd w:val="clear" w:color="auto" w:fill="auto"/>
            <w:vAlign w:val="center"/>
            <w:hideMark/>
          </w:tcPr>
          <w:p w14:paraId="02889517"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48,259.16</w:t>
            </w:r>
          </w:p>
        </w:tc>
      </w:tr>
      <w:tr w:rsidR="00D06D27" w:rsidRPr="0049276C" w14:paraId="6EAAB230" w14:textId="77777777" w:rsidTr="0049276C">
        <w:trPr>
          <w:trHeight w:val="300"/>
          <w:jc w:val="center"/>
        </w:trPr>
        <w:tc>
          <w:tcPr>
            <w:tcW w:w="3600" w:type="dxa"/>
            <w:shd w:val="clear" w:color="auto" w:fill="auto"/>
            <w:vAlign w:val="center"/>
            <w:hideMark/>
          </w:tcPr>
          <w:p w14:paraId="557B1765"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ZFP Barranquilla</w:t>
            </w:r>
          </w:p>
        </w:tc>
        <w:tc>
          <w:tcPr>
            <w:tcW w:w="1200" w:type="dxa"/>
            <w:shd w:val="clear" w:color="auto" w:fill="auto"/>
            <w:vAlign w:val="center"/>
            <w:hideMark/>
          </w:tcPr>
          <w:p w14:paraId="6E3D617E"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116,441.26</w:t>
            </w:r>
          </w:p>
        </w:tc>
        <w:tc>
          <w:tcPr>
            <w:tcW w:w="1200" w:type="dxa"/>
            <w:shd w:val="clear" w:color="auto" w:fill="auto"/>
            <w:vAlign w:val="center"/>
            <w:hideMark/>
          </w:tcPr>
          <w:p w14:paraId="43D21CE1" w14:textId="77777777" w:rsidR="00D06D27" w:rsidRPr="0049276C" w:rsidRDefault="00D06D27" w:rsidP="0015136C">
            <w:pPr>
              <w:spacing w:after="0" w:line="480" w:lineRule="auto"/>
              <w:ind w:firstLine="0"/>
              <w:rPr>
                <w:rFonts w:eastAsia="Times New Roman" w:cs="Times New Roman"/>
                <w:color w:val="000000"/>
                <w:kern w:val="0"/>
                <w:sz w:val="22"/>
                <w:lang w:eastAsia="es-CO"/>
                <w14:ligatures w14:val="none"/>
              </w:rPr>
            </w:pPr>
            <w:r w:rsidRPr="0049276C">
              <w:rPr>
                <w:rFonts w:eastAsia="Times New Roman" w:cs="Times New Roman"/>
                <w:color w:val="000000"/>
                <w:kern w:val="0"/>
                <w:sz w:val="22"/>
                <w:lang w:eastAsia="es-CO"/>
                <w14:ligatures w14:val="none"/>
              </w:rPr>
              <w:t>130,711.70</w:t>
            </w:r>
          </w:p>
        </w:tc>
      </w:tr>
    </w:tbl>
    <w:p w14:paraId="25377444" w14:textId="77777777" w:rsidR="0050758B" w:rsidRDefault="0050758B" w:rsidP="0015136C">
      <w:pPr>
        <w:spacing w:line="480" w:lineRule="auto"/>
        <w:jc w:val="center"/>
        <w:rPr>
          <w:lang w:eastAsia="es-ES"/>
        </w:rPr>
      </w:pPr>
      <w:r>
        <w:rPr>
          <w:lang w:eastAsia="es-ES"/>
        </w:rPr>
        <w:t>Nota: Elaboración propia, a partir de da datos del DANE</w:t>
      </w:r>
    </w:p>
    <w:p w14:paraId="6BDE2C0C" w14:textId="5A2EA7BF" w:rsidR="0050758B" w:rsidRPr="0050758B" w:rsidRDefault="0050758B" w:rsidP="0015136C">
      <w:pPr>
        <w:spacing w:line="480" w:lineRule="auto"/>
        <w:rPr>
          <w:lang w:eastAsia="es-ES"/>
        </w:rPr>
      </w:pPr>
      <w:r>
        <w:rPr>
          <w:lang w:eastAsia="es-ES"/>
        </w:rPr>
        <w:t>El cuadro</w:t>
      </w:r>
      <w:r w:rsidRPr="0050758B">
        <w:rPr>
          <w:lang w:eastAsia="es-ES"/>
        </w:rPr>
        <w:t xml:space="preserve"> sobre los ingresos totales en toneladas métricas de las zonas francas en la región caribeña de Colombia para 2023 y 2024 muestra tanto tendencias negativas como desafíos importantes. En primer lugar, la Zona Franca Parque Industrial FEMSA ha visto una reducción considerable en sus ingresos, que pasaron de 345,473.50 toneladas métricas en 2023 a 264,930.30 en 2024, lo que equivale a una disminución del 23.3%. Este descenso podría indicar que esta zona franca enfrenta problemas operativos o una baja en la demanda de los productos que ofrece.</w:t>
      </w:r>
      <w:r>
        <w:rPr>
          <w:lang w:eastAsia="es-ES"/>
        </w:rPr>
        <w:t xml:space="preserve"> </w:t>
      </w:r>
      <w:r w:rsidRPr="0050758B">
        <w:rPr>
          <w:lang w:eastAsia="es-ES"/>
        </w:rPr>
        <w:t>De manera similar, la Zona Franca Parque Central también experimenta una caída significativa, con una reducción del 23.9% en sus ingresos, de 69,697.61 toneladas métricas a 53,160.90. Este comportamiento sugiere que la competitividad de esta zona puede estar comprometida y que es urgente revisar sus estrategias comerciales para revitalizar su actividad.</w:t>
      </w:r>
    </w:p>
    <w:p w14:paraId="294D60F6" w14:textId="4E3A1ABF" w:rsidR="0050758B" w:rsidRPr="0050758B" w:rsidRDefault="0050758B" w:rsidP="0015136C">
      <w:pPr>
        <w:spacing w:line="480" w:lineRule="auto"/>
        <w:rPr>
          <w:lang w:eastAsia="es-ES"/>
        </w:rPr>
      </w:pPr>
      <w:r w:rsidRPr="0050758B">
        <w:rPr>
          <w:lang w:eastAsia="es-ES"/>
        </w:rPr>
        <w:t>En contraste, la Zona Franca Internacional del Atlántico muestra un descenso aún más pronunciado, con ingresos que disminuyen de 25.297,24 toneladas métricas a 11.931,96, lo que representa una caída del 52,8%. Esta situación alarmante podría ser un indicativo de problemas graves que requieren atención inmediata para evitar el cierre de operaciones o la pérdida de relevancia en el mercado.</w:t>
      </w:r>
      <w:r>
        <w:rPr>
          <w:lang w:eastAsia="es-ES"/>
        </w:rPr>
        <w:t xml:space="preserve"> </w:t>
      </w:r>
      <w:r w:rsidRPr="0050758B">
        <w:rPr>
          <w:lang w:eastAsia="es-ES"/>
        </w:rPr>
        <w:t>Por otro lado, la Zona Franca Santa Marta presenta un desempeño relativamente estable, con una ligera disminución de 2.270,67 toneladas métricas, equivalente a un 7,4%. Aunque hay una pequeña caída, la zona sigue operando y podría beneficiarse de estrategias para mejorar su rendimiento.</w:t>
      </w:r>
    </w:p>
    <w:p w14:paraId="188D86A6" w14:textId="77777777" w:rsidR="0050758B" w:rsidRPr="0050758B" w:rsidRDefault="0050758B" w:rsidP="0015136C">
      <w:pPr>
        <w:spacing w:line="480" w:lineRule="auto"/>
        <w:rPr>
          <w:lang w:eastAsia="es-ES"/>
        </w:rPr>
      </w:pPr>
      <w:r w:rsidRPr="0050758B">
        <w:rPr>
          <w:lang w:eastAsia="es-ES"/>
        </w:rPr>
        <w:t xml:space="preserve">A diferencia de los anteriores, la Zona Franca La Cayena reporta un crecimiento positivo, aumentando sus ingresos de 40.555,21 a 48.259,16 toneladas métricas, lo que se traduce en un </w:t>
      </w:r>
      <w:r w:rsidRPr="0050758B">
        <w:rPr>
          <w:lang w:eastAsia="es-ES"/>
        </w:rPr>
        <w:lastRenderedPageBreak/>
        <w:t>incremento del 18,9%. Este crecimiento es un signo talentoso y sugiere que esta zona ha logrado mejorar su competitividad y atraer más operaciones comerciales.</w:t>
      </w:r>
    </w:p>
    <w:p w14:paraId="0F088BC3" w14:textId="08735A83" w:rsidR="0050758B" w:rsidRDefault="0050758B" w:rsidP="0015136C">
      <w:pPr>
        <w:spacing w:line="480" w:lineRule="auto"/>
        <w:rPr>
          <w:lang w:eastAsia="es-ES"/>
        </w:rPr>
      </w:pPr>
      <w:r w:rsidRPr="0050758B">
        <w:rPr>
          <w:lang w:eastAsia="es-ES"/>
        </w:rPr>
        <w:t>Finalmente, la Zona Franca Barranquilla destaca por su crecimiento en ingresos, que aumentaron de 116.441,26 toneladas métricas a 130.711,70, representando un incremento del 12,3%. Este aumento puede estar relacionado con su continua atracción de inversiones y una posible diversificación de actividades económicas que han fortalecido su posición en la región.</w:t>
      </w:r>
    </w:p>
    <w:p w14:paraId="36B0FB09" w14:textId="77777777" w:rsidR="00034159" w:rsidRDefault="00034159" w:rsidP="00034159">
      <w:pPr>
        <w:rPr>
          <w:lang w:eastAsia="es-ES"/>
        </w:rPr>
      </w:pPr>
    </w:p>
    <w:p w14:paraId="0E11D865" w14:textId="46BFBD8A" w:rsidR="0049276C" w:rsidRPr="0049276C" w:rsidRDefault="0049276C" w:rsidP="0049276C">
      <w:pPr>
        <w:pStyle w:val="Descripcin"/>
        <w:spacing w:after="0"/>
        <w:rPr>
          <w:b/>
          <w:bCs/>
          <w:i w:val="0"/>
          <w:iCs w:val="0"/>
          <w:color w:val="auto"/>
          <w:sz w:val="24"/>
          <w:szCs w:val="22"/>
          <w:lang w:eastAsia="es-ES"/>
        </w:rPr>
      </w:pPr>
      <w:bookmarkStart w:id="76" w:name="_Toc178689008"/>
      <w:bookmarkStart w:id="77" w:name="_Toc183783081"/>
      <w:r w:rsidRPr="0049276C">
        <w:rPr>
          <w:b/>
          <w:bCs/>
          <w:i w:val="0"/>
          <w:iCs w:val="0"/>
          <w:color w:val="auto"/>
          <w:sz w:val="24"/>
          <w:szCs w:val="22"/>
          <w:lang w:eastAsia="es-ES"/>
        </w:rPr>
        <w:t xml:space="preserve">Tabla </w:t>
      </w:r>
      <w:r w:rsidRPr="0049276C">
        <w:rPr>
          <w:b/>
          <w:bCs/>
          <w:i w:val="0"/>
          <w:iCs w:val="0"/>
          <w:color w:val="auto"/>
          <w:sz w:val="24"/>
          <w:szCs w:val="22"/>
          <w:lang w:eastAsia="es-ES"/>
        </w:rPr>
        <w:fldChar w:fldCharType="begin"/>
      </w:r>
      <w:r w:rsidRPr="0049276C">
        <w:rPr>
          <w:b/>
          <w:bCs/>
          <w:i w:val="0"/>
          <w:iCs w:val="0"/>
          <w:color w:val="auto"/>
          <w:sz w:val="24"/>
          <w:szCs w:val="22"/>
          <w:lang w:eastAsia="es-ES"/>
        </w:rPr>
        <w:instrText xml:space="preserve"> SEQ Tabla \* ARABIC </w:instrText>
      </w:r>
      <w:r w:rsidRPr="0049276C">
        <w:rPr>
          <w:b/>
          <w:bCs/>
          <w:i w:val="0"/>
          <w:iCs w:val="0"/>
          <w:color w:val="auto"/>
          <w:sz w:val="24"/>
          <w:szCs w:val="22"/>
          <w:lang w:eastAsia="es-ES"/>
        </w:rPr>
        <w:fldChar w:fldCharType="separate"/>
      </w:r>
      <w:r w:rsidR="00901E21">
        <w:rPr>
          <w:b/>
          <w:bCs/>
          <w:i w:val="0"/>
          <w:iCs w:val="0"/>
          <w:noProof/>
          <w:color w:val="auto"/>
          <w:sz w:val="24"/>
          <w:szCs w:val="22"/>
          <w:lang w:eastAsia="es-ES"/>
        </w:rPr>
        <w:t>8</w:t>
      </w:r>
      <w:r w:rsidRPr="0049276C">
        <w:rPr>
          <w:b/>
          <w:bCs/>
          <w:i w:val="0"/>
          <w:iCs w:val="0"/>
          <w:color w:val="auto"/>
          <w:sz w:val="24"/>
          <w:szCs w:val="22"/>
          <w:lang w:eastAsia="es-ES"/>
        </w:rPr>
        <w:fldChar w:fldCharType="end"/>
      </w:r>
      <w:r w:rsidRPr="0049276C">
        <w:rPr>
          <w:b/>
          <w:bCs/>
          <w:i w:val="0"/>
          <w:iCs w:val="0"/>
          <w:color w:val="auto"/>
          <w:sz w:val="24"/>
          <w:szCs w:val="22"/>
          <w:lang w:eastAsia="es-ES"/>
        </w:rPr>
        <w:t>:</w:t>
      </w:r>
      <w:bookmarkEnd w:id="76"/>
      <w:bookmarkEnd w:id="77"/>
      <w:r w:rsidRPr="0049276C">
        <w:rPr>
          <w:b/>
          <w:bCs/>
          <w:i w:val="0"/>
          <w:iCs w:val="0"/>
          <w:color w:val="auto"/>
          <w:sz w:val="24"/>
          <w:szCs w:val="22"/>
          <w:lang w:eastAsia="es-ES"/>
        </w:rPr>
        <w:t xml:space="preserve"> </w:t>
      </w:r>
    </w:p>
    <w:p w14:paraId="7C501C7C" w14:textId="0AC65AC0" w:rsidR="0050758B" w:rsidRPr="006C3145" w:rsidRDefault="0049276C" w:rsidP="0049276C">
      <w:pPr>
        <w:pStyle w:val="Descripcin"/>
        <w:spacing w:after="0"/>
        <w:rPr>
          <w:i w:val="0"/>
          <w:iCs w:val="0"/>
          <w:color w:val="auto"/>
          <w:sz w:val="24"/>
          <w:szCs w:val="22"/>
          <w:lang w:eastAsia="es-ES"/>
        </w:rPr>
      </w:pPr>
      <w:bookmarkStart w:id="78" w:name="_Toc178689009"/>
      <w:bookmarkStart w:id="79" w:name="_Toc183783082"/>
      <w:r w:rsidRPr="006C3145">
        <w:rPr>
          <w:i w:val="0"/>
          <w:iCs w:val="0"/>
          <w:color w:val="auto"/>
          <w:sz w:val="24"/>
          <w:szCs w:val="22"/>
          <w:lang w:eastAsia="es-ES"/>
        </w:rPr>
        <w:t>Ingresos por Zonas Francas, según Tipo de Operación 2024-2023 (Junio)</w:t>
      </w:r>
      <w:bookmarkEnd w:id="78"/>
      <w:bookmarkEnd w:id="79"/>
    </w:p>
    <w:p w14:paraId="34866ADD" w14:textId="77777777" w:rsidR="006C3145" w:rsidRPr="0049276C" w:rsidRDefault="006C3145" w:rsidP="0049276C">
      <w:pPr>
        <w:rPr>
          <w:lang w:eastAsia="es-ES"/>
        </w:rPr>
      </w:pPr>
    </w:p>
    <w:tbl>
      <w:tblPr>
        <w:tblW w:w="11194"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696"/>
        <w:gridCol w:w="1276"/>
        <w:gridCol w:w="1134"/>
        <w:gridCol w:w="1276"/>
        <w:gridCol w:w="1276"/>
        <w:gridCol w:w="1134"/>
        <w:gridCol w:w="1134"/>
        <w:gridCol w:w="1275"/>
        <w:gridCol w:w="993"/>
      </w:tblGrid>
      <w:tr w:rsidR="0050758B" w:rsidRPr="0050758B" w14:paraId="74A85E0C" w14:textId="77777777" w:rsidTr="0049276C">
        <w:trPr>
          <w:trHeight w:val="1500"/>
          <w:jc w:val="center"/>
        </w:trPr>
        <w:tc>
          <w:tcPr>
            <w:tcW w:w="1696" w:type="dxa"/>
            <w:tcBorders>
              <w:top w:val="single" w:sz="4" w:space="0" w:color="auto"/>
              <w:bottom w:val="single" w:sz="4" w:space="0" w:color="auto"/>
            </w:tcBorders>
            <w:shd w:val="clear" w:color="auto" w:fill="auto"/>
            <w:vAlign w:val="center"/>
            <w:hideMark/>
          </w:tcPr>
          <w:p w14:paraId="1C87360A" w14:textId="77777777" w:rsidR="0050758B" w:rsidRPr="0050758B" w:rsidRDefault="0050758B" w:rsidP="0049276C">
            <w:pPr>
              <w:spacing w:after="0" w:line="240" w:lineRule="auto"/>
              <w:ind w:firstLine="0"/>
              <w:jc w:val="center"/>
              <w:rPr>
                <w:rFonts w:eastAsia="Times New Roman" w:cs="Times New Roman"/>
                <w:b/>
                <w:bCs/>
                <w:color w:val="000000"/>
                <w:kern w:val="0"/>
                <w:sz w:val="20"/>
                <w:lang w:eastAsia="es-CO"/>
                <w14:ligatures w14:val="none"/>
              </w:rPr>
            </w:pPr>
            <w:r w:rsidRPr="0050758B">
              <w:rPr>
                <w:rFonts w:eastAsia="Times New Roman" w:cs="Times New Roman"/>
                <w:b/>
                <w:bCs/>
                <w:color w:val="000000"/>
                <w:kern w:val="0"/>
                <w:sz w:val="20"/>
                <w:lang w:eastAsia="es-CO"/>
                <w14:ligatures w14:val="none"/>
              </w:rPr>
              <w:t>Zona Franca</w:t>
            </w:r>
          </w:p>
        </w:tc>
        <w:tc>
          <w:tcPr>
            <w:tcW w:w="1276" w:type="dxa"/>
            <w:tcBorders>
              <w:top w:val="single" w:sz="4" w:space="0" w:color="auto"/>
              <w:bottom w:val="single" w:sz="4" w:space="0" w:color="auto"/>
            </w:tcBorders>
            <w:shd w:val="clear" w:color="auto" w:fill="auto"/>
            <w:vAlign w:val="center"/>
            <w:hideMark/>
          </w:tcPr>
          <w:p w14:paraId="0A30CFEA" w14:textId="77777777" w:rsidR="0050758B" w:rsidRPr="0050758B" w:rsidRDefault="0050758B" w:rsidP="0049276C">
            <w:pPr>
              <w:spacing w:after="0" w:line="240" w:lineRule="auto"/>
              <w:ind w:firstLine="0"/>
              <w:jc w:val="center"/>
              <w:rPr>
                <w:rFonts w:eastAsia="Times New Roman" w:cs="Times New Roman"/>
                <w:b/>
                <w:bCs/>
                <w:color w:val="000000"/>
                <w:kern w:val="0"/>
                <w:sz w:val="20"/>
                <w:lang w:eastAsia="es-CO"/>
                <w14:ligatures w14:val="none"/>
              </w:rPr>
            </w:pPr>
            <w:r w:rsidRPr="0050758B">
              <w:rPr>
                <w:rFonts w:eastAsia="Times New Roman" w:cs="Times New Roman"/>
                <w:b/>
                <w:bCs/>
                <w:color w:val="000000"/>
                <w:kern w:val="0"/>
                <w:sz w:val="20"/>
                <w:lang w:eastAsia="es-CO"/>
                <w14:ligatures w14:val="none"/>
              </w:rPr>
              <w:t>Resto del Mundo 2023 (Miles de dólares CIF)</w:t>
            </w:r>
          </w:p>
        </w:tc>
        <w:tc>
          <w:tcPr>
            <w:tcW w:w="1134" w:type="dxa"/>
            <w:tcBorders>
              <w:top w:val="single" w:sz="4" w:space="0" w:color="auto"/>
              <w:bottom w:val="single" w:sz="4" w:space="0" w:color="auto"/>
            </w:tcBorders>
            <w:shd w:val="clear" w:color="auto" w:fill="auto"/>
            <w:vAlign w:val="center"/>
            <w:hideMark/>
          </w:tcPr>
          <w:p w14:paraId="0DA4F2EB" w14:textId="77777777" w:rsidR="0050758B" w:rsidRPr="0050758B" w:rsidRDefault="0050758B" w:rsidP="0049276C">
            <w:pPr>
              <w:spacing w:after="0" w:line="240" w:lineRule="auto"/>
              <w:ind w:firstLine="0"/>
              <w:jc w:val="center"/>
              <w:rPr>
                <w:rFonts w:eastAsia="Times New Roman" w:cs="Times New Roman"/>
                <w:b/>
                <w:bCs/>
                <w:color w:val="000000"/>
                <w:kern w:val="0"/>
                <w:sz w:val="20"/>
                <w:lang w:eastAsia="es-CO"/>
                <w14:ligatures w14:val="none"/>
              </w:rPr>
            </w:pPr>
            <w:r w:rsidRPr="0050758B">
              <w:rPr>
                <w:rFonts w:eastAsia="Times New Roman" w:cs="Times New Roman"/>
                <w:b/>
                <w:bCs/>
                <w:color w:val="000000"/>
                <w:kern w:val="0"/>
                <w:sz w:val="20"/>
                <w:lang w:eastAsia="es-CO"/>
                <w14:ligatures w14:val="none"/>
              </w:rPr>
              <w:t>T.A.N. 2023 (Miles de dólares CIF)</w:t>
            </w:r>
          </w:p>
        </w:tc>
        <w:tc>
          <w:tcPr>
            <w:tcW w:w="1276" w:type="dxa"/>
            <w:tcBorders>
              <w:top w:val="single" w:sz="4" w:space="0" w:color="auto"/>
              <w:bottom w:val="single" w:sz="4" w:space="0" w:color="auto"/>
            </w:tcBorders>
            <w:shd w:val="clear" w:color="auto" w:fill="auto"/>
            <w:vAlign w:val="center"/>
            <w:hideMark/>
          </w:tcPr>
          <w:p w14:paraId="0C07C99C" w14:textId="77777777" w:rsidR="0050758B" w:rsidRPr="0050758B" w:rsidRDefault="0050758B" w:rsidP="0049276C">
            <w:pPr>
              <w:spacing w:after="0" w:line="240" w:lineRule="auto"/>
              <w:ind w:firstLine="0"/>
              <w:jc w:val="center"/>
              <w:rPr>
                <w:rFonts w:eastAsia="Times New Roman" w:cs="Times New Roman"/>
                <w:b/>
                <w:bCs/>
                <w:color w:val="000000"/>
                <w:kern w:val="0"/>
                <w:sz w:val="20"/>
                <w:lang w:eastAsia="es-CO"/>
                <w14:ligatures w14:val="none"/>
              </w:rPr>
            </w:pPr>
            <w:r w:rsidRPr="0050758B">
              <w:rPr>
                <w:rFonts w:eastAsia="Times New Roman" w:cs="Times New Roman"/>
                <w:b/>
                <w:bCs/>
                <w:color w:val="000000"/>
                <w:kern w:val="0"/>
                <w:sz w:val="20"/>
                <w:lang w:eastAsia="es-CO"/>
                <w14:ligatures w14:val="none"/>
              </w:rPr>
              <w:t>ZF - ZF 2023 (Miles de dólares CIF)</w:t>
            </w:r>
          </w:p>
        </w:tc>
        <w:tc>
          <w:tcPr>
            <w:tcW w:w="1276" w:type="dxa"/>
            <w:tcBorders>
              <w:top w:val="single" w:sz="4" w:space="0" w:color="auto"/>
              <w:bottom w:val="single" w:sz="4" w:space="0" w:color="auto"/>
            </w:tcBorders>
            <w:shd w:val="clear" w:color="auto" w:fill="auto"/>
            <w:vAlign w:val="center"/>
            <w:hideMark/>
          </w:tcPr>
          <w:p w14:paraId="21CE2DE8" w14:textId="77777777" w:rsidR="0050758B" w:rsidRPr="0050758B" w:rsidRDefault="0050758B" w:rsidP="0049276C">
            <w:pPr>
              <w:spacing w:after="0" w:line="240" w:lineRule="auto"/>
              <w:ind w:firstLine="0"/>
              <w:jc w:val="center"/>
              <w:rPr>
                <w:rFonts w:eastAsia="Times New Roman" w:cs="Times New Roman"/>
                <w:b/>
                <w:bCs/>
                <w:color w:val="000000"/>
                <w:kern w:val="0"/>
                <w:sz w:val="20"/>
                <w:lang w:eastAsia="es-CO"/>
                <w14:ligatures w14:val="none"/>
              </w:rPr>
            </w:pPr>
            <w:r w:rsidRPr="0050758B">
              <w:rPr>
                <w:rFonts w:eastAsia="Times New Roman" w:cs="Times New Roman"/>
                <w:b/>
                <w:bCs/>
                <w:color w:val="000000"/>
                <w:kern w:val="0"/>
                <w:sz w:val="20"/>
                <w:lang w:eastAsia="es-CO"/>
                <w14:ligatures w14:val="none"/>
              </w:rPr>
              <w:t>Usuarios - ZF 2023 (Miles de dólares CIF)</w:t>
            </w:r>
          </w:p>
        </w:tc>
        <w:tc>
          <w:tcPr>
            <w:tcW w:w="1134" w:type="dxa"/>
            <w:tcBorders>
              <w:top w:val="single" w:sz="4" w:space="0" w:color="auto"/>
              <w:bottom w:val="single" w:sz="4" w:space="0" w:color="auto"/>
            </w:tcBorders>
            <w:shd w:val="clear" w:color="auto" w:fill="auto"/>
            <w:vAlign w:val="center"/>
            <w:hideMark/>
          </w:tcPr>
          <w:p w14:paraId="7DC3D4A6" w14:textId="77777777" w:rsidR="0050758B" w:rsidRPr="0050758B" w:rsidRDefault="0050758B" w:rsidP="0049276C">
            <w:pPr>
              <w:spacing w:after="0" w:line="240" w:lineRule="auto"/>
              <w:ind w:firstLine="0"/>
              <w:jc w:val="center"/>
              <w:rPr>
                <w:rFonts w:eastAsia="Times New Roman" w:cs="Times New Roman"/>
                <w:b/>
                <w:bCs/>
                <w:color w:val="000000"/>
                <w:kern w:val="0"/>
                <w:sz w:val="20"/>
                <w:lang w:eastAsia="es-CO"/>
                <w14:ligatures w14:val="none"/>
              </w:rPr>
            </w:pPr>
            <w:r w:rsidRPr="0050758B">
              <w:rPr>
                <w:rFonts w:eastAsia="Times New Roman" w:cs="Times New Roman"/>
                <w:b/>
                <w:bCs/>
                <w:color w:val="000000"/>
                <w:kern w:val="0"/>
                <w:sz w:val="20"/>
                <w:lang w:eastAsia="es-CO"/>
                <w14:ligatures w14:val="none"/>
              </w:rPr>
              <w:t>Resto del Mundo 2024 (Miles de dólares CIF)</w:t>
            </w:r>
          </w:p>
        </w:tc>
        <w:tc>
          <w:tcPr>
            <w:tcW w:w="1134" w:type="dxa"/>
            <w:tcBorders>
              <w:top w:val="single" w:sz="4" w:space="0" w:color="auto"/>
              <w:bottom w:val="single" w:sz="4" w:space="0" w:color="auto"/>
            </w:tcBorders>
            <w:shd w:val="clear" w:color="auto" w:fill="auto"/>
            <w:vAlign w:val="center"/>
            <w:hideMark/>
          </w:tcPr>
          <w:p w14:paraId="5CC1ED6C" w14:textId="77777777" w:rsidR="0050758B" w:rsidRPr="0050758B" w:rsidRDefault="0050758B" w:rsidP="0049276C">
            <w:pPr>
              <w:spacing w:after="0" w:line="240" w:lineRule="auto"/>
              <w:ind w:firstLine="0"/>
              <w:jc w:val="center"/>
              <w:rPr>
                <w:rFonts w:eastAsia="Times New Roman" w:cs="Times New Roman"/>
                <w:b/>
                <w:bCs/>
                <w:color w:val="000000"/>
                <w:kern w:val="0"/>
                <w:sz w:val="20"/>
                <w:lang w:eastAsia="es-CO"/>
                <w14:ligatures w14:val="none"/>
              </w:rPr>
            </w:pPr>
            <w:r w:rsidRPr="0050758B">
              <w:rPr>
                <w:rFonts w:eastAsia="Times New Roman" w:cs="Times New Roman"/>
                <w:b/>
                <w:bCs/>
                <w:color w:val="000000"/>
                <w:kern w:val="0"/>
                <w:sz w:val="20"/>
                <w:lang w:eastAsia="es-CO"/>
                <w14:ligatures w14:val="none"/>
              </w:rPr>
              <w:t>T.A.N. 2024 (Miles de dólares CIF)</w:t>
            </w:r>
          </w:p>
        </w:tc>
        <w:tc>
          <w:tcPr>
            <w:tcW w:w="1275" w:type="dxa"/>
            <w:tcBorders>
              <w:top w:val="single" w:sz="4" w:space="0" w:color="auto"/>
              <w:bottom w:val="single" w:sz="4" w:space="0" w:color="auto"/>
            </w:tcBorders>
            <w:shd w:val="clear" w:color="auto" w:fill="auto"/>
            <w:vAlign w:val="center"/>
            <w:hideMark/>
          </w:tcPr>
          <w:p w14:paraId="16BE31A9" w14:textId="77777777" w:rsidR="0050758B" w:rsidRPr="0050758B" w:rsidRDefault="0050758B" w:rsidP="0049276C">
            <w:pPr>
              <w:spacing w:after="0" w:line="240" w:lineRule="auto"/>
              <w:ind w:firstLine="0"/>
              <w:jc w:val="center"/>
              <w:rPr>
                <w:rFonts w:eastAsia="Times New Roman" w:cs="Times New Roman"/>
                <w:b/>
                <w:bCs/>
                <w:color w:val="000000"/>
                <w:kern w:val="0"/>
                <w:sz w:val="20"/>
                <w:lang w:eastAsia="es-CO"/>
                <w14:ligatures w14:val="none"/>
              </w:rPr>
            </w:pPr>
            <w:r w:rsidRPr="0050758B">
              <w:rPr>
                <w:rFonts w:eastAsia="Times New Roman" w:cs="Times New Roman"/>
                <w:b/>
                <w:bCs/>
                <w:color w:val="000000"/>
                <w:kern w:val="0"/>
                <w:sz w:val="20"/>
                <w:lang w:eastAsia="es-CO"/>
                <w14:ligatures w14:val="none"/>
              </w:rPr>
              <w:t>ZF - ZF 2024 (Miles de dólares CIF)</w:t>
            </w:r>
          </w:p>
        </w:tc>
        <w:tc>
          <w:tcPr>
            <w:tcW w:w="993" w:type="dxa"/>
            <w:tcBorders>
              <w:top w:val="single" w:sz="4" w:space="0" w:color="auto"/>
              <w:bottom w:val="single" w:sz="4" w:space="0" w:color="auto"/>
            </w:tcBorders>
            <w:shd w:val="clear" w:color="auto" w:fill="auto"/>
            <w:vAlign w:val="center"/>
            <w:hideMark/>
          </w:tcPr>
          <w:p w14:paraId="1983E9AD" w14:textId="77777777" w:rsidR="0050758B" w:rsidRPr="0050758B" w:rsidRDefault="0050758B" w:rsidP="0049276C">
            <w:pPr>
              <w:spacing w:after="0" w:line="240" w:lineRule="auto"/>
              <w:ind w:firstLine="0"/>
              <w:jc w:val="center"/>
              <w:rPr>
                <w:rFonts w:eastAsia="Times New Roman" w:cs="Times New Roman"/>
                <w:b/>
                <w:bCs/>
                <w:color w:val="000000"/>
                <w:kern w:val="0"/>
                <w:sz w:val="20"/>
                <w:lang w:eastAsia="es-CO"/>
                <w14:ligatures w14:val="none"/>
              </w:rPr>
            </w:pPr>
            <w:r w:rsidRPr="0050758B">
              <w:rPr>
                <w:rFonts w:eastAsia="Times New Roman" w:cs="Times New Roman"/>
                <w:b/>
                <w:bCs/>
                <w:color w:val="000000"/>
                <w:kern w:val="0"/>
                <w:sz w:val="20"/>
                <w:lang w:eastAsia="es-CO"/>
                <w14:ligatures w14:val="none"/>
              </w:rPr>
              <w:t>Usuarios - ZF 2024 (Miles de dólares CIF)</w:t>
            </w:r>
          </w:p>
        </w:tc>
      </w:tr>
      <w:tr w:rsidR="0050758B" w:rsidRPr="0050758B" w14:paraId="40FDEBD4" w14:textId="77777777" w:rsidTr="0049276C">
        <w:trPr>
          <w:trHeight w:val="300"/>
          <w:jc w:val="center"/>
        </w:trPr>
        <w:tc>
          <w:tcPr>
            <w:tcW w:w="1696" w:type="dxa"/>
            <w:tcBorders>
              <w:top w:val="single" w:sz="4" w:space="0" w:color="auto"/>
            </w:tcBorders>
            <w:shd w:val="clear" w:color="auto" w:fill="auto"/>
            <w:vAlign w:val="center"/>
            <w:hideMark/>
          </w:tcPr>
          <w:p w14:paraId="7A2CE825"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ZFP Barranquilla</w:t>
            </w:r>
          </w:p>
        </w:tc>
        <w:tc>
          <w:tcPr>
            <w:tcW w:w="1276" w:type="dxa"/>
            <w:tcBorders>
              <w:top w:val="single" w:sz="4" w:space="0" w:color="auto"/>
            </w:tcBorders>
            <w:shd w:val="clear" w:color="auto" w:fill="auto"/>
            <w:vAlign w:val="center"/>
            <w:hideMark/>
          </w:tcPr>
          <w:p w14:paraId="27D2C1F6"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30,181.45</w:t>
            </w:r>
          </w:p>
        </w:tc>
        <w:tc>
          <w:tcPr>
            <w:tcW w:w="1134" w:type="dxa"/>
            <w:tcBorders>
              <w:top w:val="single" w:sz="4" w:space="0" w:color="auto"/>
            </w:tcBorders>
            <w:shd w:val="clear" w:color="auto" w:fill="auto"/>
            <w:vAlign w:val="center"/>
            <w:hideMark/>
          </w:tcPr>
          <w:p w14:paraId="5B67D135"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36,197.74</w:t>
            </w:r>
          </w:p>
        </w:tc>
        <w:tc>
          <w:tcPr>
            <w:tcW w:w="1276" w:type="dxa"/>
            <w:tcBorders>
              <w:top w:val="single" w:sz="4" w:space="0" w:color="auto"/>
            </w:tcBorders>
            <w:shd w:val="clear" w:color="auto" w:fill="auto"/>
            <w:vAlign w:val="center"/>
            <w:hideMark/>
          </w:tcPr>
          <w:p w14:paraId="38D1CC19"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524.72</w:t>
            </w:r>
          </w:p>
        </w:tc>
        <w:tc>
          <w:tcPr>
            <w:tcW w:w="1276" w:type="dxa"/>
            <w:tcBorders>
              <w:top w:val="single" w:sz="4" w:space="0" w:color="auto"/>
            </w:tcBorders>
            <w:shd w:val="clear" w:color="auto" w:fill="auto"/>
            <w:vAlign w:val="center"/>
            <w:hideMark/>
          </w:tcPr>
          <w:p w14:paraId="638FBFDC"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777.13</w:t>
            </w:r>
          </w:p>
        </w:tc>
        <w:tc>
          <w:tcPr>
            <w:tcW w:w="1134" w:type="dxa"/>
            <w:tcBorders>
              <w:top w:val="single" w:sz="4" w:space="0" w:color="auto"/>
            </w:tcBorders>
            <w:shd w:val="clear" w:color="auto" w:fill="auto"/>
            <w:vAlign w:val="center"/>
            <w:hideMark/>
          </w:tcPr>
          <w:p w14:paraId="1CC04087"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43,466.32</w:t>
            </w:r>
          </w:p>
        </w:tc>
        <w:tc>
          <w:tcPr>
            <w:tcW w:w="1134" w:type="dxa"/>
            <w:tcBorders>
              <w:top w:val="single" w:sz="4" w:space="0" w:color="auto"/>
            </w:tcBorders>
            <w:shd w:val="clear" w:color="auto" w:fill="auto"/>
            <w:vAlign w:val="center"/>
            <w:hideMark/>
          </w:tcPr>
          <w:p w14:paraId="16783A36"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28,243.82</w:t>
            </w:r>
          </w:p>
        </w:tc>
        <w:tc>
          <w:tcPr>
            <w:tcW w:w="1275" w:type="dxa"/>
            <w:tcBorders>
              <w:top w:val="single" w:sz="4" w:space="0" w:color="auto"/>
            </w:tcBorders>
            <w:shd w:val="clear" w:color="auto" w:fill="auto"/>
            <w:vAlign w:val="center"/>
            <w:hideMark/>
          </w:tcPr>
          <w:p w14:paraId="1D5DE1D1"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390.11</w:t>
            </w:r>
          </w:p>
        </w:tc>
        <w:tc>
          <w:tcPr>
            <w:tcW w:w="993" w:type="dxa"/>
            <w:tcBorders>
              <w:top w:val="single" w:sz="4" w:space="0" w:color="auto"/>
            </w:tcBorders>
            <w:shd w:val="clear" w:color="auto" w:fill="auto"/>
            <w:vAlign w:val="center"/>
            <w:hideMark/>
          </w:tcPr>
          <w:p w14:paraId="35ACCB3E"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1,874.65</w:t>
            </w:r>
          </w:p>
        </w:tc>
      </w:tr>
      <w:tr w:rsidR="0050758B" w:rsidRPr="0050758B" w14:paraId="468DDCD4" w14:textId="77777777" w:rsidTr="0049276C">
        <w:trPr>
          <w:trHeight w:val="300"/>
          <w:jc w:val="center"/>
        </w:trPr>
        <w:tc>
          <w:tcPr>
            <w:tcW w:w="1696" w:type="dxa"/>
            <w:shd w:val="clear" w:color="auto" w:fill="auto"/>
            <w:vAlign w:val="center"/>
            <w:hideMark/>
          </w:tcPr>
          <w:p w14:paraId="684D09D7"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ZFP Cartagena</w:t>
            </w:r>
          </w:p>
        </w:tc>
        <w:tc>
          <w:tcPr>
            <w:tcW w:w="1276" w:type="dxa"/>
            <w:shd w:val="clear" w:color="auto" w:fill="auto"/>
            <w:vAlign w:val="center"/>
            <w:hideMark/>
          </w:tcPr>
          <w:p w14:paraId="6E7F7789"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13,904.37</w:t>
            </w:r>
          </w:p>
        </w:tc>
        <w:tc>
          <w:tcPr>
            <w:tcW w:w="1134" w:type="dxa"/>
            <w:shd w:val="clear" w:color="auto" w:fill="auto"/>
            <w:vAlign w:val="center"/>
            <w:hideMark/>
          </w:tcPr>
          <w:p w14:paraId="2B19BB55"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10,472.97</w:t>
            </w:r>
          </w:p>
        </w:tc>
        <w:tc>
          <w:tcPr>
            <w:tcW w:w="1276" w:type="dxa"/>
            <w:shd w:val="clear" w:color="auto" w:fill="auto"/>
            <w:vAlign w:val="center"/>
            <w:hideMark/>
          </w:tcPr>
          <w:p w14:paraId="15346966"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9.70</w:t>
            </w:r>
          </w:p>
        </w:tc>
        <w:tc>
          <w:tcPr>
            <w:tcW w:w="1276" w:type="dxa"/>
            <w:shd w:val="clear" w:color="auto" w:fill="auto"/>
            <w:vAlign w:val="center"/>
            <w:hideMark/>
          </w:tcPr>
          <w:p w14:paraId="16BC2667"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34.66</w:t>
            </w:r>
          </w:p>
        </w:tc>
        <w:tc>
          <w:tcPr>
            <w:tcW w:w="1134" w:type="dxa"/>
            <w:shd w:val="clear" w:color="auto" w:fill="auto"/>
            <w:vAlign w:val="center"/>
            <w:hideMark/>
          </w:tcPr>
          <w:p w14:paraId="4B1A07AC"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12,755.61</w:t>
            </w:r>
          </w:p>
        </w:tc>
        <w:tc>
          <w:tcPr>
            <w:tcW w:w="1134" w:type="dxa"/>
            <w:shd w:val="clear" w:color="auto" w:fill="auto"/>
            <w:vAlign w:val="center"/>
            <w:hideMark/>
          </w:tcPr>
          <w:p w14:paraId="40A52B8C"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11,974.46</w:t>
            </w:r>
          </w:p>
        </w:tc>
        <w:tc>
          <w:tcPr>
            <w:tcW w:w="1275" w:type="dxa"/>
            <w:shd w:val="clear" w:color="auto" w:fill="auto"/>
            <w:vAlign w:val="center"/>
            <w:hideMark/>
          </w:tcPr>
          <w:p w14:paraId="1B848070"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67.81</w:t>
            </w:r>
          </w:p>
        </w:tc>
        <w:tc>
          <w:tcPr>
            <w:tcW w:w="993" w:type="dxa"/>
            <w:shd w:val="clear" w:color="auto" w:fill="auto"/>
            <w:vAlign w:val="center"/>
            <w:hideMark/>
          </w:tcPr>
          <w:p w14:paraId="454015B7"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147.71</w:t>
            </w:r>
          </w:p>
        </w:tc>
      </w:tr>
      <w:tr w:rsidR="0050758B" w:rsidRPr="0050758B" w14:paraId="1347035A" w14:textId="77777777" w:rsidTr="0049276C">
        <w:trPr>
          <w:trHeight w:val="600"/>
          <w:jc w:val="center"/>
        </w:trPr>
        <w:tc>
          <w:tcPr>
            <w:tcW w:w="1696" w:type="dxa"/>
            <w:shd w:val="clear" w:color="auto" w:fill="auto"/>
            <w:vAlign w:val="center"/>
            <w:hideMark/>
          </w:tcPr>
          <w:p w14:paraId="4B5D9891"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ZFP Internacional del Atlántico</w:t>
            </w:r>
          </w:p>
        </w:tc>
        <w:tc>
          <w:tcPr>
            <w:tcW w:w="1276" w:type="dxa"/>
            <w:shd w:val="clear" w:color="auto" w:fill="auto"/>
            <w:vAlign w:val="center"/>
            <w:hideMark/>
          </w:tcPr>
          <w:p w14:paraId="60B2CD90"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10,760.66</w:t>
            </w:r>
          </w:p>
        </w:tc>
        <w:tc>
          <w:tcPr>
            <w:tcW w:w="1134" w:type="dxa"/>
            <w:shd w:val="clear" w:color="auto" w:fill="auto"/>
            <w:vAlign w:val="center"/>
            <w:hideMark/>
          </w:tcPr>
          <w:p w14:paraId="4684F3D0"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5,542.99</w:t>
            </w:r>
          </w:p>
        </w:tc>
        <w:tc>
          <w:tcPr>
            <w:tcW w:w="1276" w:type="dxa"/>
            <w:shd w:val="clear" w:color="auto" w:fill="auto"/>
            <w:vAlign w:val="center"/>
            <w:hideMark/>
          </w:tcPr>
          <w:p w14:paraId="758A5EFB"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88.75</w:t>
            </w:r>
          </w:p>
        </w:tc>
        <w:tc>
          <w:tcPr>
            <w:tcW w:w="1276" w:type="dxa"/>
            <w:shd w:val="clear" w:color="auto" w:fill="auto"/>
            <w:vAlign w:val="center"/>
            <w:hideMark/>
          </w:tcPr>
          <w:p w14:paraId="586ABD04"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501.80</w:t>
            </w:r>
          </w:p>
        </w:tc>
        <w:tc>
          <w:tcPr>
            <w:tcW w:w="1134" w:type="dxa"/>
            <w:shd w:val="clear" w:color="auto" w:fill="auto"/>
            <w:vAlign w:val="center"/>
            <w:hideMark/>
          </w:tcPr>
          <w:p w14:paraId="11E229C8"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23,725.25</w:t>
            </w:r>
          </w:p>
        </w:tc>
        <w:tc>
          <w:tcPr>
            <w:tcW w:w="1134" w:type="dxa"/>
            <w:shd w:val="clear" w:color="auto" w:fill="auto"/>
            <w:vAlign w:val="center"/>
            <w:hideMark/>
          </w:tcPr>
          <w:p w14:paraId="2C69A3A4"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5,146.95</w:t>
            </w:r>
          </w:p>
        </w:tc>
        <w:tc>
          <w:tcPr>
            <w:tcW w:w="1275" w:type="dxa"/>
            <w:shd w:val="clear" w:color="auto" w:fill="auto"/>
            <w:vAlign w:val="center"/>
            <w:hideMark/>
          </w:tcPr>
          <w:p w14:paraId="6BB79714"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1,020.92</w:t>
            </w:r>
          </w:p>
        </w:tc>
        <w:tc>
          <w:tcPr>
            <w:tcW w:w="993" w:type="dxa"/>
            <w:shd w:val="clear" w:color="auto" w:fill="auto"/>
            <w:vAlign w:val="center"/>
            <w:hideMark/>
          </w:tcPr>
          <w:p w14:paraId="7D2BC58F"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0.00</w:t>
            </w:r>
          </w:p>
        </w:tc>
      </w:tr>
      <w:tr w:rsidR="0050758B" w:rsidRPr="0050758B" w14:paraId="40333BA8" w14:textId="77777777" w:rsidTr="0049276C">
        <w:trPr>
          <w:trHeight w:val="300"/>
          <w:jc w:val="center"/>
        </w:trPr>
        <w:tc>
          <w:tcPr>
            <w:tcW w:w="1696" w:type="dxa"/>
            <w:shd w:val="clear" w:color="auto" w:fill="auto"/>
            <w:vAlign w:val="center"/>
            <w:hideMark/>
          </w:tcPr>
          <w:p w14:paraId="265845AD"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ZFP la Cayena</w:t>
            </w:r>
          </w:p>
        </w:tc>
        <w:tc>
          <w:tcPr>
            <w:tcW w:w="1276" w:type="dxa"/>
            <w:shd w:val="clear" w:color="auto" w:fill="auto"/>
            <w:vAlign w:val="center"/>
            <w:hideMark/>
          </w:tcPr>
          <w:p w14:paraId="2375B73F"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10,510.84</w:t>
            </w:r>
          </w:p>
        </w:tc>
        <w:tc>
          <w:tcPr>
            <w:tcW w:w="1134" w:type="dxa"/>
            <w:shd w:val="clear" w:color="auto" w:fill="auto"/>
            <w:vAlign w:val="center"/>
            <w:hideMark/>
          </w:tcPr>
          <w:p w14:paraId="7603A49B"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18,806.89</w:t>
            </w:r>
          </w:p>
        </w:tc>
        <w:tc>
          <w:tcPr>
            <w:tcW w:w="1276" w:type="dxa"/>
            <w:shd w:val="clear" w:color="auto" w:fill="auto"/>
            <w:vAlign w:val="center"/>
            <w:hideMark/>
          </w:tcPr>
          <w:p w14:paraId="04CEBB68"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363.17</w:t>
            </w:r>
          </w:p>
        </w:tc>
        <w:tc>
          <w:tcPr>
            <w:tcW w:w="1276" w:type="dxa"/>
            <w:shd w:val="clear" w:color="auto" w:fill="auto"/>
            <w:vAlign w:val="center"/>
            <w:hideMark/>
          </w:tcPr>
          <w:p w14:paraId="09F84A3E"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3,516.76</w:t>
            </w:r>
          </w:p>
        </w:tc>
        <w:tc>
          <w:tcPr>
            <w:tcW w:w="1134" w:type="dxa"/>
            <w:shd w:val="clear" w:color="auto" w:fill="auto"/>
            <w:vAlign w:val="center"/>
            <w:hideMark/>
          </w:tcPr>
          <w:p w14:paraId="1544EE9D"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6,893.74</w:t>
            </w:r>
          </w:p>
        </w:tc>
        <w:tc>
          <w:tcPr>
            <w:tcW w:w="1134" w:type="dxa"/>
            <w:shd w:val="clear" w:color="auto" w:fill="auto"/>
            <w:vAlign w:val="center"/>
            <w:hideMark/>
          </w:tcPr>
          <w:p w14:paraId="1082B875"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17,550.30</w:t>
            </w:r>
          </w:p>
        </w:tc>
        <w:tc>
          <w:tcPr>
            <w:tcW w:w="1275" w:type="dxa"/>
            <w:shd w:val="clear" w:color="auto" w:fill="auto"/>
            <w:vAlign w:val="center"/>
            <w:hideMark/>
          </w:tcPr>
          <w:p w14:paraId="01EB158F"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2,318.69</w:t>
            </w:r>
          </w:p>
        </w:tc>
        <w:tc>
          <w:tcPr>
            <w:tcW w:w="993" w:type="dxa"/>
            <w:shd w:val="clear" w:color="auto" w:fill="auto"/>
            <w:vAlign w:val="center"/>
            <w:hideMark/>
          </w:tcPr>
          <w:p w14:paraId="32A6B324"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698.01</w:t>
            </w:r>
          </w:p>
        </w:tc>
      </w:tr>
      <w:tr w:rsidR="0050758B" w:rsidRPr="0050758B" w14:paraId="63AF7D34" w14:textId="77777777" w:rsidTr="0049276C">
        <w:trPr>
          <w:trHeight w:val="300"/>
          <w:jc w:val="center"/>
        </w:trPr>
        <w:tc>
          <w:tcPr>
            <w:tcW w:w="1696" w:type="dxa"/>
            <w:shd w:val="clear" w:color="auto" w:fill="auto"/>
            <w:vAlign w:val="center"/>
            <w:hideMark/>
          </w:tcPr>
          <w:p w14:paraId="088462C4"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ZFP Palermo</w:t>
            </w:r>
          </w:p>
        </w:tc>
        <w:tc>
          <w:tcPr>
            <w:tcW w:w="1276" w:type="dxa"/>
            <w:shd w:val="clear" w:color="auto" w:fill="auto"/>
            <w:vAlign w:val="center"/>
            <w:hideMark/>
          </w:tcPr>
          <w:p w14:paraId="59CDBEA9"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506.01</w:t>
            </w:r>
          </w:p>
        </w:tc>
        <w:tc>
          <w:tcPr>
            <w:tcW w:w="1134" w:type="dxa"/>
            <w:shd w:val="clear" w:color="auto" w:fill="auto"/>
            <w:vAlign w:val="center"/>
            <w:hideMark/>
          </w:tcPr>
          <w:p w14:paraId="451841D8"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4,751.51</w:t>
            </w:r>
          </w:p>
        </w:tc>
        <w:tc>
          <w:tcPr>
            <w:tcW w:w="1276" w:type="dxa"/>
            <w:shd w:val="clear" w:color="auto" w:fill="auto"/>
            <w:vAlign w:val="center"/>
            <w:hideMark/>
          </w:tcPr>
          <w:p w14:paraId="4EA2DD40"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19.86</w:t>
            </w:r>
          </w:p>
        </w:tc>
        <w:tc>
          <w:tcPr>
            <w:tcW w:w="1276" w:type="dxa"/>
            <w:shd w:val="clear" w:color="auto" w:fill="auto"/>
            <w:vAlign w:val="center"/>
            <w:hideMark/>
          </w:tcPr>
          <w:p w14:paraId="590EBBA9"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0.00</w:t>
            </w:r>
          </w:p>
        </w:tc>
        <w:tc>
          <w:tcPr>
            <w:tcW w:w="1134" w:type="dxa"/>
            <w:shd w:val="clear" w:color="auto" w:fill="auto"/>
            <w:vAlign w:val="center"/>
            <w:hideMark/>
          </w:tcPr>
          <w:p w14:paraId="25423350"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378.19</w:t>
            </w:r>
          </w:p>
        </w:tc>
        <w:tc>
          <w:tcPr>
            <w:tcW w:w="1134" w:type="dxa"/>
            <w:shd w:val="clear" w:color="auto" w:fill="auto"/>
            <w:vAlign w:val="center"/>
            <w:hideMark/>
          </w:tcPr>
          <w:p w14:paraId="77B753A2"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12,049.82</w:t>
            </w:r>
          </w:p>
        </w:tc>
        <w:tc>
          <w:tcPr>
            <w:tcW w:w="1275" w:type="dxa"/>
            <w:shd w:val="clear" w:color="auto" w:fill="auto"/>
            <w:vAlign w:val="center"/>
            <w:hideMark/>
          </w:tcPr>
          <w:p w14:paraId="4F106A4F"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0.00</w:t>
            </w:r>
          </w:p>
        </w:tc>
        <w:tc>
          <w:tcPr>
            <w:tcW w:w="993" w:type="dxa"/>
            <w:shd w:val="clear" w:color="auto" w:fill="auto"/>
            <w:vAlign w:val="center"/>
            <w:hideMark/>
          </w:tcPr>
          <w:p w14:paraId="43CB274D"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0.00</w:t>
            </w:r>
          </w:p>
        </w:tc>
      </w:tr>
      <w:tr w:rsidR="0050758B" w:rsidRPr="0050758B" w14:paraId="6D9C5665" w14:textId="77777777" w:rsidTr="0049276C">
        <w:trPr>
          <w:trHeight w:val="300"/>
          <w:jc w:val="center"/>
        </w:trPr>
        <w:tc>
          <w:tcPr>
            <w:tcW w:w="1696" w:type="dxa"/>
            <w:shd w:val="clear" w:color="auto" w:fill="auto"/>
            <w:vAlign w:val="center"/>
            <w:hideMark/>
          </w:tcPr>
          <w:p w14:paraId="5E6311A0"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ZFP Parque Central</w:t>
            </w:r>
          </w:p>
        </w:tc>
        <w:tc>
          <w:tcPr>
            <w:tcW w:w="1276" w:type="dxa"/>
            <w:shd w:val="clear" w:color="auto" w:fill="auto"/>
            <w:vAlign w:val="center"/>
            <w:hideMark/>
          </w:tcPr>
          <w:p w14:paraId="19A809E2"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36,209.77</w:t>
            </w:r>
          </w:p>
        </w:tc>
        <w:tc>
          <w:tcPr>
            <w:tcW w:w="1134" w:type="dxa"/>
            <w:shd w:val="clear" w:color="auto" w:fill="auto"/>
            <w:vAlign w:val="center"/>
            <w:hideMark/>
          </w:tcPr>
          <w:p w14:paraId="5E8FE603"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30,107.89</w:t>
            </w:r>
          </w:p>
        </w:tc>
        <w:tc>
          <w:tcPr>
            <w:tcW w:w="1276" w:type="dxa"/>
            <w:shd w:val="clear" w:color="auto" w:fill="auto"/>
            <w:vAlign w:val="center"/>
            <w:hideMark/>
          </w:tcPr>
          <w:p w14:paraId="5177E2CC"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979.24</w:t>
            </w:r>
          </w:p>
        </w:tc>
        <w:tc>
          <w:tcPr>
            <w:tcW w:w="1276" w:type="dxa"/>
            <w:shd w:val="clear" w:color="auto" w:fill="auto"/>
            <w:vAlign w:val="center"/>
            <w:hideMark/>
          </w:tcPr>
          <w:p w14:paraId="7F44808D"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879.83</w:t>
            </w:r>
          </w:p>
        </w:tc>
        <w:tc>
          <w:tcPr>
            <w:tcW w:w="1134" w:type="dxa"/>
            <w:shd w:val="clear" w:color="auto" w:fill="auto"/>
            <w:vAlign w:val="center"/>
            <w:hideMark/>
          </w:tcPr>
          <w:p w14:paraId="02049644"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26,371.87</w:t>
            </w:r>
          </w:p>
        </w:tc>
        <w:tc>
          <w:tcPr>
            <w:tcW w:w="1134" w:type="dxa"/>
            <w:shd w:val="clear" w:color="auto" w:fill="auto"/>
            <w:vAlign w:val="center"/>
            <w:hideMark/>
          </w:tcPr>
          <w:p w14:paraId="050557B1"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21,881.97</w:t>
            </w:r>
          </w:p>
        </w:tc>
        <w:tc>
          <w:tcPr>
            <w:tcW w:w="1275" w:type="dxa"/>
            <w:shd w:val="clear" w:color="auto" w:fill="auto"/>
            <w:vAlign w:val="center"/>
            <w:hideMark/>
          </w:tcPr>
          <w:p w14:paraId="3901E27E"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207.51</w:t>
            </w:r>
          </w:p>
        </w:tc>
        <w:tc>
          <w:tcPr>
            <w:tcW w:w="993" w:type="dxa"/>
            <w:shd w:val="clear" w:color="auto" w:fill="auto"/>
            <w:vAlign w:val="center"/>
            <w:hideMark/>
          </w:tcPr>
          <w:p w14:paraId="185AC74B"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799.34</w:t>
            </w:r>
          </w:p>
        </w:tc>
      </w:tr>
      <w:tr w:rsidR="0050758B" w:rsidRPr="0050758B" w14:paraId="63F1AA26" w14:textId="77777777" w:rsidTr="0049276C">
        <w:trPr>
          <w:trHeight w:val="300"/>
          <w:jc w:val="center"/>
        </w:trPr>
        <w:tc>
          <w:tcPr>
            <w:tcW w:w="1696" w:type="dxa"/>
            <w:shd w:val="clear" w:color="auto" w:fill="auto"/>
            <w:vAlign w:val="center"/>
            <w:hideMark/>
          </w:tcPr>
          <w:p w14:paraId="21AB4BD7"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ZFP Santa Marta</w:t>
            </w:r>
          </w:p>
        </w:tc>
        <w:tc>
          <w:tcPr>
            <w:tcW w:w="1276" w:type="dxa"/>
            <w:shd w:val="clear" w:color="auto" w:fill="auto"/>
            <w:vAlign w:val="center"/>
            <w:hideMark/>
          </w:tcPr>
          <w:p w14:paraId="4389475B"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6,703.02</w:t>
            </w:r>
          </w:p>
        </w:tc>
        <w:tc>
          <w:tcPr>
            <w:tcW w:w="1134" w:type="dxa"/>
            <w:shd w:val="clear" w:color="auto" w:fill="auto"/>
            <w:vAlign w:val="center"/>
            <w:hideMark/>
          </w:tcPr>
          <w:p w14:paraId="04833625"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11,108.17</w:t>
            </w:r>
          </w:p>
        </w:tc>
        <w:tc>
          <w:tcPr>
            <w:tcW w:w="1276" w:type="dxa"/>
            <w:shd w:val="clear" w:color="auto" w:fill="auto"/>
            <w:vAlign w:val="center"/>
            <w:hideMark/>
          </w:tcPr>
          <w:p w14:paraId="38C0D2E1"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0.52</w:t>
            </w:r>
          </w:p>
        </w:tc>
        <w:tc>
          <w:tcPr>
            <w:tcW w:w="1276" w:type="dxa"/>
            <w:shd w:val="clear" w:color="auto" w:fill="auto"/>
            <w:vAlign w:val="center"/>
            <w:hideMark/>
          </w:tcPr>
          <w:p w14:paraId="5866C65F"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0.00</w:t>
            </w:r>
          </w:p>
        </w:tc>
        <w:tc>
          <w:tcPr>
            <w:tcW w:w="1134" w:type="dxa"/>
            <w:shd w:val="clear" w:color="auto" w:fill="auto"/>
            <w:vAlign w:val="center"/>
            <w:hideMark/>
          </w:tcPr>
          <w:p w14:paraId="79D51309"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1,863.31</w:t>
            </w:r>
          </w:p>
        </w:tc>
        <w:tc>
          <w:tcPr>
            <w:tcW w:w="1134" w:type="dxa"/>
            <w:shd w:val="clear" w:color="auto" w:fill="auto"/>
            <w:vAlign w:val="center"/>
            <w:hideMark/>
          </w:tcPr>
          <w:p w14:paraId="7E482904"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11,046.46</w:t>
            </w:r>
          </w:p>
        </w:tc>
        <w:tc>
          <w:tcPr>
            <w:tcW w:w="1275" w:type="dxa"/>
            <w:shd w:val="clear" w:color="auto" w:fill="auto"/>
            <w:vAlign w:val="center"/>
            <w:hideMark/>
          </w:tcPr>
          <w:p w14:paraId="315A7C42"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22.85</w:t>
            </w:r>
          </w:p>
        </w:tc>
        <w:tc>
          <w:tcPr>
            <w:tcW w:w="993" w:type="dxa"/>
            <w:shd w:val="clear" w:color="auto" w:fill="auto"/>
            <w:vAlign w:val="center"/>
            <w:hideMark/>
          </w:tcPr>
          <w:p w14:paraId="775DC8EA"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0.00</w:t>
            </w:r>
          </w:p>
        </w:tc>
      </w:tr>
      <w:tr w:rsidR="0050758B" w:rsidRPr="0050758B" w14:paraId="37B1AE82" w14:textId="77777777" w:rsidTr="0049276C">
        <w:trPr>
          <w:trHeight w:val="300"/>
          <w:jc w:val="center"/>
        </w:trPr>
        <w:tc>
          <w:tcPr>
            <w:tcW w:w="1696" w:type="dxa"/>
            <w:shd w:val="clear" w:color="auto" w:fill="auto"/>
            <w:vAlign w:val="center"/>
            <w:hideMark/>
          </w:tcPr>
          <w:p w14:paraId="4919586F"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ZFP Tayrona</w:t>
            </w:r>
          </w:p>
        </w:tc>
        <w:tc>
          <w:tcPr>
            <w:tcW w:w="1276" w:type="dxa"/>
            <w:shd w:val="clear" w:color="auto" w:fill="auto"/>
            <w:vAlign w:val="center"/>
            <w:hideMark/>
          </w:tcPr>
          <w:p w14:paraId="6C6271FD"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25,713.89</w:t>
            </w:r>
          </w:p>
        </w:tc>
        <w:tc>
          <w:tcPr>
            <w:tcW w:w="1134" w:type="dxa"/>
            <w:shd w:val="clear" w:color="auto" w:fill="auto"/>
            <w:vAlign w:val="center"/>
            <w:hideMark/>
          </w:tcPr>
          <w:p w14:paraId="17BBE4AF"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9,207.12</w:t>
            </w:r>
          </w:p>
        </w:tc>
        <w:tc>
          <w:tcPr>
            <w:tcW w:w="1276" w:type="dxa"/>
            <w:shd w:val="clear" w:color="auto" w:fill="auto"/>
            <w:vAlign w:val="center"/>
            <w:hideMark/>
          </w:tcPr>
          <w:p w14:paraId="1E40C519"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2.25</w:t>
            </w:r>
          </w:p>
        </w:tc>
        <w:tc>
          <w:tcPr>
            <w:tcW w:w="1276" w:type="dxa"/>
            <w:shd w:val="clear" w:color="auto" w:fill="auto"/>
            <w:vAlign w:val="center"/>
            <w:hideMark/>
          </w:tcPr>
          <w:p w14:paraId="35D61A69"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0.00</w:t>
            </w:r>
          </w:p>
        </w:tc>
        <w:tc>
          <w:tcPr>
            <w:tcW w:w="1134" w:type="dxa"/>
            <w:shd w:val="clear" w:color="auto" w:fill="auto"/>
            <w:vAlign w:val="center"/>
            <w:hideMark/>
          </w:tcPr>
          <w:p w14:paraId="71C00F2D"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16,758.53</w:t>
            </w:r>
          </w:p>
        </w:tc>
        <w:tc>
          <w:tcPr>
            <w:tcW w:w="1134" w:type="dxa"/>
            <w:shd w:val="clear" w:color="auto" w:fill="auto"/>
            <w:vAlign w:val="center"/>
            <w:hideMark/>
          </w:tcPr>
          <w:p w14:paraId="701313CD"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7,790.60</w:t>
            </w:r>
          </w:p>
        </w:tc>
        <w:tc>
          <w:tcPr>
            <w:tcW w:w="1275" w:type="dxa"/>
            <w:shd w:val="clear" w:color="auto" w:fill="auto"/>
            <w:vAlign w:val="center"/>
            <w:hideMark/>
          </w:tcPr>
          <w:p w14:paraId="26EB9363"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9,819.69</w:t>
            </w:r>
          </w:p>
        </w:tc>
        <w:tc>
          <w:tcPr>
            <w:tcW w:w="993" w:type="dxa"/>
            <w:shd w:val="clear" w:color="auto" w:fill="auto"/>
            <w:vAlign w:val="center"/>
            <w:hideMark/>
          </w:tcPr>
          <w:p w14:paraId="368216CE" w14:textId="77777777" w:rsidR="0050758B" w:rsidRPr="0050758B" w:rsidRDefault="0050758B" w:rsidP="0049276C">
            <w:pPr>
              <w:spacing w:after="0" w:line="240" w:lineRule="auto"/>
              <w:ind w:firstLine="0"/>
              <w:jc w:val="center"/>
              <w:rPr>
                <w:rFonts w:eastAsia="Times New Roman" w:cs="Times New Roman"/>
                <w:color w:val="000000"/>
                <w:kern w:val="0"/>
                <w:sz w:val="20"/>
                <w:lang w:eastAsia="es-CO"/>
                <w14:ligatures w14:val="none"/>
              </w:rPr>
            </w:pPr>
            <w:r w:rsidRPr="0050758B">
              <w:rPr>
                <w:rFonts w:eastAsia="Times New Roman" w:cs="Times New Roman"/>
                <w:color w:val="000000"/>
                <w:kern w:val="0"/>
                <w:sz w:val="20"/>
                <w:lang w:eastAsia="es-CO"/>
                <w14:ligatures w14:val="none"/>
              </w:rPr>
              <w:t>0.00</w:t>
            </w:r>
          </w:p>
        </w:tc>
      </w:tr>
    </w:tbl>
    <w:p w14:paraId="02393442" w14:textId="77777777" w:rsidR="0050758B" w:rsidRDefault="0050758B" w:rsidP="0015136C">
      <w:pPr>
        <w:spacing w:line="480" w:lineRule="auto"/>
        <w:jc w:val="center"/>
        <w:rPr>
          <w:lang w:eastAsia="es-ES"/>
        </w:rPr>
      </w:pPr>
      <w:r>
        <w:rPr>
          <w:lang w:eastAsia="es-ES"/>
        </w:rPr>
        <w:t>Nota: Elaboración propia, a partir de da datos del DANE</w:t>
      </w:r>
    </w:p>
    <w:p w14:paraId="0100E264" w14:textId="14BDA190" w:rsidR="00F20ED0" w:rsidRDefault="00F20ED0" w:rsidP="0015136C">
      <w:pPr>
        <w:spacing w:line="480" w:lineRule="auto"/>
        <w:rPr>
          <w:lang w:eastAsia="es-ES"/>
        </w:rPr>
      </w:pPr>
      <w:r>
        <w:rPr>
          <w:lang w:eastAsia="es-ES"/>
        </w:rPr>
        <w:t xml:space="preserve">En primer lugar, la Zona Franca Barranquilla se posiciona como la más destacada en términos de ingresos en todas las categorías de operación. En 2024, los ingresos provenientes del resto del mundo experimentan un notable aumento, pasando de 30.181,45 </w:t>
      </w:r>
      <w:r w:rsidR="00D026F0">
        <w:rPr>
          <w:lang w:eastAsia="es-ES"/>
        </w:rPr>
        <w:t>miles</w:t>
      </w:r>
      <w:r>
        <w:rPr>
          <w:lang w:eastAsia="es-ES"/>
        </w:rPr>
        <w:t xml:space="preserve"> de dólares CIF en 2023 a 43.466,32 en 2024, lo que representa un crecimiento del 43,8%. Este aumento indica la competitividad y el atractivo de esta zona para las inversiones extranjeras. Sin embargo, los </w:t>
      </w:r>
      <w:r>
        <w:rPr>
          <w:lang w:eastAsia="es-ES"/>
        </w:rPr>
        <w:lastRenderedPageBreak/>
        <w:t xml:space="preserve">ingresos por la operación </w:t>
      </w:r>
      <w:r>
        <w:t>Transferencia Adicional de Negocios</w:t>
      </w:r>
      <w:r>
        <w:rPr>
          <w:lang w:eastAsia="es-ES"/>
        </w:rPr>
        <w:t xml:space="preserve"> (TAN) disminuyen de 36.197,74 a 28.243,82, lo que sugiere que, a pesar del crecimiento general, podría haber una baja en la efectividad de las operaciones internas.</w:t>
      </w:r>
    </w:p>
    <w:p w14:paraId="1B9689EB" w14:textId="48AF89C9" w:rsidR="00F20ED0" w:rsidRDefault="00F20ED0" w:rsidP="0015136C">
      <w:pPr>
        <w:spacing w:line="480" w:lineRule="auto"/>
        <w:rPr>
          <w:lang w:eastAsia="es-ES"/>
        </w:rPr>
      </w:pPr>
      <w:r>
        <w:rPr>
          <w:lang w:eastAsia="es-ES"/>
        </w:rPr>
        <w:t xml:space="preserve">Por otro lado, la Zona Franca Cartagena muestra un panorama mixto. A pesar de que los ingresos totales del resto del mundo han caído de 13.904,37 a 12.755,61 </w:t>
      </w:r>
      <w:r w:rsidR="00D026F0">
        <w:rPr>
          <w:lang w:eastAsia="es-ES"/>
        </w:rPr>
        <w:t>miles</w:t>
      </w:r>
      <w:r>
        <w:rPr>
          <w:lang w:eastAsia="es-ES"/>
        </w:rPr>
        <w:t xml:space="preserve"> de dólares, los ingresos por TAN han aumentado ligeramente de 10.472,97 a 11.974,46 </w:t>
      </w:r>
      <w:r w:rsidR="00D026F0">
        <w:rPr>
          <w:lang w:eastAsia="es-ES"/>
        </w:rPr>
        <w:t>miles</w:t>
      </w:r>
      <w:r>
        <w:rPr>
          <w:lang w:eastAsia="es-ES"/>
        </w:rPr>
        <w:t xml:space="preserve"> de dólares, lo que podría señalar una mejora en la eficiencia de las operaciones locales. Sin embargo, la disminución de los ingresos globales puede requerir una estrategia estratégica para atraer más inversiones internacionales. La situación en la Zona Franca Internacional del Atlántico es interesante; aunque los ingresos del resto del mundo aumentan significativamente de 10.760,66 a 23.725,25 </w:t>
      </w:r>
      <w:r w:rsidR="00D026F0">
        <w:rPr>
          <w:lang w:eastAsia="es-ES"/>
        </w:rPr>
        <w:t>miles</w:t>
      </w:r>
      <w:r>
        <w:rPr>
          <w:lang w:eastAsia="es-ES"/>
        </w:rPr>
        <w:t xml:space="preserve"> de dólares, los ingresos por TAN han disminuido significativamente de 5.542,99 a 5.146,95. Esta dualidad sugiere que la zona ha tenido éxito en atraer inversiones externas pero enfrenta desafíos internos que podrían limitar su potencial.</w:t>
      </w:r>
    </w:p>
    <w:p w14:paraId="1798889E" w14:textId="3DD3389A" w:rsidR="0050758B" w:rsidRDefault="00F20ED0" w:rsidP="0015136C">
      <w:pPr>
        <w:spacing w:line="480" w:lineRule="auto"/>
        <w:rPr>
          <w:lang w:eastAsia="es-ES"/>
        </w:rPr>
      </w:pPr>
      <w:r>
        <w:rPr>
          <w:lang w:eastAsia="es-ES"/>
        </w:rPr>
        <w:t xml:space="preserve">En contraste, la Zona Franca La Cayena presenta un escenario preocupante interesante: los ingresos del resto del mundo disminuyen de 10.510,84 a 6.893,74 </w:t>
      </w:r>
      <w:r w:rsidR="00D026F0">
        <w:rPr>
          <w:lang w:eastAsia="es-ES"/>
        </w:rPr>
        <w:t>miles</w:t>
      </w:r>
      <w:r>
        <w:rPr>
          <w:lang w:eastAsia="es-ES"/>
        </w:rPr>
        <w:t xml:space="preserve"> de dólares, mientras que los ingresos por TAN disminuyen  de 18.806,89 a 17.550,30. Esto indica que ha habido una caída en la atracción de capital externo y de la actividad interna.</w:t>
      </w:r>
      <w:r w:rsidR="00E53212">
        <w:rPr>
          <w:lang w:eastAsia="es-ES"/>
        </w:rPr>
        <w:t xml:space="preserve"> </w:t>
      </w:r>
      <w:r>
        <w:rPr>
          <w:lang w:eastAsia="es-ES"/>
        </w:rPr>
        <w:t>Es relevante mencionar la Zona Franca Palermo, que muestra ingresos considerablemente bajos en comparación con otras zonas; Sin embargo, sus ingresos por TAN han crecido significativamente de 4.751,51 a 12.049,82. Esto podría reflejar una estrategia exitosa de especialización o adaptación que aún necesita mejorar su competitividad para atraer más ingresos internacionales.</w:t>
      </w:r>
    </w:p>
    <w:p w14:paraId="62E00B79" w14:textId="77777777" w:rsidR="000F5CBF" w:rsidRDefault="000F5CBF" w:rsidP="0015136C">
      <w:pPr>
        <w:spacing w:line="480" w:lineRule="auto"/>
        <w:rPr>
          <w:lang w:eastAsia="es-ES"/>
        </w:rPr>
      </w:pPr>
    </w:p>
    <w:p w14:paraId="4A7710E7" w14:textId="1A8114D1" w:rsidR="009044DE" w:rsidRPr="009044DE" w:rsidRDefault="009044DE" w:rsidP="009044DE">
      <w:pPr>
        <w:pStyle w:val="Descripcin"/>
        <w:spacing w:after="0"/>
        <w:rPr>
          <w:b/>
          <w:bCs/>
          <w:i w:val="0"/>
          <w:iCs w:val="0"/>
          <w:color w:val="auto"/>
          <w:sz w:val="24"/>
          <w:szCs w:val="22"/>
          <w:lang w:eastAsia="es-ES"/>
        </w:rPr>
      </w:pPr>
      <w:bookmarkStart w:id="80" w:name="_Toc178689010"/>
      <w:bookmarkStart w:id="81" w:name="_Toc183783083"/>
      <w:r w:rsidRPr="009044DE">
        <w:rPr>
          <w:b/>
          <w:bCs/>
          <w:i w:val="0"/>
          <w:iCs w:val="0"/>
          <w:color w:val="auto"/>
          <w:sz w:val="24"/>
          <w:szCs w:val="22"/>
          <w:lang w:eastAsia="es-ES"/>
        </w:rPr>
        <w:lastRenderedPageBreak/>
        <w:t xml:space="preserve">Tabla </w:t>
      </w:r>
      <w:r w:rsidRPr="009044DE">
        <w:rPr>
          <w:b/>
          <w:bCs/>
          <w:i w:val="0"/>
          <w:iCs w:val="0"/>
          <w:color w:val="auto"/>
          <w:sz w:val="24"/>
          <w:szCs w:val="22"/>
          <w:lang w:eastAsia="es-ES"/>
        </w:rPr>
        <w:fldChar w:fldCharType="begin"/>
      </w:r>
      <w:r w:rsidRPr="009044DE">
        <w:rPr>
          <w:b/>
          <w:bCs/>
          <w:i w:val="0"/>
          <w:iCs w:val="0"/>
          <w:color w:val="auto"/>
          <w:sz w:val="24"/>
          <w:szCs w:val="22"/>
          <w:lang w:eastAsia="es-ES"/>
        </w:rPr>
        <w:instrText xml:space="preserve"> SEQ Tabla \* ARABIC </w:instrText>
      </w:r>
      <w:r w:rsidRPr="009044DE">
        <w:rPr>
          <w:b/>
          <w:bCs/>
          <w:i w:val="0"/>
          <w:iCs w:val="0"/>
          <w:color w:val="auto"/>
          <w:sz w:val="24"/>
          <w:szCs w:val="22"/>
          <w:lang w:eastAsia="es-ES"/>
        </w:rPr>
        <w:fldChar w:fldCharType="separate"/>
      </w:r>
      <w:r w:rsidR="00901E21">
        <w:rPr>
          <w:b/>
          <w:bCs/>
          <w:i w:val="0"/>
          <w:iCs w:val="0"/>
          <w:noProof/>
          <w:color w:val="auto"/>
          <w:sz w:val="24"/>
          <w:szCs w:val="22"/>
          <w:lang w:eastAsia="es-ES"/>
        </w:rPr>
        <w:t>9</w:t>
      </w:r>
      <w:r w:rsidRPr="009044DE">
        <w:rPr>
          <w:b/>
          <w:bCs/>
          <w:i w:val="0"/>
          <w:iCs w:val="0"/>
          <w:color w:val="auto"/>
          <w:sz w:val="24"/>
          <w:szCs w:val="22"/>
          <w:lang w:eastAsia="es-ES"/>
        </w:rPr>
        <w:fldChar w:fldCharType="end"/>
      </w:r>
      <w:r w:rsidRPr="009044DE">
        <w:rPr>
          <w:b/>
          <w:bCs/>
          <w:i w:val="0"/>
          <w:iCs w:val="0"/>
          <w:color w:val="auto"/>
          <w:sz w:val="24"/>
          <w:szCs w:val="22"/>
          <w:lang w:eastAsia="es-ES"/>
        </w:rPr>
        <w:t>:</w:t>
      </w:r>
      <w:bookmarkEnd w:id="80"/>
      <w:bookmarkEnd w:id="81"/>
      <w:r w:rsidRPr="009044DE">
        <w:rPr>
          <w:b/>
          <w:bCs/>
          <w:i w:val="0"/>
          <w:iCs w:val="0"/>
          <w:color w:val="auto"/>
          <w:sz w:val="24"/>
          <w:szCs w:val="22"/>
          <w:lang w:eastAsia="es-ES"/>
        </w:rPr>
        <w:t xml:space="preserve"> </w:t>
      </w:r>
    </w:p>
    <w:p w14:paraId="48250FA0" w14:textId="76BC931E" w:rsidR="000F5CBF" w:rsidRPr="006C3145" w:rsidRDefault="009044DE" w:rsidP="009044DE">
      <w:pPr>
        <w:pStyle w:val="Descripcin"/>
        <w:spacing w:after="0"/>
        <w:rPr>
          <w:i w:val="0"/>
          <w:iCs w:val="0"/>
          <w:color w:val="auto"/>
          <w:sz w:val="24"/>
          <w:szCs w:val="22"/>
          <w:lang w:eastAsia="es-ES"/>
        </w:rPr>
      </w:pPr>
      <w:bookmarkStart w:id="82" w:name="_Toc178689011"/>
      <w:bookmarkStart w:id="83" w:name="_Toc183783084"/>
      <w:r w:rsidRPr="006C3145">
        <w:rPr>
          <w:i w:val="0"/>
          <w:iCs w:val="0"/>
          <w:color w:val="auto"/>
          <w:sz w:val="24"/>
          <w:szCs w:val="22"/>
          <w:lang w:eastAsia="es-ES"/>
        </w:rPr>
        <w:t>Salidas Totales Según Zonas Francas - Miles de Dólares FOB (2024/2023)</w:t>
      </w:r>
      <w:bookmarkEnd w:id="82"/>
      <w:bookmarkEnd w:id="83"/>
    </w:p>
    <w:p w14:paraId="3B64EEF1" w14:textId="77777777" w:rsidR="009044DE" w:rsidRPr="009044DE" w:rsidRDefault="009044DE" w:rsidP="009044DE">
      <w:pPr>
        <w:rPr>
          <w:lang w:eastAsia="es-ES"/>
        </w:rPr>
      </w:pPr>
    </w:p>
    <w:tbl>
      <w:tblPr>
        <w:tblW w:w="580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400"/>
        <w:gridCol w:w="1200"/>
        <w:gridCol w:w="1200"/>
      </w:tblGrid>
      <w:tr w:rsidR="000F5CBF" w:rsidRPr="000F5CBF" w14:paraId="466E43F4" w14:textId="77777777" w:rsidTr="009044DE">
        <w:trPr>
          <w:trHeight w:val="300"/>
          <w:jc w:val="center"/>
        </w:trPr>
        <w:tc>
          <w:tcPr>
            <w:tcW w:w="3400" w:type="dxa"/>
            <w:tcBorders>
              <w:top w:val="single" w:sz="4" w:space="0" w:color="auto"/>
              <w:bottom w:val="single" w:sz="4" w:space="0" w:color="auto"/>
            </w:tcBorders>
            <w:shd w:val="clear" w:color="auto" w:fill="auto"/>
            <w:vAlign w:val="center"/>
            <w:hideMark/>
          </w:tcPr>
          <w:p w14:paraId="5D4EC84B" w14:textId="77777777" w:rsidR="000F5CBF" w:rsidRPr="000F5CBF" w:rsidRDefault="000F5CBF" w:rsidP="0015136C">
            <w:pPr>
              <w:spacing w:after="0" w:line="480" w:lineRule="auto"/>
              <w:ind w:firstLine="0"/>
              <w:jc w:val="center"/>
              <w:rPr>
                <w:rFonts w:eastAsia="Times New Roman" w:cs="Times New Roman"/>
                <w:b/>
                <w:bCs/>
                <w:color w:val="000000"/>
                <w:kern w:val="0"/>
                <w:sz w:val="22"/>
                <w:lang w:eastAsia="es-CO"/>
                <w14:ligatures w14:val="none"/>
              </w:rPr>
            </w:pPr>
            <w:r w:rsidRPr="000F5CBF">
              <w:rPr>
                <w:rFonts w:eastAsia="Times New Roman" w:cs="Times New Roman"/>
                <w:b/>
                <w:bCs/>
                <w:color w:val="000000"/>
                <w:kern w:val="0"/>
                <w:sz w:val="22"/>
                <w:lang w:eastAsia="es-CO"/>
                <w14:ligatures w14:val="none"/>
              </w:rPr>
              <w:t>Zona Franca</w:t>
            </w:r>
          </w:p>
        </w:tc>
        <w:tc>
          <w:tcPr>
            <w:tcW w:w="1200" w:type="dxa"/>
            <w:tcBorders>
              <w:top w:val="single" w:sz="4" w:space="0" w:color="auto"/>
              <w:bottom w:val="single" w:sz="4" w:space="0" w:color="auto"/>
            </w:tcBorders>
            <w:shd w:val="clear" w:color="auto" w:fill="auto"/>
            <w:vAlign w:val="center"/>
            <w:hideMark/>
          </w:tcPr>
          <w:p w14:paraId="3266D318" w14:textId="77777777" w:rsidR="000F5CBF" w:rsidRPr="000F5CBF" w:rsidRDefault="000F5CBF" w:rsidP="0015136C">
            <w:pPr>
              <w:spacing w:after="0" w:line="480" w:lineRule="auto"/>
              <w:ind w:firstLine="0"/>
              <w:jc w:val="center"/>
              <w:rPr>
                <w:rFonts w:eastAsia="Times New Roman" w:cs="Times New Roman"/>
                <w:b/>
                <w:bCs/>
                <w:color w:val="000000"/>
                <w:kern w:val="0"/>
                <w:sz w:val="22"/>
                <w:lang w:eastAsia="es-CO"/>
                <w14:ligatures w14:val="none"/>
              </w:rPr>
            </w:pPr>
            <w:r w:rsidRPr="000F5CBF">
              <w:rPr>
                <w:rFonts w:eastAsia="Times New Roman" w:cs="Times New Roman"/>
                <w:b/>
                <w:bCs/>
                <w:color w:val="000000"/>
                <w:kern w:val="0"/>
                <w:sz w:val="22"/>
                <w:lang w:eastAsia="es-CO"/>
                <w14:ligatures w14:val="none"/>
              </w:rPr>
              <w:t>2023</w:t>
            </w:r>
          </w:p>
        </w:tc>
        <w:tc>
          <w:tcPr>
            <w:tcW w:w="1200" w:type="dxa"/>
            <w:tcBorders>
              <w:top w:val="single" w:sz="4" w:space="0" w:color="auto"/>
              <w:bottom w:val="single" w:sz="4" w:space="0" w:color="auto"/>
            </w:tcBorders>
            <w:shd w:val="clear" w:color="auto" w:fill="auto"/>
            <w:vAlign w:val="center"/>
            <w:hideMark/>
          </w:tcPr>
          <w:p w14:paraId="2DBCFE23" w14:textId="77777777" w:rsidR="000F5CBF" w:rsidRPr="000F5CBF" w:rsidRDefault="000F5CBF" w:rsidP="0015136C">
            <w:pPr>
              <w:spacing w:after="0" w:line="480" w:lineRule="auto"/>
              <w:ind w:firstLine="0"/>
              <w:jc w:val="center"/>
              <w:rPr>
                <w:rFonts w:eastAsia="Times New Roman" w:cs="Times New Roman"/>
                <w:b/>
                <w:bCs/>
                <w:color w:val="000000"/>
                <w:kern w:val="0"/>
                <w:sz w:val="22"/>
                <w:lang w:eastAsia="es-CO"/>
                <w14:ligatures w14:val="none"/>
              </w:rPr>
            </w:pPr>
            <w:r w:rsidRPr="000F5CBF">
              <w:rPr>
                <w:rFonts w:eastAsia="Times New Roman" w:cs="Times New Roman"/>
                <w:b/>
                <w:bCs/>
                <w:color w:val="000000"/>
                <w:kern w:val="0"/>
                <w:sz w:val="22"/>
                <w:lang w:eastAsia="es-CO"/>
                <w14:ligatures w14:val="none"/>
              </w:rPr>
              <w:t>2024</w:t>
            </w:r>
          </w:p>
        </w:tc>
      </w:tr>
      <w:tr w:rsidR="000F5CBF" w:rsidRPr="000F5CBF" w14:paraId="402FFAA2" w14:textId="77777777" w:rsidTr="009044DE">
        <w:trPr>
          <w:trHeight w:val="300"/>
          <w:jc w:val="center"/>
        </w:trPr>
        <w:tc>
          <w:tcPr>
            <w:tcW w:w="3400" w:type="dxa"/>
            <w:tcBorders>
              <w:top w:val="single" w:sz="4" w:space="0" w:color="auto"/>
            </w:tcBorders>
            <w:shd w:val="clear" w:color="auto" w:fill="auto"/>
            <w:vAlign w:val="center"/>
            <w:hideMark/>
          </w:tcPr>
          <w:p w14:paraId="0F31CD2C"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ZFP Barranquilla</w:t>
            </w:r>
          </w:p>
        </w:tc>
        <w:tc>
          <w:tcPr>
            <w:tcW w:w="1200" w:type="dxa"/>
            <w:tcBorders>
              <w:top w:val="single" w:sz="4" w:space="0" w:color="auto"/>
            </w:tcBorders>
            <w:shd w:val="clear" w:color="auto" w:fill="auto"/>
            <w:vAlign w:val="center"/>
            <w:hideMark/>
          </w:tcPr>
          <w:p w14:paraId="0498C92F"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94,314.73</w:t>
            </w:r>
          </w:p>
        </w:tc>
        <w:tc>
          <w:tcPr>
            <w:tcW w:w="1200" w:type="dxa"/>
            <w:tcBorders>
              <w:top w:val="single" w:sz="4" w:space="0" w:color="auto"/>
            </w:tcBorders>
            <w:shd w:val="clear" w:color="auto" w:fill="auto"/>
            <w:vAlign w:val="center"/>
            <w:hideMark/>
          </w:tcPr>
          <w:p w14:paraId="746ACC63"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104,183.70</w:t>
            </w:r>
          </w:p>
        </w:tc>
      </w:tr>
      <w:tr w:rsidR="000F5CBF" w:rsidRPr="000F5CBF" w14:paraId="21C76181" w14:textId="77777777" w:rsidTr="009044DE">
        <w:trPr>
          <w:trHeight w:val="300"/>
          <w:jc w:val="center"/>
        </w:trPr>
        <w:tc>
          <w:tcPr>
            <w:tcW w:w="3400" w:type="dxa"/>
            <w:shd w:val="clear" w:color="auto" w:fill="auto"/>
            <w:vAlign w:val="center"/>
            <w:hideMark/>
          </w:tcPr>
          <w:p w14:paraId="0BAEFEAF"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ZFP Internacional del Atlántico</w:t>
            </w:r>
          </w:p>
        </w:tc>
        <w:tc>
          <w:tcPr>
            <w:tcW w:w="1200" w:type="dxa"/>
            <w:shd w:val="clear" w:color="auto" w:fill="auto"/>
            <w:vAlign w:val="center"/>
            <w:hideMark/>
          </w:tcPr>
          <w:p w14:paraId="536D2D48"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16,317.16</w:t>
            </w:r>
          </w:p>
        </w:tc>
        <w:tc>
          <w:tcPr>
            <w:tcW w:w="1200" w:type="dxa"/>
            <w:shd w:val="clear" w:color="auto" w:fill="auto"/>
            <w:vAlign w:val="center"/>
            <w:hideMark/>
          </w:tcPr>
          <w:p w14:paraId="1E6EF55B"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23,396.00</w:t>
            </w:r>
          </w:p>
        </w:tc>
      </w:tr>
      <w:tr w:rsidR="000F5CBF" w:rsidRPr="000F5CBF" w14:paraId="6780885C" w14:textId="77777777" w:rsidTr="009044DE">
        <w:trPr>
          <w:trHeight w:val="300"/>
          <w:jc w:val="center"/>
        </w:trPr>
        <w:tc>
          <w:tcPr>
            <w:tcW w:w="3400" w:type="dxa"/>
            <w:shd w:val="clear" w:color="auto" w:fill="auto"/>
            <w:vAlign w:val="center"/>
            <w:hideMark/>
          </w:tcPr>
          <w:p w14:paraId="78F4433D"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ZFP Palermo</w:t>
            </w:r>
          </w:p>
        </w:tc>
        <w:tc>
          <w:tcPr>
            <w:tcW w:w="1200" w:type="dxa"/>
            <w:shd w:val="clear" w:color="auto" w:fill="auto"/>
            <w:vAlign w:val="center"/>
            <w:hideMark/>
          </w:tcPr>
          <w:p w14:paraId="4DC46FE6"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5,493.10</w:t>
            </w:r>
          </w:p>
        </w:tc>
        <w:tc>
          <w:tcPr>
            <w:tcW w:w="1200" w:type="dxa"/>
            <w:shd w:val="clear" w:color="auto" w:fill="auto"/>
            <w:vAlign w:val="center"/>
            <w:hideMark/>
          </w:tcPr>
          <w:p w14:paraId="0405A466"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11,819.76</w:t>
            </w:r>
          </w:p>
        </w:tc>
      </w:tr>
      <w:tr w:rsidR="000F5CBF" w:rsidRPr="000F5CBF" w14:paraId="1CF55283" w14:textId="77777777" w:rsidTr="009044DE">
        <w:trPr>
          <w:trHeight w:val="300"/>
          <w:jc w:val="center"/>
        </w:trPr>
        <w:tc>
          <w:tcPr>
            <w:tcW w:w="3400" w:type="dxa"/>
            <w:shd w:val="clear" w:color="auto" w:fill="auto"/>
            <w:vAlign w:val="center"/>
            <w:hideMark/>
          </w:tcPr>
          <w:p w14:paraId="48FC312D"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ZFP la Cayena</w:t>
            </w:r>
          </w:p>
        </w:tc>
        <w:tc>
          <w:tcPr>
            <w:tcW w:w="1200" w:type="dxa"/>
            <w:shd w:val="clear" w:color="auto" w:fill="auto"/>
            <w:vAlign w:val="center"/>
            <w:hideMark/>
          </w:tcPr>
          <w:p w14:paraId="0DF75994"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39,159.36</w:t>
            </w:r>
          </w:p>
        </w:tc>
        <w:tc>
          <w:tcPr>
            <w:tcW w:w="1200" w:type="dxa"/>
            <w:shd w:val="clear" w:color="auto" w:fill="auto"/>
            <w:vAlign w:val="center"/>
            <w:hideMark/>
          </w:tcPr>
          <w:p w14:paraId="65342827"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40,552.74</w:t>
            </w:r>
          </w:p>
        </w:tc>
      </w:tr>
      <w:tr w:rsidR="000F5CBF" w:rsidRPr="000F5CBF" w14:paraId="579291FE" w14:textId="77777777" w:rsidTr="009044DE">
        <w:trPr>
          <w:trHeight w:val="300"/>
          <w:jc w:val="center"/>
        </w:trPr>
        <w:tc>
          <w:tcPr>
            <w:tcW w:w="3400" w:type="dxa"/>
            <w:shd w:val="clear" w:color="auto" w:fill="auto"/>
            <w:vAlign w:val="center"/>
            <w:hideMark/>
          </w:tcPr>
          <w:p w14:paraId="0A6B261D"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ZFP Santa Marta</w:t>
            </w:r>
          </w:p>
        </w:tc>
        <w:tc>
          <w:tcPr>
            <w:tcW w:w="1200" w:type="dxa"/>
            <w:shd w:val="clear" w:color="auto" w:fill="auto"/>
            <w:vAlign w:val="center"/>
            <w:hideMark/>
          </w:tcPr>
          <w:p w14:paraId="4BA1D4B1"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19,841.99</w:t>
            </w:r>
          </w:p>
        </w:tc>
        <w:tc>
          <w:tcPr>
            <w:tcW w:w="1200" w:type="dxa"/>
            <w:shd w:val="clear" w:color="auto" w:fill="auto"/>
            <w:vAlign w:val="center"/>
            <w:hideMark/>
          </w:tcPr>
          <w:p w14:paraId="1A695FF2"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15,297.19</w:t>
            </w:r>
          </w:p>
        </w:tc>
      </w:tr>
      <w:tr w:rsidR="000F5CBF" w:rsidRPr="000F5CBF" w14:paraId="14917793" w14:textId="77777777" w:rsidTr="009044DE">
        <w:trPr>
          <w:trHeight w:val="300"/>
          <w:jc w:val="center"/>
        </w:trPr>
        <w:tc>
          <w:tcPr>
            <w:tcW w:w="3400" w:type="dxa"/>
            <w:shd w:val="clear" w:color="auto" w:fill="auto"/>
            <w:vAlign w:val="center"/>
            <w:hideMark/>
          </w:tcPr>
          <w:p w14:paraId="2CF79744"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ZFP Cartagena</w:t>
            </w:r>
          </w:p>
        </w:tc>
        <w:tc>
          <w:tcPr>
            <w:tcW w:w="1200" w:type="dxa"/>
            <w:shd w:val="clear" w:color="auto" w:fill="auto"/>
            <w:vAlign w:val="center"/>
            <w:hideMark/>
          </w:tcPr>
          <w:p w14:paraId="3172C4F3"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29,678.23</w:t>
            </w:r>
          </w:p>
        </w:tc>
        <w:tc>
          <w:tcPr>
            <w:tcW w:w="1200" w:type="dxa"/>
            <w:shd w:val="clear" w:color="auto" w:fill="auto"/>
            <w:vAlign w:val="center"/>
            <w:hideMark/>
          </w:tcPr>
          <w:p w14:paraId="1AFA6F6D" w14:textId="77777777" w:rsidR="000F5CBF" w:rsidRPr="000F5CBF" w:rsidRDefault="000F5CBF" w:rsidP="0015136C">
            <w:pPr>
              <w:spacing w:after="0" w:line="480" w:lineRule="auto"/>
              <w:ind w:firstLine="0"/>
              <w:rPr>
                <w:rFonts w:eastAsia="Times New Roman" w:cs="Times New Roman"/>
                <w:color w:val="000000"/>
                <w:kern w:val="0"/>
                <w:sz w:val="22"/>
                <w:lang w:eastAsia="es-CO"/>
                <w14:ligatures w14:val="none"/>
              </w:rPr>
            </w:pPr>
            <w:r w:rsidRPr="000F5CBF">
              <w:rPr>
                <w:rFonts w:eastAsia="Times New Roman" w:cs="Times New Roman"/>
                <w:color w:val="000000"/>
                <w:kern w:val="0"/>
                <w:sz w:val="22"/>
                <w:lang w:eastAsia="es-CO"/>
                <w14:ligatures w14:val="none"/>
              </w:rPr>
              <w:t>24,976.71</w:t>
            </w:r>
          </w:p>
        </w:tc>
      </w:tr>
    </w:tbl>
    <w:p w14:paraId="3B80DFB5" w14:textId="77777777" w:rsidR="000F5CBF" w:rsidRDefault="000F5CBF" w:rsidP="0015136C">
      <w:pPr>
        <w:spacing w:line="480" w:lineRule="auto"/>
        <w:jc w:val="center"/>
        <w:rPr>
          <w:lang w:eastAsia="es-ES"/>
        </w:rPr>
      </w:pPr>
      <w:r>
        <w:rPr>
          <w:lang w:eastAsia="es-ES"/>
        </w:rPr>
        <w:t>Nota: Elaboración propia, a partir de da datos del DANE</w:t>
      </w:r>
    </w:p>
    <w:p w14:paraId="70242D84" w14:textId="17301B60" w:rsidR="000F5CBF" w:rsidRDefault="00516D68" w:rsidP="0015136C">
      <w:pPr>
        <w:spacing w:line="480" w:lineRule="auto"/>
        <w:rPr>
          <w:lang w:eastAsia="es-ES"/>
        </w:rPr>
      </w:pPr>
      <w:r>
        <w:rPr>
          <w:lang w:eastAsia="es-ES"/>
        </w:rPr>
        <w:t>El cuadro</w:t>
      </w:r>
      <w:r w:rsidR="000F5CBF">
        <w:rPr>
          <w:lang w:eastAsia="es-ES"/>
        </w:rPr>
        <w:t xml:space="preserve"> de las salidas totales de las zonas francas en la región caribeña de Colombia revela cambios significativos entre 2023 y 2024. La Zona Franca Barranquilla se destaca como la principal zona franca, con un notable aumento en sus salidas, que pasan</w:t>
      </w:r>
      <w:r w:rsidR="00D026F0">
        <w:rPr>
          <w:lang w:eastAsia="es-ES"/>
        </w:rPr>
        <w:t xml:space="preserve"> de 94,314.73 mile</w:t>
      </w:r>
      <w:r w:rsidR="000F5CBF">
        <w:rPr>
          <w:lang w:eastAsia="es-ES"/>
        </w:rPr>
        <w:t xml:space="preserve">s de dólares en 2023 a 104,183.70 </w:t>
      </w:r>
      <w:r w:rsidR="00D026F0">
        <w:rPr>
          <w:lang w:eastAsia="es-ES"/>
        </w:rPr>
        <w:t>miles</w:t>
      </w:r>
      <w:r w:rsidR="000F5CBF">
        <w:rPr>
          <w:lang w:eastAsia="es-ES"/>
        </w:rPr>
        <w:t xml:space="preserve"> de dólares en 2024. Este crecimiento sugiere un incremento en la producción o en la demanda de los productos que se manejan en esta zona, lo que podría indicar una mejora en su competitividad y eficiencia operativa.</w:t>
      </w:r>
    </w:p>
    <w:p w14:paraId="36F30FEC" w14:textId="22ACE1FE" w:rsidR="000F5CBF" w:rsidRDefault="000F5CBF" w:rsidP="0015136C">
      <w:pPr>
        <w:spacing w:line="480" w:lineRule="auto"/>
        <w:rPr>
          <w:lang w:eastAsia="es-ES"/>
        </w:rPr>
      </w:pPr>
      <w:r>
        <w:rPr>
          <w:lang w:eastAsia="es-ES"/>
        </w:rPr>
        <w:t xml:space="preserve">Por otro lado, la Zona Franca Internacional del Atlántico también muestra un aumento en sus salidas, que se elevan de 16,317.16 </w:t>
      </w:r>
      <w:r w:rsidR="00D026F0">
        <w:rPr>
          <w:lang w:eastAsia="es-ES"/>
        </w:rPr>
        <w:t>miles</w:t>
      </w:r>
      <w:r>
        <w:rPr>
          <w:lang w:eastAsia="es-ES"/>
        </w:rPr>
        <w:t xml:space="preserve"> de dólares a 23,396.00 </w:t>
      </w:r>
      <w:r w:rsidR="00D026F0">
        <w:rPr>
          <w:lang w:eastAsia="es-ES"/>
        </w:rPr>
        <w:t>miles</w:t>
      </w:r>
      <w:r>
        <w:rPr>
          <w:lang w:eastAsia="es-ES"/>
        </w:rPr>
        <w:t xml:space="preserve"> de dólares, reflejando un crecimiento considerable en su capacidad operativa. Esto podría ser el resultado de una diversificación de productos o un aumento en las exportaciones hacia mercados internacionales.</w:t>
      </w:r>
    </w:p>
    <w:p w14:paraId="25B6AB06" w14:textId="3462C2B3" w:rsidR="000F5CBF" w:rsidRDefault="000F5CBF" w:rsidP="0015136C">
      <w:pPr>
        <w:spacing w:line="480" w:lineRule="auto"/>
        <w:rPr>
          <w:lang w:eastAsia="es-ES"/>
        </w:rPr>
      </w:pPr>
      <w:r>
        <w:rPr>
          <w:lang w:eastAsia="es-ES"/>
        </w:rPr>
        <w:t xml:space="preserve">Sin embargo, algunas zonas francas como Santa Marta y Cartagena experimentan descensos en sus salidas. La Zona Franca Santa Marta disminuye de 19.841,99 </w:t>
      </w:r>
      <w:r w:rsidR="00D026F0">
        <w:rPr>
          <w:lang w:eastAsia="es-ES"/>
        </w:rPr>
        <w:t>miles</w:t>
      </w:r>
      <w:r>
        <w:rPr>
          <w:lang w:eastAsia="es-ES"/>
        </w:rPr>
        <w:t xml:space="preserve"> de dólares a 15.297,19 </w:t>
      </w:r>
      <w:r w:rsidR="00D026F0">
        <w:rPr>
          <w:lang w:eastAsia="es-ES"/>
        </w:rPr>
        <w:t>miles</w:t>
      </w:r>
      <w:r>
        <w:rPr>
          <w:lang w:eastAsia="es-ES"/>
        </w:rPr>
        <w:t xml:space="preserve"> de dólares, mientras que la Zona Franca Cartagena pasa de 29.678,23 </w:t>
      </w:r>
      <w:r w:rsidR="00D026F0">
        <w:rPr>
          <w:lang w:eastAsia="es-ES"/>
        </w:rPr>
        <w:t>miles</w:t>
      </w:r>
      <w:r>
        <w:rPr>
          <w:lang w:eastAsia="es-ES"/>
        </w:rPr>
        <w:t xml:space="preserve"> de dólares a </w:t>
      </w:r>
      <w:r>
        <w:rPr>
          <w:lang w:eastAsia="es-ES"/>
        </w:rPr>
        <w:lastRenderedPageBreak/>
        <w:t xml:space="preserve">24.976,71 </w:t>
      </w:r>
      <w:r w:rsidR="00D026F0">
        <w:rPr>
          <w:lang w:eastAsia="es-ES"/>
        </w:rPr>
        <w:t>miles</w:t>
      </w:r>
      <w:r>
        <w:rPr>
          <w:lang w:eastAsia="es-ES"/>
        </w:rPr>
        <w:t xml:space="preserve"> de dólares. Estas caídas pueden señalar dificultades en la producción, problemas con la calidad de los productos o cambios en las condiciones del mercado que afectan la demanda.</w:t>
      </w:r>
    </w:p>
    <w:p w14:paraId="5A12F121" w14:textId="68A2490D" w:rsidR="000F5CBF" w:rsidRDefault="000F5CBF" w:rsidP="0015136C">
      <w:pPr>
        <w:spacing w:line="480" w:lineRule="auto"/>
        <w:rPr>
          <w:lang w:eastAsia="es-ES"/>
        </w:rPr>
      </w:pPr>
      <w:r>
        <w:rPr>
          <w:lang w:eastAsia="es-ES"/>
        </w:rPr>
        <w:t xml:space="preserve">En contraste, la Zona Franca Palermo muestra un crecimiento significativo al aumentar sus salidas de 5,493.10 </w:t>
      </w:r>
      <w:r w:rsidR="00D026F0">
        <w:rPr>
          <w:lang w:eastAsia="es-ES"/>
        </w:rPr>
        <w:t>miles</w:t>
      </w:r>
      <w:r>
        <w:rPr>
          <w:lang w:eastAsia="es-ES"/>
        </w:rPr>
        <w:t xml:space="preserve"> de dólares en 2023 a 11,819.76 </w:t>
      </w:r>
      <w:r w:rsidR="00D026F0">
        <w:rPr>
          <w:lang w:eastAsia="es-ES"/>
        </w:rPr>
        <w:t>miles</w:t>
      </w:r>
      <w:r>
        <w:rPr>
          <w:lang w:eastAsia="es-ES"/>
        </w:rPr>
        <w:t xml:space="preserve"> de dólares en 2024. Este incremento podría indicar un fortalecimiento en su capacidad exportadora o una estrategia efectiva para captar nuevos mercados.</w:t>
      </w:r>
      <w:r w:rsidR="00516D68">
        <w:rPr>
          <w:lang w:eastAsia="es-ES"/>
        </w:rPr>
        <w:t xml:space="preserve"> </w:t>
      </w:r>
      <w:r>
        <w:rPr>
          <w:lang w:eastAsia="es-ES"/>
        </w:rPr>
        <w:t xml:space="preserve">Finalmente, la Zona Franca La Cayena presenta un nivel de aumento en sus salidas, pasando de 39,159.36 </w:t>
      </w:r>
      <w:r w:rsidR="00D026F0">
        <w:rPr>
          <w:lang w:eastAsia="es-ES"/>
        </w:rPr>
        <w:t>miles</w:t>
      </w:r>
      <w:r>
        <w:rPr>
          <w:lang w:eastAsia="es-ES"/>
        </w:rPr>
        <w:t xml:space="preserve"> de dólares a 40,552.74 </w:t>
      </w:r>
      <w:r w:rsidR="00D026F0">
        <w:rPr>
          <w:lang w:eastAsia="es-ES"/>
        </w:rPr>
        <w:t>miles</w:t>
      </w:r>
      <w:r>
        <w:rPr>
          <w:lang w:eastAsia="es-ES"/>
        </w:rPr>
        <w:t xml:space="preserve"> de dólares, lo que podría reflejar estabilidad en su operación y una gestión exitosa en su cadena de suministro.</w:t>
      </w:r>
    </w:p>
    <w:p w14:paraId="42E9FDB9" w14:textId="7E19E036" w:rsidR="009044DE" w:rsidRPr="009044DE" w:rsidRDefault="009044DE" w:rsidP="009044DE">
      <w:pPr>
        <w:pStyle w:val="Descripcin"/>
        <w:spacing w:after="0"/>
        <w:rPr>
          <w:b/>
          <w:bCs/>
          <w:i w:val="0"/>
          <w:iCs w:val="0"/>
          <w:color w:val="auto"/>
          <w:sz w:val="24"/>
          <w:szCs w:val="22"/>
          <w:lang w:eastAsia="es-ES"/>
        </w:rPr>
      </w:pPr>
      <w:bookmarkStart w:id="84" w:name="_Toc178689012"/>
      <w:bookmarkStart w:id="85" w:name="_Toc183783085"/>
      <w:r w:rsidRPr="009044DE">
        <w:rPr>
          <w:b/>
          <w:bCs/>
          <w:i w:val="0"/>
          <w:iCs w:val="0"/>
          <w:color w:val="auto"/>
          <w:sz w:val="24"/>
          <w:szCs w:val="22"/>
          <w:lang w:eastAsia="es-ES"/>
        </w:rPr>
        <w:t xml:space="preserve">Tabla </w:t>
      </w:r>
      <w:r w:rsidRPr="009044DE">
        <w:rPr>
          <w:b/>
          <w:bCs/>
          <w:i w:val="0"/>
          <w:iCs w:val="0"/>
          <w:color w:val="auto"/>
          <w:sz w:val="24"/>
          <w:szCs w:val="22"/>
          <w:lang w:eastAsia="es-ES"/>
        </w:rPr>
        <w:fldChar w:fldCharType="begin"/>
      </w:r>
      <w:r w:rsidRPr="009044DE">
        <w:rPr>
          <w:b/>
          <w:bCs/>
          <w:i w:val="0"/>
          <w:iCs w:val="0"/>
          <w:color w:val="auto"/>
          <w:sz w:val="24"/>
          <w:szCs w:val="22"/>
          <w:lang w:eastAsia="es-ES"/>
        </w:rPr>
        <w:instrText xml:space="preserve"> SEQ Tabla \* ARABIC </w:instrText>
      </w:r>
      <w:r w:rsidRPr="009044DE">
        <w:rPr>
          <w:b/>
          <w:bCs/>
          <w:i w:val="0"/>
          <w:iCs w:val="0"/>
          <w:color w:val="auto"/>
          <w:sz w:val="24"/>
          <w:szCs w:val="22"/>
          <w:lang w:eastAsia="es-ES"/>
        </w:rPr>
        <w:fldChar w:fldCharType="separate"/>
      </w:r>
      <w:r w:rsidR="00901E21">
        <w:rPr>
          <w:b/>
          <w:bCs/>
          <w:i w:val="0"/>
          <w:iCs w:val="0"/>
          <w:noProof/>
          <w:color w:val="auto"/>
          <w:sz w:val="24"/>
          <w:szCs w:val="22"/>
          <w:lang w:eastAsia="es-ES"/>
        </w:rPr>
        <w:t>10</w:t>
      </w:r>
      <w:r w:rsidRPr="009044DE">
        <w:rPr>
          <w:b/>
          <w:bCs/>
          <w:i w:val="0"/>
          <w:iCs w:val="0"/>
          <w:color w:val="auto"/>
          <w:sz w:val="24"/>
          <w:szCs w:val="22"/>
          <w:lang w:eastAsia="es-ES"/>
        </w:rPr>
        <w:fldChar w:fldCharType="end"/>
      </w:r>
      <w:r w:rsidRPr="009044DE">
        <w:rPr>
          <w:b/>
          <w:bCs/>
          <w:i w:val="0"/>
          <w:iCs w:val="0"/>
          <w:color w:val="auto"/>
          <w:sz w:val="24"/>
          <w:szCs w:val="22"/>
          <w:lang w:eastAsia="es-ES"/>
        </w:rPr>
        <w:t>:</w:t>
      </w:r>
      <w:bookmarkEnd w:id="84"/>
      <w:bookmarkEnd w:id="85"/>
      <w:r w:rsidRPr="009044DE">
        <w:rPr>
          <w:b/>
          <w:bCs/>
          <w:i w:val="0"/>
          <w:iCs w:val="0"/>
          <w:color w:val="auto"/>
          <w:sz w:val="24"/>
          <w:szCs w:val="22"/>
          <w:lang w:eastAsia="es-ES"/>
        </w:rPr>
        <w:t xml:space="preserve"> </w:t>
      </w:r>
    </w:p>
    <w:p w14:paraId="522FB1BE" w14:textId="20359EB2" w:rsidR="00D026F0" w:rsidRPr="006C3145" w:rsidRDefault="009044DE" w:rsidP="009044DE">
      <w:pPr>
        <w:pStyle w:val="Descripcin"/>
        <w:spacing w:after="0"/>
        <w:rPr>
          <w:i w:val="0"/>
          <w:iCs w:val="0"/>
          <w:color w:val="auto"/>
          <w:sz w:val="24"/>
          <w:szCs w:val="22"/>
          <w:lang w:eastAsia="es-ES"/>
        </w:rPr>
      </w:pPr>
      <w:bookmarkStart w:id="86" w:name="_Toc178689013"/>
      <w:bookmarkStart w:id="87" w:name="_Toc183783086"/>
      <w:r w:rsidRPr="006C3145">
        <w:rPr>
          <w:i w:val="0"/>
          <w:iCs w:val="0"/>
          <w:color w:val="auto"/>
          <w:sz w:val="24"/>
          <w:szCs w:val="22"/>
          <w:lang w:eastAsia="es-ES"/>
        </w:rPr>
        <w:t>Salidas por Zonas Francas, según Tipo de Operación 2024/2023 (Junio)</w:t>
      </w:r>
      <w:bookmarkEnd w:id="86"/>
      <w:bookmarkEnd w:id="87"/>
    </w:p>
    <w:p w14:paraId="4415D2A7" w14:textId="77777777" w:rsidR="009044DE" w:rsidRPr="009044DE" w:rsidRDefault="009044DE" w:rsidP="009044DE">
      <w:pPr>
        <w:rPr>
          <w:lang w:eastAsia="es-ES"/>
        </w:rPr>
      </w:pPr>
    </w:p>
    <w:tbl>
      <w:tblPr>
        <w:tblW w:w="10343"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271"/>
        <w:gridCol w:w="1276"/>
        <w:gridCol w:w="1276"/>
        <w:gridCol w:w="1134"/>
        <w:gridCol w:w="1134"/>
        <w:gridCol w:w="1275"/>
        <w:gridCol w:w="993"/>
        <w:gridCol w:w="992"/>
        <w:gridCol w:w="992"/>
      </w:tblGrid>
      <w:tr w:rsidR="00855D07" w:rsidRPr="009835C4" w14:paraId="7B846597" w14:textId="77777777" w:rsidTr="009044DE">
        <w:trPr>
          <w:trHeight w:val="1500"/>
          <w:jc w:val="center"/>
        </w:trPr>
        <w:tc>
          <w:tcPr>
            <w:tcW w:w="1271" w:type="dxa"/>
            <w:tcBorders>
              <w:top w:val="single" w:sz="4" w:space="0" w:color="auto"/>
              <w:bottom w:val="single" w:sz="4" w:space="0" w:color="auto"/>
            </w:tcBorders>
            <w:shd w:val="clear" w:color="auto" w:fill="auto"/>
            <w:vAlign w:val="center"/>
            <w:hideMark/>
          </w:tcPr>
          <w:p w14:paraId="0C4CE2BA" w14:textId="77777777" w:rsidR="009835C4" w:rsidRPr="009835C4" w:rsidRDefault="009835C4" w:rsidP="009044DE">
            <w:pPr>
              <w:spacing w:after="0" w:line="240" w:lineRule="auto"/>
              <w:ind w:firstLine="0"/>
              <w:jc w:val="center"/>
              <w:rPr>
                <w:rFonts w:eastAsia="Times New Roman" w:cs="Times New Roman"/>
                <w:b/>
                <w:bCs/>
                <w:color w:val="000000"/>
                <w:kern w:val="0"/>
                <w:sz w:val="20"/>
                <w:lang w:eastAsia="es-CO"/>
                <w14:ligatures w14:val="none"/>
              </w:rPr>
            </w:pPr>
            <w:r w:rsidRPr="009835C4">
              <w:rPr>
                <w:rFonts w:eastAsia="Times New Roman" w:cs="Times New Roman"/>
                <w:b/>
                <w:bCs/>
                <w:color w:val="000000"/>
                <w:kern w:val="0"/>
                <w:sz w:val="20"/>
                <w:lang w:eastAsia="es-CO"/>
                <w14:ligatures w14:val="none"/>
              </w:rPr>
              <w:t>Zona Franca</w:t>
            </w:r>
          </w:p>
        </w:tc>
        <w:tc>
          <w:tcPr>
            <w:tcW w:w="1276" w:type="dxa"/>
            <w:tcBorders>
              <w:top w:val="single" w:sz="4" w:space="0" w:color="auto"/>
              <w:bottom w:val="single" w:sz="4" w:space="0" w:color="auto"/>
            </w:tcBorders>
            <w:shd w:val="clear" w:color="auto" w:fill="auto"/>
            <w:vAlign w:val="center"/>
            <w:hideMark/>
          </w:tcPr>
          <w:p w14:paraId="7CA2BF66" w14:textId="77777777" w:rsidR="009835C4" w:rsidRPr="009835C4" w:rsidRDefault="009835C4" w:rsidP="009044DE">
            <w:pPr>
              <w:spacing w:after="0" w:line="240" w:lineRule="auto"/>
              <w:ind w:firstLine="0"/>
              <w:jc w:val="center"/>
              <w:rPr>
                <w:rFonts w:eastAsia="Times New Roman" w:cs="Times New Roman"/>
                <w:b/>
                <w:bCs/>
                <w:color w:val="000000"/>
                <w:kern w:val="0"/>
                <w:sz w:val="20"/>
                <w:lang w:eastAsia="es-CO"/>
                <w14:ligatures w14:val="none"/>
              </w:rPr>
            </w:pPr>
            <w:r w:rsidRPr="009835C4">
              <w:rPr>
                <w:rFonts w:eastAsia="Times New Roman" w:cs="Times New Roman"/>
                <w:b/>
                <w:bCs/>
                <w:color w:val="000000"/>
                <w:kern w:val="0"/>
                <w:sz w:val="20"/>
                <w:lang w:eastAsia="es-CO"/>
                <w14:ligatures w14:val="none"/>
              </w:rPr>
              <w:t>Resto del mundo 2023 (Miles de dólares FOB)</w:t>
            </w:r>
          </w:p>
        </w:tc>
        <w:tc>
          <w:tcPr>
            <w:tcW w:w="1276" w:type="dxa"/>
            <w:tcBorders>
              <w:top w:val="single" w:sz="4" w:space="0" w:color="auto"/>
              <w:bottom w:val="single" w:sz="4" w:space="0" w:color="auto"/>
            </w:tcBorders>
            <w:shd w:val="clear" w:color="auto" w:fill="auto"/>
            <w:vAlign w:val="center"/>
            <w:hideMark/>
          </w:tcPr>
          <w:p w14:paraId="0A95B75A" w14:textId="77777777" w:rsidR="009835C4" w:rsidRPr="009835C4" w:rsidRDefault="009835C4" w:rsidP="009044DE">
            <w:pPr>
              <w:spacing w:after="0" w:line="240" w:lineRule="auto"/>
              <w:ind w:firstLine="0"/>
              <w:jc w:val="center"/>
              <w:rPr>
                <w:rFonts w:eastAsia="Times New Roman" w:cs="Times New Roman"/>
                <w:b/>
                <w:bCs/>
                <w:color w:val="000000"/>
                <w:kern w:val="0"/>
                <w:sz w:val="20"/>
                <w:lang w:eastAsia="es-CO"/>
                <w14:ligatures w14:val="none"/>
              </w:rPr>
            </w:pPr>
            <w:r w:rsidRPr="009835C4">
              <w:rPr>
                <w:rFonts w:eastAsia="Times New Roman" w:cs="Times New Roman"/>
                <w:b/>
                <w:bCs/>
                <w:color w:val="000000"/>
                <w:kern w:val="0"/>
                <w:sz w:val="20"/>
                <w:lang w:eastAsia="es-CO"/>
                <w14:ligatures w14:val="none"/>
              </w:rPr>
              <w:t>TAN 2023 (Miles de dólares FOB)</w:t>
            </w:r>
          </w:p>
        </w:tc>
        <w:tc>
          <w:tcPr>
            <w:tcW w:w="1134" w:type="dxa"/>
            <w:tcBorders>
              <w:top w:val="single" w:sz="4" w:space="0" w:color="auto"/>
              <w:bottom w:val="single" w:sz="4" w:space="0" w:color="auto"/>
            </w:tcBorders>
            <w:shd w:val="clear" w:color="auto" w:fill="auto"/>
            <w:vAlign w:val="center"/>
            <w:hideMark/>
          </w:tcPr>
          <w:p w14:paraId="2CA79E96" w14:textId="77777777" w:rsidR="009835C4" w:rsidRPr="009835C4" w:rsidRDefault="009835C4" w:rsidP="009044DE">
            <w:pPr>
              <w:spacing w:after="0" w:line="240" w:lineRule="auto"/>
              <w:ind w:firstLine="0"/>
              <w:jc w:val="center"/>
              <w:rPr>
                <w:rFonts w:eastAsia="Times New Roman" w:cs="Times New Roman"/>
                <w:b/>
                <w:bCs/>
                <w:color w:val="000000"/>
                <w:kern w:val="0"/>
                <w:sz w:val="20"/>
                <w:lang w:eastAsia="es-CO"/>
                <w14:ligatures w14:val="none"/>
              </w:rPr>
            </w:pPr>
            <w:r w:rsidRPr="009835C4">
              <w:rPr>
                <w:rFonts w:eastAsia="Times New Roman" w:cs="Times New Roman"/>
                <w:b/>
                <w:bCs/>
                <w:color w:val="000000"/>
                <w:kern w:val="0"/>
                <w:sz w:val="20"/>
                <w:lang w:eastAsia="es-CO"/>
                <w14:ligatures w14:val="none"/>
              </w:rPr>
              <w:t>ZF - ZF 2023 (Miles de dólares FOB)</w:t>
            </w:r>
          </w:p>
        </w:tc>
        <w:tc>
          <w:tcPr>
            <w:tcW w:w="1134" w:type="dxa"/>
            <w:tcBorders>
              <w:top w:val="single" w:sz="4" w:space="0" w:color="auto"/>
              <w:bottom w:val="single" w:sz="4" w:space="0" w:color="auto"/>
            </w:tcBorders>
            <w:shd w:val="clear" w:color="auto" w:fill="auto"/>
            <w:vAlign w:val="center"/>
            <w:hideMark/>
          </w:tcPr>
          <w:p w14:paraId="357B9E62" w14:textId="77777777" w:rsidR="009835C4" w:rsidRPr="009835C4" w:rsidRDefault="009835C4" w:rsidP="009044DE">
            <w:pPr>
              <w:spacing w:after="0" w:line="240" w:lineRule="auto"/>
              <w:ind w:firstLine="0"/>
              <w:jc w:val="center"/>
              <w:rPr>
                <w:rFonts w:eastAsia="Times New Roman" w:cs="Times New Roman"/>
                <w:b/>
                <w:bCs/>
                <w:color w:val="000000"/>
                <w:kern w:val="0"/>
                <w:sz w:val="20"/>
                <w:lang w:eastAsia="es-CO"/>
                <w14:ligatures w14:val="none"/>
              </w:rPr>
            </w:pPr>
            <w:r w:rsidRPr="009835C4">
              <w:rPr>
                <w:rFonts w:eastAsia="Times New Roman" w:cs="Times New Roman"/>
                <w:b/>
                <w:bCs/>
                <w:color w:val="000000"/>
                <w:kern w:val="0"/>
                <w:sz w:val="20"/>
                <w:lang w:eastAsia="es-CO"/>
                <w14:ligatures w14:val="none"/>
              </w:rPr>
              <w:t>Usuarios - ZF 2023 (Miles de dólares FOB)</w:t>
            </w:r>
          </w:p>
        </w:tc>
        <w:tc>
          <w:tcPr>
            <w:tcW w:w="1275" w:type="dxa"/>
            <w:tcBorders>
              <w:top w:val="single" w:sz="4" w:space="0" w:color="auto"/>
              <w:bottom w:val="single" w:sz="4" w:space="0" w:color="auto"/>
            </w:tcBorders>
            <w:shd w:val="clear" w:color="auto" w:fill="auto"/>
            <w:vAlign w:val="center"/>
            <w:hideMark/>
          </w:tcPr>
          <w:p w14:paraId="6277F0CA" w14:textId="77777777" w:rsidR="009835C4" w:rsidRPr="009835C4" w:rsidRDefault="009835C4" w:rsidP="009044DE">
            <w:pPr>
              <w:spacing w:after="0" w:line="240" w:lineRule="auto"/>
              <w:ind w:firstLine="0"/>
              <w:jc w:val="center"/>
              <w:rPr>
                <w:rFonts w:eastAsia="Times New Roman" w:cs="Times New Roman"/>
                <w:b/>
                <w:bCs/>
                <w:color w:val="000000"/>
                <w:kern w:val="0"/>
                <w:sz w:val="20"/>
                <w:lang w:eastAsia="es-CO"/>
                <w14:ligatures w14:val="none"/>
              </w:rPr>
            </w:pPr>
            <w:r w:rsidRPr="009835C4">
              <w:rPr>
                <w:rFonts w:eastAsia="Times New Roman" w:cs="Times New Roman"/>
                <w:b/>
                <w:bCs/>
                <w:color w:val="000000"/>
                <w:kern w:val="0"/>
                <w:sz w:val="20"/>
                <w:lang w:eastAsia="es-CO"/>
                <w14:ligatures w14:val="none"/>
              </w:rPr>
              <w:t>Resto del mundo 2024 (Miles de dólares FOB)</w:t>
            </w:r>
          </w:p>
        </w:tc>
        <w:tc>
          <w:tcPr>
            <w:tcW w:w="993" w:type="dxa"/>
            <w:tcBorders>
              <w:top w:val="single" w:sz="4" w:space="0" w:color="auto"/>
              <w:bottom w:val="single" w:sz="4" w:space="0" w:color="auto"/>
            </w:tcBorders>
            <w:shd w:val="clear" w:color="auto" w:fill="auto"/>
            <w:vAlign w:val="center"/>
            <w:hideMark/>
          </w:tcPr>
          <w:p w14:paraId="2E5D5165" w14:textId="77777777" w:rsidR="009835C4" w:rsidRPr="009835C4" w:rsidRDefault="009835C4" w:rsidP="009044DE">
            <w:pPr>
              <w:spacing w:after="0" w:line="240" w:lineRule="auto"/>
              <w:ind w:firstLine="0"/>
              <w:jc w:val="center"/>
              <w:rPr>
                <w:rFonts w:eastAsia="Times New Roman" w:cs="Times New Roman"/>
                <w:b/>
                <w:bCs/>
                <w:color w:val="000000"/>
                <w:kern w:val="0"/>
                <w:sz w:val="20"/>
                <w:lang w:eastAsia="es-CO"/>
                <w14:ligatures w14:val="none"/>
              </w:rPr>
            </w:pPr>
            <w:r w:rsidRPr="009835C4">
              <w:rPr>
                <w:rFonts w:eastAsia="Times New Roman" w:cs="Times New Roman"/>
                <w:b/>
                <w:bCs/>
                <w:color w:val="000000"/>
                <w:kern w:val="0"/>
                <w:sz w:val="20"/>
                <w:lang w:eastAsia="es-CO"/>
                <w14:ligatures w14:val="none"/>
              </w:rPr>
              <w:t>TAN 2024 (Miles de dólares FOB)</w:t>
            </w:r>
          </w:p>
        </w:tc>
        <w:tc>
          <w:tcPr>
            <w:tcW w:w="992" w:type="dxa"/>
            <w:tcBorders>
              <w:top w:val="single" w:sz="4" w:space="0" w:color="auto"/>
              <w:bottom w:val="single" w:sz="4" w:space="0" w:color="auto"/>
            </w:tcBorders>
            <w:shd w:val="clear" w:color="auto" w:fill="auto"/>
            <w:vAlign w:val="center"/>
            <w:hideMark/>
          </w:tcPr>
          <w:p w14:paraId="4D086BA1" w14:textId="77777777" w:rsidR="009835C4" w:rsidRPr="009835C4" w:rsidRDefault="009835C4" w:rsidP="009044DE">
            <w:pPr>
              <w:spacing w:after="0" w:line="240" w:lineRule="auto"/>
              <w:ind w:firstLine="0"/>
              <w:jc w:val="center"/>
              <w:rPr>
                <w:rFonts w:eastAsia="Times New Roman" w:cs="Times New Roman"/>
                <w:b/>
                <w:bCs/>
                <w:color w:val="000000"/>
                <w:kern w:val="0"/>
                <w:sz w:val="20"/>
                <w:lang w:eastAsia="es-CO"/>
                <w14:ligatures w14:val="none"/>
              </w:rPr>
            </w:pPr>
            <w:r w:rsidRPr="009835C4">
              <w:rPr>
                <w:rFonts w:eastAsia="Times New Roman" w:cs="Times New Roman"/>
                <w:b/>
                <w:bCs/>
                <w:color w:val="000000"/>
                <w:kern w:val="0"/>
                <w:sz w:val="20"/>
                <w:lang w:eastAsia="es-CO"/>
                <w14:ligatures w14:val="none"/>
              </w:rPr>
              <w:t>ZF - ZF 2024 (Miles de dólares FOB)</w:t>
            </w:r>
          </w:p>
        </w:tc>
        <w:tc>
          <w:tcPr>
            <w:tcW w:w="992" w:type="dxa"/>
            <w:tcBorders>
              <w:top w:val="single" w:sz="4" w:space="0" w:color="auto"/>
              <w:bottom w:val="single" w:sz="4" w:space="0" w:color="auto"/>
            </w:tcBorders>
            <w:shd w:val="clear" w:color="auto" w:fill="auto"/>
            <w:vAlign w:val="center"/>
            <w:hideMark/>
          </w:tcPr>
          <w:p w14:paraId="5715D475" w14:textId="77777777" w:rsidR="009835C4" w:rsidRPr="009835C4" w:rsidRDefault="009835C4" w:rsidP="009044DE">
            <w:pPr>
              <w:spacing w:after="0" w:line="240" w:lineRule="auto"/>
              <w:ind w:firstLine="0"/>
              <w:jc w:val="center"/>
              <w:rPr>
                <w:rFonts w:eastAsia="Times New Roman" w:cs="Times New Roman"/>
                <w:b/>
                <w:bCs/>
                <w:color w:val="000000"/>
                <w:kern w:val="0"/>
                <w:sz w:val="20"/>
                <w:lang w:eastAsia="es-CO"/>
                <w14:ligatures w14:val="none"/>
              </w:rPr>
            </w:pPr>
            <w:r w:rsidRPr="009835C4">
              <w:rPr>
                <w:rFonts w:eastAsia="Times New Roman" w:cs="Times New Roman"/>
                <w:b/>
                <w:bCs/>
                <w:color w:val="000000"/>
                <w:kern w:val="0"/>
                <w:sz w:val="20"/>
                <w:lang w:eastAsia="es-CO"/>
                <w14:ligatures w14:val="none"/>
              </w:rPr>
              <w:t>Usuarios - ZF 2024 (Miles de dólares FOB)</w:t>
            </w:r>
          </w:p>
        </w:tc>
      </w:tr>
      <w:tr w:rsidR="00855D07" w:rsidRPr="009835C4" w14:paraId="575552DE" w14:textId="77777777" w:rsidTr="009044DE">
        <w:trPr>
          <w:trHeight w:val="300"/>
          <w:jc w:val="center"/>
        </w:trPr>
        <w:tc>
          <w:tcPr>
            <w:tcW w:w="1271" w:type="dxa"/>
            <w:tcBorders>
              <w:top w:val="single" w:sz="4" w:space="0" w:color="auto"/>
            </w:tcBorders>
            <w:shd w:val="clear" w:color="auto" w:fill="auto"/>
            <w:vAlign w:val="center"/>
            <w:hideMark/>
          </w:tcPr>
          <w:p w14:paraId="213A50F0"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ZFP Barranquilla</w:t>
            </w:r>
          </w:p>
        </w:tc>
        <w:tc>
          <w:tcPr>
            <w:tcW w:w="1276" w:type="dxa"/>
            <w:tcBorders>
              <w:top w:val="single" w:sz="4" w:space="0" w:color="auto"/>
            </w:tcBorders>
            <w:shd w:val="clear" w:color="auto" w:fill="auto"/>
            <w:vAlign w:val="center"/>
            <w:hideMark/>
          </w:tcPr>
          <w:p w14:paraId="553FBD0F"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34,301.94</w:t>
            </w:r>
          </w:p>
        </w:tc>
        <w:tc>
          <w:tcPr>
            <w:tcW w:w="1276" w:type="dxa"/>
            <w:tcBorders>
              <w:top w:val="single" w:sz="4" w:space="0" w:color="auto"/>
            </w:tcBorders>
            <w:shd w:val="clear" w:color="auto" w:fill="auto"/>
            <w:vAlign w:val="center"/>
            <w:hideMark/>
          </w:tcPr>
          <w:p w14:paraId="0944D94B"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58,884.06</w:t>
            </w:r>
          </w:p>
        </w:tc>
        <w:tc>
          <w:tcPr>
            <w:tcW w:w="1134" w:type="dxa"/>
            <w:tcBorders>
              <w:top w:val="single" w:sz="4" w:space="0" w:color="auto"/>
            </w:tcBorders>
            <w:shd w:val="clear" w:color="auto" w:fill="auto"/>
            <w:vAlign w:val="center"/>
            <w:hideMark/>
          </w:tcPr>
          <w:p w14:paraId="3150DADA"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351.59</w:t>
            </w:r>
          </w:p>
        </w:tc>
        <w:tc>
          <w:tcPr>
            <w:tcW w:w="1134" w:type="dxa"/>
            <w:tcBorders>
              <w:top w:val="single" w:sz="4" w:space="0" w:color="auto"/>
            </w:tcBorders>
            <w:shd w:val="clear" w:color="auto" w:fill="auto"/>
            <w:vAlign w:val="center"/>
            <w:hideMark/>
          </w:tcPr>
          <w:p w14:paraId="05E8B76A"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777.13</w:t>
            </w:r>
          </w:p>
        </w:tc>
        <w:tc>
          <w:tcPr>
            <w:tcW w:w="1275" w:type="dxa"/>
            <w:tcBorders>
              <w:top w:val="single" w:sz="4" w:space="0" w:color="auto"/>
            </w:tcBorders>
            <w:shd w:val="clear" w:color="auto" w:fill="auto"/>
            <w:vAlign w:val="center"/>
            <w:hideMark/>
          </w:tcPr>
          <w:p w14:paraId="4BD1054B"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41,387.25</w:t>
            </w:r>
          </w:p>
        </w:tc>
        <w:tc>
          <w:tcPr>
            <w:tcW w:w="993" w:type="dxa"/>
            <w:tcBorders>
              <w:top w:val="single" w:sz="4" w:space="0" w:color="auto"/>
            </w:tcBorders>
            <w:shd w:val="clear" w:color="auto" w:fill="auto"/>
            <w:vAlign w:val="center"/>
            <w:hideMark/>
          </w:tcPr>
          <w:p w14:paraId="2CC4F965"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60,362.78</w:t>
            </w:r>
          </w:p>
        </w:tc>
        <w:tc>
          <w:tcPr>
            <w:tcW w:w="992" w:type="dxa"/>
            <w:tcBorders>
              <w:top w:val="single" w:sz="4" w:space="0" w:color="auto"/>
            </w:tcBorders>
            <w:shd w:val="clear" w:color="auto" w:fill="auto"/>
            <w:vAlign w:val="center"/>
            <w:hideMark/>
          </w:tcPr>
          <w:p w14:paraId="1BA067CB"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560.96</w:t>
            </w:r>
          </w:p>
        </w:tc>
        <w:tc>
          <w:tcPr>
            <w:tcW w:w="992" w:type="dxa"/>
            <w:tcBorders>
              <w:top w:val="single" w:sz="4" w:space="0" w:color="auto"/>
            </w:tcBorders>
            <w:shd w:val="clear" w:color="auto" w:fill="auto"/>
            <w:vAlign w:val="center"/>
            <w:hideMark/>
          </w:tcPr>
          <w:p w14:paraId="73BA90E3"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1,872.71</w:t>
            </w:r>
          </w:p>
        </w:tc>
      </w:tr>
      <w:tr w:rsidR="00855D07" w:rsidRPr="009835C4" w14:paraId="3DB42426" w14:textId="77777777" w:rsidTr="009044DE">
        <w:trPr>
          <w:trHeight w:val="300"/>
          <w:jc w:val="center"/>
        </w:trPr>
        <w:tc>
          <w:tcPr>
            <w:tcW w:w="1271" w:type="dxa"/>
            <w:shd w:val="clear" w:color="auto" w:fill="auto"/>
            <w:vAlign w:val="center"/>
            <w:hideMark/>
          </w:tcPr>
          <w:p w14:paraId="7F58F8F8"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ZFP Cartagena</w:t>
            </w:r>
          </w:p>
        </w:tc>
        <w:tc>
          <w:tcPr>
            <w:tcW w:w="1276" w:type="dxa"/>
            <w:shd w:val="clear" w:color="auto" w:fill="auto"/>
            <w:vAlign w:val="center"/>
            <w:hideMark/>
          </w:tcPr>
          <w:p w14:paraId="135438A2"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12,850.49</w:t>
            </w:r>
          </w:p>
        </w:tc>
        <w:tc>
          <w:tcPr>
            <w:tcW w:w="1276" w:type="dxa"/>
            <w:shd w:val="clear" w:color="auto" w:fill="auto"/>
            <w:vAlign w:val="center"/>
            <w:hideMark/>
          </w:tcPr>
          <w:p w14:paraId="210D601E"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15,655.15</w:t>
            </w:r>
          </w:p>
        </w:tc>
        <w:tc>
          <w:tcPr>
            <w:tcW w:w="1134" w:type="dxa"/>
            <w:shd w:val="clear" w:color="auto" w:fill="auto"/>
            <w:vAlign w:val="center"/>
            <w:hideMark/>
          </w:tcPr>
          <w:p w14:paraId="192D1A65"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1,137.90</w:t>
            </w:r>
          </w:p>
        </w:tc>
        <w:tc>
          <w:tcPr>
            <w:tcW w:w="1134" w:type="dxa"/>
            <w:shd w:val="clear" w:color="auto" w:fill="auto"/>
            <w:vAlign w:val="center"/>
            <w:hideMark/>
          </w:tcPr>
          <w:p w14:paraId="725A50B5"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34.69</w:t>
            </w:r>
          </w:p>
        </w:tc>
        <w:tc>
          <w:tcPr>
            <w:tcW w:w="1275" w:type="dxa"/>
            <w:shd w:val="clear" w:color="auto" w:fill="auto"/>
            <w:vAlign w:val="center"/>
            <w:hideMark/>
          </w:tcPr>
          <w:p w14:paraId="0DD71C8E"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10,537.72</w:t>
            </w:r>
          </w:p>
        </w:tc>
        <w:tc>
          <w:tcPr>
            <w:tcW w:w="993" w:type="dxa"/>
            <w:shd w:val="clear" w:color="auto" w:fill="auto"/>
            <w:vAlign w:val="center"/>
            <w:hideMark/>
          </w:tcPr>
          <w:p w14:paraId="106F1D2D"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14,085.46</w:t>
            </w:r>
          </w:p>
        </w:tc>
        <w:tc>
          <w:tcPr>
            <w:tcW w:w="992" w:type="dxa"/>
            <w:shd w:val="clear" w:color="auto" w:fill="auto"/>
            <w:vAlign w:val="center"/>
            <w:hideMark/>
          </w:tcPr>
          <w:p w14:paraId="11BEF38F"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209.86</w:t>
            </w:r>
          </w:p>
        </w:tc>
        <w:tc>
          <w:tcPr>
            <w:tcW w:w="992" w:type="dxa"/>
            <w:shd w:val="clear" w:color="auto" w:fill="auto"/>
            <w:vAlign w:val="center"/>
            <w:hideMark/>
          </w:tcPr>
          <w:p w14:paraId="65926EDE"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143.67</w:t>
            </w:r>
          </w:p>
        </w:tc>
      </w:tr>
      <w:tr w:rsidR="00855D07" w:rsidRPr="009835C4" w14:paraId="3B6341B9" w14:textId="77777777" w:rsidTr="009044DE">
        <w:trPr>
          <w:trHeight w:val="300"/>
          <w:jc w:val="center"/>
        </w:trPr>
        <w:tc>
          <w:tcPr>
            <w:tcW w:w="1271" w:type="dxa"/>
            <w:shd w:val="clear" w:color="auto" w:fill="auto"/>
            <w:vAlign w:val="center"/>
            <w:hideMark/>
          </w:tcPr>
          <w:p w14:paraId="42DB960E"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ZFP Internacional del Atlántico</w:t>
            </w:r>
          </w:p>
        </w:tc>
        <w:tc>
          <w:tcPr>
            <w:tcW w:w="1276" w:type="dxa"/>
            <w:shd w:val="clear" w:color="auto" w:fill="auto"/>
            <w:vAlign w:val="center"/>
            <w:hideMark/>
          </w:tcPr>
          <w:p w14:paraId="7D185F2A"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4,121.42</w:t>
            </w:r>
          </w:p>
        </w:tc>
        <w:tc>
          <w:tcPr>
            <w:tcW w:w="1276" w:type="dxa"/>
            <w:shd w:val="clear" w:color="auto" w:fill="auto"/>
            <w:vAlign w:val="center"/>
            <w:hideMark/>
          </w:tcPr>
          <w:p w14:paraId="2B07C46C"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11,594.83</w:t>
            </w:r>
          </w:p>
        </w:tc>
        <w:tc>
          <w:tcPr>
            <w:tcW w:w="1134" w:type="dxa"/>
            <w:shd w:val="clear" w:color="auto" w:fill="auto"/>
            <w:vAlign w:val="center"/>
            <w:hideMark/>
          </w:tcPr>
          <w:p w14:paraId="640727F1"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99.76</w:t>
            </w:r>
          </w:p>
        </w:tc>
        <w:tc>
          <w:tcPr>
            <w:tcW w:w="1134" w:type="dxa"/>
            <w:shd w:val="clear" w:color="auto" w:fill="auto"/>
            <w:vAlign w:val="center"/>
            <w:hideMark/>
          </w:tcPr>
          <w:p w14:paraId="0194380C"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501.16</w:t>
            </w:r>
          </w:p>
        </w:tc>
        <w:tc>
          <w:tcPr>
            <w:tcW w:w="1275" w:type="dxa"/>
            <w:shd w:val="clear" w:color="auto" w:fill="auto"/>
            <w:vAlign w:val="center"/>
            <w:hideMark/>
          </w:tcPr>
          <w:p w14:paraId="2E36E2A0"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10,396.89</w:t>
            </w:r>
          </w:p>
        </w:tc>
        <w:tc>
          <w:tcPr>
            <w:tcW w:w="993" w:type="dxa"/>
            <w:shd w:val="clear" w:color="auto" w:fill="auto"/>
            <w:vAlign w:val="center"/>
            <w:hideMark/>
          </w:tcPr>
          <w:p w14:paraId="0AA0EBCC"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12,938.24</w:t>
            </w:r>
          </w:p>
        </w:tc>
        <w:tc>
          <w:tcPr>
            <w:tcW w:w="992" w:type="dxa"/>
            <w:shd w:val="clear" w:color="auto" w:fill="auto"/>
            <w:vAlign w:val="center"/>
            <w:hideMark/>
          </w:tcPr>
          <w:p w14:paraId="5A829DA7"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60.87</w:t>
            </w:r>
          </w:p>
        </w:tc>
        <w:tc>
          <w:tcPr>
            <w:tcW w:w="992" w:type="dxa"/>
            <w:shd w:val="clear" w:color="auto" w:fill="auto"/>
            <w:vAlign w:val="center"/>
            <w:hideMark/>
          </w:tcPr>
          <w:p w14:paraId="5FE6FC20"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r>
      <w:tr w:rsidR="00855D07" w:rsidRPr="009835C4" w14:paraId="78BB65DE" w14:textId="77777777" w:rsidTr="009044DE">
        <w:trPr>
          <w:trHeight w:val="300"/>
          <w:jc w:val="center"/>
        </w:trPr>
        <w:tc>
          <w:tcPr>
            <w:tcW w:w="1271" w:type="dxa"/>
            <w:shd w:val="clear" w:color="auto" w:fill="auto"/>
            <w:vAlign w:val="center"/>
            <w:hideMark/>
          </w:tcPr>
          <w:p w14:paraId="69DD37D6"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ZFP la Cayena</w:t>
            </w:r>
          </w:p>
        </w:tc>
        <w:tc>
          <w:tcPr>
            <w:tcW w:w="1276" w:type="dxa"/>
            <w:shd w:val="clear" w:color="auto" w:fill="auto"/>
            <w:vAlign w:val="center"/>
            <w:hideMark/>
          </w:tcPr>
          <w:p w14:paraId="66B40094"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16,384.66</w:t>
            </w:r>
          </w:p>
        </w:tc>
        <w:tc>
          <w:tcPr>
            <w:tcW w:w="1276" w:type="dxa"/>
            <w:shd w:val="clear" w:color="auto" w:fill="auto"/>
            <w:vAlign w:val="center"/>
            <w:hideMark/>
          </w:tcPr>
          <w:p w14:paraId="228726ED"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19,326.65</w:t>
            </w:r>
          </w:p>
        </w:tc>
        <w:tc>
          <w:tcPr>
            <w:tcW w:w="1134" w:type="dxa"/>
            <w:shd w:val="clear" w:color="auto" w:fill="auto"/>
            <w:vAlign w:val="center"/>
            <w:hideMark/>
          </w:tcPr>
          <w:p w14:paraId="35ED20EC"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817.07</w:t>
            </w:r>
          </w:p>
        </w:tc>
        <w:tc>
          <w:tcPr>
            <w:tcW w:w="1134" w:type="dxa"/>
            <w:shd w:val="clear" w:color="auto" w:fill="auto"/>
            <w:vAlign w:val="center"/>
            <w:hideMark/>
          </w:tcPr>
          <w:p w14:paraId="6514DADE"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2,630.98</w:t>
            </w:r>
          </w:p>
        </w:tc>
        <w:tc>
          <w:tcPr>
            <w:tcW w:w="1275" w:type="dxa"/>
            <w:shd w:val="clear" w:color="auto" w:fill="auto"/>
            <w:vAlign w:val="center"/>
            <w:hideMark/>
          </w:tcPr>
          <w:p w14:paraId="6C1D6E62"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18,121.91</w:t>
            </w:r>
          </w:p>
        </w:tc>
        <w:tc>
          <w:tcPr>
            <w:tcW w:w="993" w:type="dxa"/>
            <w:shd w:val="clear" w:color="auto" w:fill="auto"/>
            <w:vAlign w:val="center"/>
            <w:hideMark/>
          </w:tcPr>
          <w:p w14:paraId="4020897B"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19,991.92</w:t>
            </w:r>
          </w:p>
        </w:tc>
        <w:tc>
          <w:tcPr>
            <w:tcW w:w="992" w:type="dxa"/>
            <w:shd w:val="clear" w:color="auto" w:fill="auto"/>
            <w:vAlign w:val="center"/>
            <w:hideMark/>
          </w:tcPr>
          <w:p w14:paraId="3B471278"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1,518.20</w:t>
            </w:r>
          </w:p>
        </w:tc>
        <w:tc>
          <w:tcPr>
            <w:tcW w:w="992" w:type="dxa"/>
            <w:shd w:val="clear" w:color="auto" w:fill="auto"/>
            <w:vAlign w:val="center"/>
            <w:hideMark/>
          </w:tcPr>
          <w:p w14:paraId="309C56D1"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920.71</w:t>
            </w:r>
          </w:p>
        </w:tc>
      </w:tr>
      <w:tr w:rsidR="00855D07" w:rsidRPr="009835C4" w14:paraId="461F4349" w14:textId="77777777" w:rsidTr="009044DE">
        <w:trPr>
          <w:trHeight w:val="300"/>
          <w:jc w:val="center"/>
        </w:trPr>
        <w:tc>
          <w:tcPr>
            <w:tcW w:w="1271" w:type="dxa"/>
            <w:shd w:val="clear" w:color="auto" w:fill="auto"/>
            <w:vAlign w:val="center"/>
            <w:hideMark/>
          </w:tcPr>
          <w:p w14:paraId="483FDC9A"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ZFP Palermo</w:t>
            </w:r>
          </w:p>
        </w:tc>
        <w:tc>
          <w:tcPr>
            <w:tcW w:w="1276" w:type="dxa"/>
            <w:shd w:val="clear" w:color="auto" w:fill="auto"/>
            <w:vAlign w:val="center"/>
            <w:hideMark/>
          </w:tcPr>
          <w:p w14:paraId="54FEC999"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3.02</w:t>
            </w:r>
          </w:p>
        </w:tc>
        <w:tc>
          <w:tcPr>
            <w:tcW w:w="1276" w:type="dxa"/>
            <w:shd w:val="clear" w:color="auto" w:fill="auto"/>
            <w:vAlign w:val="center"/>
            <w:hideMark/>
          </w:tcPr>
          <w:p w14:paraId="4D88E1A0"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5,432.74</w:t>
            </w:r>
          </w:p>
        </w:tc>
        <w:tc>
          <w:tcPr>
            <w:tcW w:w="1134" w:type="dxa"/>
            <w:shd w:val="clear" w:color="auto" w:fill="auto"/>
            <w:vAlign w:val="center"/>
            <w:hideMark/>
          </w:tcPr>
          <w:p w14:paraId="1744984F"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57.34</w:t>
            </w:r>
          </w:p>
        </w:tc>
        <w:tc>
          <w:tcPr>
            <w:tcW w:w="1134" w:type="dxa"/>
            <w:shd w:val="clear" w:color="auto" w:fill="auto"/>
            <w:vAlign w:val="center"/>
            <w:hideMark/>
          </w:tcPr>
          <w:p w14:paraId="3D93D8BB"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c>
          <w:tcPr>
            <w:tcW w:w="1275" w:type="dxa"/>
            <w:shd w:val="clear" w:color="auto" w:fill="auto"/>
            <w:vAlign w:val="center"/>
            <w:hideMark/>
          </w:tcPr>
          <w:p w14:paraId="6BEE4317"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c>
          <w:tcPr>
            <w:tcW w:w="993" w:type="dxa"/>
            <w:shd w:val="clear" w:color="auto" w:fill="auto"/>
            <w:vAlign w:val="center"/>
            <w:hideMark/>
          </w:tcPr>
          <w:p w14:paraId="2E90BC4C"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10,971.54</w:t>
            </w:r>
          </w:p>
        </w:tc>
        <w:tc>
          <w:tcPr>
            <w:tcW w:w="992" w:type="dxa"/>
            <w:shd w:val="clear" w:color="auto" w:fill="auto"/>
            <w:vAlign w:val="center"/>
            <w:hideMark/>
          </w:tcPr>
          <w:p w14:paraId="01947BAA"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848.22</w:t>
            </w:r>
          </w:p>
        </w:tc>
        <w:tc>
          <w:tcPr>
            <w:tcW w:w="992" w:type="dxa"/>
            <w:shd w:val="clear" w:color="auto" w:fill="auto"/>
            <w:vAlign w:val="center"/>
            <w:hideMark/>
          </w:tcPr>
          <w:p w14:paraId="3858EA3F"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r>
      <w:tr w:rsidR="00855D07" w:rsidRPr="009835C4" w14:paraId="7CD5B717" w14:textId="77777777" w:rsidTr="009044DE">
        <w:trPr>
          <w:trHeight w:val="300"/>
          <w:jc w:val="center"/>
        </w:trPr>
        <w:tc>
          <w:tcPr>
            <w:tcW w:w="1271" w:type="dxa"/>
            <w:shd w:val="clear" w:color="auto" w:fill="auto"/>
            <w:vAlign w:val="center"/>
            <w:hideMark/>
          </w:tcPr>
          <w:p w14:paraId="38652901"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ZFP Parque Central</w:t>
            </w:r>
          </w:p>
        </w:tc>
        <w:tc>
          <w:tcPr>
            <w:tcW w:w="1276" w:type="dxa"/>
            <w:shd w:val="clear" w:color="auto" w:fill="auto"/>
            <w:vAlign w:val="center"/>
            <w:hideMark/>
          </w:tcPr>
          <w:p w14:paraId="1BE2CAE8"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7,940.69</w:t>
            </w:r>
          </w:p>
        </w:tc>
        <w:tc>
          <w:tcPr>
            <w:tcW w:w="1276" w:type="dxa"/>
            <w:shd w:val="clear" w:color="auto" w:fill="auto"/>
            <w:vAlign w:val="center"/>
            <w:hideMark/>
          </w:tcPr>
          <w:p w14:paraId="668EDAF4"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37,279.45</w:t>
            </w:r>
          </w:p>
        </w:tc>
        <w:tc>
          <w:tcPr>
            <w:tcW w:w="1134" w:type="dxa"/>
            <w:shd w:val="clear" w:color="auto" w:fill="auto"/>
            <w:vAlign w:val="center"/>
            <w:hideMark/>
          </w:tcPr>
          <w:p w14:paraId="1172B715"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285.78</w:t>
            </w:r>
          </w:p>
        </w:tc>
        <w:tc>
          <w:tcPr>
            <w:tcW w:w="1134" w:type="dxa"/>
            <w:shd w:val="clear" w:color="auto" w:fill="auto"/>
            <w:vAlign w:val="center"/>
            <w:hideMark/>
          </w:tcPr>
          <w:p w14:paraId="78E65E71"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841.80</w:t>
            </w:r>
          </w:p>
        </w:tc>
        <w:tc>
          <w:tcPr>
            <w:tcW w:w="1275" w:type="dxa"/>
            <w:shd w:val="clear" w:color="auto" w:fill="auto"/>
            <w:vAlign w:val="center"/>
            <w:hideMark/>
          </w:tcPr>
          <w:p w14:paraId="38C20FA2"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16,156.03</w:t>
            </w:r>
          </w:p>
        </w:tc>
        <w:tc>
          <w:tcPr>
            <w:tcW w:w="993" w:type="dxa"/>
            <w:shd w:val="clear" w:color="auto" w:fill="auto"/>
            <w:vAlign w:val="center"/>
            <w:hideMark/>
          </w:tcPr>
          <w:p w14:paraId="07DE99FD"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33,789.65</w:t>
            </w:r>
          </w:p>
        </w:tc>
        <w:tc>
          <w:tcPr>
            <w:tcW w:w="992" w:type="dxa"/>
            <w:shd w:val="clear" w:color="auto" w:fill="auto"/>
            <w:vAlign w:val="center"/>
            <w:hideMark/>
          </w:tcPr>
          <w:p w14:paraId="01C6341D"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1,305.07</w:t>
            </w:r>
          </w:p>
        </w:tc>
        <w:tc>
          <w:tcPr>
            <w:tcW w:w="992" w:type="dxa"/>
            <w:shd w:val="clear" w:color="auto" w:fill="auto"/>
            <w:vAlign w:val="center"/>
            <w:hideMark/>
          </w:tcPr>
          <w:p w14:paraId="2BC9EEAA"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221.60</w:t>
            </w:r>
          </w:p>
        </w:tc>
      </w:tr>
      <w:tr w:rsidR="00855D07" w:rsidRPr="009835C4" w14:paraId="7298A6D2" w14:textId="77777777" w:rsidTr="009044DE">
        <w:trPr>
          <w:trHeight w:val="300"/>
          <w:jc w:val="center"/>
        </w:trPr>
        <w:tc>
          <w:tcPr>
            <w:tcW w:w="1271" w:type="dxa"/>
            <w:shd w:val="clear" w:color="auto" w:fill="auto"/>
            <w:vAlign w:val="center"/>
            <w:hideMark/>
          </w:tcPr>
          <w:p w14:paraId="2DDDDB34"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ZFP Santa Marta</w:t>
            </w:r>
          </w:p>
        </w:tc>
        <w:tc>
          <w:tcPr>
            <w:tcW w:w="1276" w:type="dxa"/>
            <w:shd w:val="clear" w:color="auto" w:fill="auto"/>
            <w:vAlign w:val="center"/>
            <w:hideMark/>
          </w:tcPr>
          <w:p w14:paraId="332F1875"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3,908.00</w:t>
            </w:r>
          </w:p>
        </w:tc>
        <w:tc>
          <w:tcPr>
            <w:tcW w:w="1276" w:type="dxa"/>
            <w:shd w:val="clear" w:color="auto" w:fill="auto"/>
            <w:vAlign w:val="center"/>
            <w:hideMark/>
          </w:tcPr>
          <w:p w14:paraId="30CA0DAE"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14,907.61</w:t>
            </w:r>
          </w:p>
        </w:tc>
        <w:tc>
          <w:tcPr>
            <w:tcW w:w="1134" w:type="dxa"/>
            <w:shd w:val="clear" w:color="auto" w:fill="auto"/>
            <w:vAlign w:val="center"/>
            <w:hideMark/>
          </w:tcPr>
          <w:p w14:paraId="527BA97F"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c>
          <w:tcPr>
            <w:tcW w:w="1134" w:type="dxa"/>
            <w:shd w:val="clear" w:color="auto" w:fill="auto"/>
            <w:vAlign w:val="center"/>
            <w:hideMark/>
          </w:tcPr>
          <w:p w14:paraId="6D224C71"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1,026.38</w:t>
            </w:r>
          </w:p>
        </w:tc>
        <w:tc>
          <w:tcPr>
            <w:tcW w:w="1275" w:type="dxa"/>
            <w:shd w:val="clear" w:color="auto" w:fill="auto"/>
            <w:vAlign w:val="center"/>
            <w:hideMark/>
          </w:tcPr>
          <w:p w14:paraId="57DB8D0D"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855.69</w:t>
            </w:r>
          </w:p>
        </w:tc>
        <w:tc>
          <w:tcPr>
            <w:tcW w:w="993" w:type="dxa"/>
            <w:shd w:val="clear" w:color="auto" w:fill="auto"/>
            <w:vAlign w:val="center"/>
            <w:hideMark/>
          </w:tcPr>
          <w:p w14:paraId="1CBF0B42"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14,441.51</w:t>
            </w:r>
          </w:p>
        </w:tc>
        <w:tc>
          <w:tcPr>
            <w:tcW w:w="992" w:type="dxa"/>
            <w:shd w:val="clear" w:color="auto" w:fill="auto"/>
            <w:vAlign w:val="center"/>
            <w:hideMark/>
          </w:tcPr>
          <w:p w14:paraId="681FAD27"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c>
          <w:tcPr>
            <w:tcW w:w="992" w:type="dxa"/>
            <w:shd w:val="clear" w:color="auto" w:fill="auto"/>
            <w:vAlign w:val="center"/>
            <w:hideMark/>
          </w:tcPr>
          <w:p w14:paraId="2242AAA1"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r>
      <w:tr w:rsidR="00855D07" w:rsidRPr="009835C4" w14:paraId="5BB86253" w14:textId="77777777" w:rsidTr="009044DE">
        <w:trPr>
          <w:trHeight w:val="300"/>
          <w:jc w:val="center"/>
        </w:trPr>
        <w:tc>
          <w:tcPr>
            <w:tcW w:w="1271" w:type="dxa"/>
            <w:shd w:val="clear" w:color="auto" w:fill="auto"/>
            <w:vAlign w:val="center"/>
            <w:hideMark/>
          </w:tcPr>
          <w:p w14:paraId="6544B94D"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ZFP Tayrona</w:t>
            </w:r>
          </w:p>
        </w:tc>
        <w:tc>
          <w:tcPr>
            <w:tcW w:w="1276" w:type="dxa"/>
            <w:shd w:val="clear" w:color="auto" w:fill="auto"/>
            <w:vAlign w:val="center"/>
            <w:hideMark/>
          </w:tcPr>
          <w:p w14:paraId="1885B849"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392.75</w:t>
            </w:r>
          </w:p>
        </w:tc>
        <w:tc>
          <w:tcPr>
            <w:tcW w:w="1276" w:type="dxa"/>
            <w:shd w:val="clear" w:color="auto" w:fill="auto"/>
            <w:vAlign w:val="center"/>
            <w:hideMark/>
          </w:tcPr>
          <w:p w14:paraId="5CFB7EEB"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25,082.34</w:t>
            </w:r>
          </w:p>
        </w:tc>
        <w:tc>
          <w:tcPr>
            <w:tcW w:w="1134" w:type="dxa"/>
            <w:shd w:val="clear" w:color="auto" w:fill="auto"/>
            <w:vAlign w:val="center"/>
            <w:hideMark/>
          </w:tcPr>
          <w:p w14:paraId="3740D244"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c>
          <w:tcPr>
            <w:tcW w:w="1134" w:type="dxa"/>
            <w:shd w:val="clear" w:color="auto" w:fill="auto"/>
            <w:vAlign w:val="center"/>
            <w:hideMark/>
          </w:tcPr>
          <w:p w14:paraId="4CCF4CD3"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c>
          <w:tcPr>
            <w:tcW w:w="1275" w:type="dxa"/>
            <w:shd w:val="clear" w:color="auto" w:fill="auto"/>
            <w:vAlign w:val="center"/>
            <w:hideMark/>
          </w:tcPr>
          <w:p w14:paraId="47C3177D"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2,268.55</w:t>
            </w:r>
          </w:p>
        </w:tc>
        <w:tc>
          <w:tcPr>
            <w:tcW w:w="993" w:type="dxa"/>
            <w:shd w:val="clear" w:color="auto" w:fill="auto"/>
            <w:vAlign w:val="center"/>
            <w:hideMark/>
          </w:tcPr>
          <w:p w14:paraId="2268F246"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21,498.89</w:t>
            </w:r>
          </w:p>
        </w:tc>
        <w:tc>
          <w:tcPr>
            <w:tcW w:w="992" w:type="dxa"/>
            <w:shd w:val="clear" w:color="auto" w:fill="auto"/>
            <w:vAlign w:val="center"/>
            <w:hideMark/>
          </w:tcPr>
          <w:p w14:paraId="2F23356E"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1,249.66</w:t>
            </w:r>
          </w:p>
        </w:tc>
        <w:tc>
          <w:tcPr>
            <w:tcW w:w="992" w:type="dxa"/>
            <w:shd w:val="clear" w:color="auto" w:fill="auto"/>
            <w:vAlign w:val="center"/>
            <w:hideMark/>
          </w:tcPr>
          <w:p w14:paraId="74C59A2B" w14:textId="77777777" w:rsidR="009835C4" w:rsidRPr="009835C4" w:rsidRDefault="009835C4" w:rsidP="009044DE">
            <w:pPr>
              <w:spacing w:after="0" w:line="240" w:lineRule="auto"/>
              <w:ind w:firstLine="0"/>
              <w:jc w:val="center"/>
              <w:rPr>
                <w:rFonts w:eastAsia="Times New Roman" w:cs="Times New Roman"/>
                <w:color w:val="000000"/>
                <w:kern w:val="0"/>
                <w:sz w:val="20"/>
                <w:lang w:eastAsia="es-CO"/>
                <w14:ligatures w14:val="none"/>
              </w:rPr>
            </w:pPr>
            <w:r w:rsidRPr="009835C4">
              <w:rPr>
                <w:rFonts w:eastAsia="Times New Roman" w:cs="Times New Roman"/>
                <w:color w:val="000000"/>
                <w:kern w:val="0"/>
                <w:sz w:val="20"/>
                <w:lang w:eastAsia="es-CO"/>
                <w14:ligatures w14:val="none"/>
              </w:rPr>
              <w:t>0.00</w:t>
            </w:r>
          </w:p>
        </w:tc>
      </w:tr>
    </w:tbl>
    <w:p w14:paraId="43DBDDB6" w14:textId="77777777" w:rsidR="00855D07" w:rsidRDefault="00855D07" w:rsidP="0015136C">
      <w:pPr>
        <w:spacing w:line="480" w:lineRule="auto"/>
        <w:jc w:val="center"/>
        <w:rPr>
          <w:lang w:eastAsia="es-ES"/>
        </w:rPr>
      </w:pPr>
      <w:r>
        <w:rPr>
          <w:lang w:eastAsia="es-ES"/>
        </w:rPr>
        <w:t>Nota: Elaboración propia, a partir de da datos del DANE</w:t>
      </w:r>
    </w:p>
    <w:p w14:paraId="479B72EF" w14:textId="235D29ED" w:rsidR="00B14157" w:rsidRDefault="00F84EA9" w:rsidP="0015136C">
      <w:pPr>
        <w:spacing w:line="480" w:lineRule="auto"/>
        <w:rPr>
          <w:lang w:eastAsia="es-ES"/>
        </w:rPr>
      </w:pPr>
      <w:r>
        <w:rPr>
          <w:lang w:eastAsia="es-ES"/>
        </w:rPr>
        <w:t xml:space="preserve">El cuadro </w:t>
      </w:r>
      <w:r w:rsidR="00B14157">
        <w:rPr>
          <w:lang w:eastAsia="es-ES"/>
        </w:rPr>
        <w:t xml:space="preserve">de las salidas por zonas francas según el tipo de operación durante el período de 2023 a 2024 revela dinámicas económicas importantes que reflejan el rendimiento de estas áreas </w:t>
      </w:r>
      <w:r w:rsidR="00B14157">
        <w:rPr>
          <w:lang w:eastAsia="es-ES"/>
        </w:rPr>
        <w:lastRenderedPageBreak/>
        <w:t>en el comercio internacional. En general, se observa un incremento en las salidas de varias zonas francas, lo cual sugiere una mejora en su competitividad y eficiencia operativa.</w:t>
      </w:r>
      <w:r>
        <w:rPr>
          <w:lang w:eastAsia="es-ES"/>
        </w:rPr>
        <w:t xml:space="preserve"> </w:t>
      </w:r>
      <w:r w:rsidR="00B14157">
        <w:rPr>
          <w:lang w:eastAsia="es-ES"/>
        </w:rPr>
        <w:t xml:space="preserve">La Zona Franca Barranquilla se destaca como la que tiene el mayor volumen de salidas en ambos años, con un notable crecimiento en sus operaciones con el resto del mundo, pasando de 34.301,94 </w:t>
      </w:r>
      <w:r w:rsidR="00235898">
        <w:rPr>
          <w:lang w:eastAsia="es-ES"/>
        </w:rPr>
        <w:t>miles</w:t>
      </w:r>
      <w:r w:rsidR="00B14157">
        <w:rPr>
          <w:lang w:eastAsia="es-ES"/>
        </w:rPr>
        <w:t xml:space="preserve"> de dólares FOB en 2023 a 41.387,25 en 2024. Este aumento también se refleja en el incremento de sus transacciones bajo el régimen de TAN y con usuarios de ZF.</w:t>
      </w:r>
    </w:p>
    <w:p w14:paraId="319502D5" w14:textId="47ED118C" w:rsidR="00B14157" w:rsidRDefault="00B14157" w:rsidP="0015136C">
      <w:pPr>
        <w:spacing w:line="480" w:lineRule="auto"/>
        <w:rPr>
          <w:lang w:eastAsia="es-ES"/>
        </w:rPr>
      </w:pPr>
      <w:r>
        <w:rPr>
          <w:lang w:eastAsia="es-ES"/>
        </w:rPr>
        <w:t xml:space="preserve">En contraste, la Zona Franca Cartagena experimenta una disminución en sus salidas al resto del mundo, que caen de 12.850,49 </w:t>
      </w:r>
      <w:r w:rsidR="00235898">
        <w:rPr>
          <w:lang w:eastAsia="es-ES"/>
        </w:rPr>
        <w:t>miles</w:t>
      </w:r>
      <w:r>
        <w:rPr>
          <w:lang w:eastAsia="es-ES"/>
        </w:rPr>
        <w:t xml:space="preserve"> de dólares en 2023 a 10.537,72 en 2024. </w:t>
      </w:r>
      <w:r w:rsidR="00F84EA9">
        <w:rPr>
          <w:lang w:eastAsia="es-ES"/>
        </w:rPr>
        <w:t>Igualmente</w:t>
      </w:r>
      <w:r>
        <w:rPr>
          <w:lang w:eastAsia="es-ES"/>
        </w:rPr>
        <w:t xml:space="preserve">, las salidas bajo el régimen de TAN han </w:t>
      </w:r>
      <w:r w:rsidR="00F84EA9">
        <w:rPr>
          <w:lang w:eastAsia="es-ES"/>
        </w:rPr>
        <w:t>disminuido</w:t>
      </w:r>
      <w:r>
        <w:rPr>
          <w:lang w:eastAsia="es-ES"/>
        </w:rPr>
        <w:t>, lo que podría indicar un cambio en su estrategia comercial hacia la producción y exportación a mercados más cercanos o específicos.</w:t>
      </w:r>
    </w:p>
    <w:p w14:paraId="03C21ABA" w14:textId="2842F117" w:rsidR="00F84EA9" w:rsidRDefault="00B14157" w:rsidP="0015136C">
      <w:pPr>
        <w:spacing w:line="480" w:lineRule="auto"/>
        <w:rPr>
          <w:lang w:eastAsia="es-ES"/>
        </w:rPr>
      </w:pPr>
      <w:r>
        <w:rPr>
          <w:lang w:eastAsia="es-ES"/>
        </w:rPr>
        <w:t xml:space="preserve">La Zona Franca Internacional del Atlántico muestra un crecimiento en sus salidas bajo el régimen TAN, aumentando de 11.594,83 a 12.938,24 </w:t>
      </w:r>
      <w:r w:rsidR="00235898">
        <w:rPr>
          <w:lang w:eastAsia="es-ES"/>
        </w:rPr>
        <w:t>miles</w:t>
      </w:r>
      <w:r>
        <w:rPr>
          <w:lang w:eastAsia="es-ES"/>
        </w:rPr>
        <w:t xml:space="preserve"> de dólares, aunque sus niveles siguen siendo bajos en comparación con otras zonas, lo que sugiere la necesidad de diversificar y mej</w:t>
      </w:r>
      <w:r w:rsidR="00F84EA9">
        <w:rPr>
          <w:lang w:eastAsia="es-ES"/>
        </w:rPr>
        <w:t xml:space="preserve">orar su capacidad exportadora. </w:t>
      </w:r>
      <w:r>
        <w:rPr>
          <w:lang w:eastAsia="es-ES"/>
        </w:rPr>
        <w:t>En cuanto a la Zona Franca La Cayena, se observa un crecimiento significativo tanto en sus salidas al resto del mundo como en sus operaciones bajo TAN, lo que indica una expansión en su capacidad operativa y una mejora en la oferta de productos y servicios que podría atraer nuevos inversores.</w:t>
      </w:r>
      <w:r w:rsidR="00F84EA9">
        <w:rPr>
          <w:lang w:eastAsia="es-ES"/>
        </w:rPr>
        <w:t xml:space="preserve"> </w:t>
      </w:r>
      <w:r>
        <w:rPr>
          <w:lang w:eastAsia="es-ES"/>
        </w:rPr>
        <w:t>La Zona Franca Palermo presenta una situación particular; tras tener salidas notables en 2023, sus ingresos del resto del mundo caen a cero en 2024, lo que podría señalar una reestructuración o una reducción en su actividad comercial.</w:t>
      </w:r>
    </w:p>
    <w:p w14:paraId="471259AA" w14:textId="4887FF20" w:rsidR="00B14157" w:rsidRDefault="00B14157" w:rsidP="0015136C">
      <w:pPr>
        <w:spacing w:line="480" w:lineRule="auto"/>
        <w:rPr>
          <w:lang w:eastAsia="es-ES"/>
        </w:rPr>
      </w:pPr>
      <w:r>
        <w:rPr>
          <w:lang w:eastAsia="es-ES"/>
        </w:rPr>
        <w:t>Finalmente, las Zonas Francas Parque Central y Tayrona muestran variaciones en sus salidas: Parque Central experimenta un aumento en sus transacciones con el resto del mundo, mientras que Tayrona presenta un crecimiento en sus salidas bajo el régimen TAN, aunque estas siguen siendo bajas en términos absolutos.</w:t>
      </w:r>
    </w:p>
    <w:p w14:paraId="3CDB8ECB" w14:textId="2894A4ED" w:rsidR="009044DE" w:rsidRPr="009044DE" w:rsidRDefault="009044DE" w:rsidP="009044DE">
      <w:pPr>
        <w:pStyle w:val="Descripcin"/>
        <w:spacing w:after="0"/>
        <w:rPr>
          <w:b/>
          <w:bCs/>
          <w:i w:val="0"/>
          <w:iCs w:val="0"/>
          <w:color w:val="auto"/>
          <w:sz w:val="24"/>
          <w:szCs w:val="22"/>
          <w:lang w:eastAsia="es-ES"/>
        </w:rPr>
      </w:pPr>
      <w:bookmarkStart w:id="88" w:name="_Toc178689014"/>
      <w:bookmarkStart w:id="89" w:name="_Toc183783087"/>
      <w:r w:rsidRPr="009044DE">
        <w:rPr>
          <w:b/>
          <w:bCs/>
          <w:i w:val="0"/>
          <w:iCs w:val="0"/>
          <w:color w:val="auto"/>
          <w:sz w:val="24"/>
          <w:szCs w:val="22"/>
          <w:lang w:eastAsia="es-ES"/>
        </w:rPr>
        <w:lastRenderedPageBreak/>
        <w:t xml:space="preserve">Tabla </w:t>
      </w:r>
      <w:r w:rsidRPr="009044DE">
        <w:rPr>
          <w:b/>
          <w:bCs/>
          <w:i w:val="0"/>
          <w:iCs w:val="0"/>
          <w:color w:val="auto"/>
          <w:sz w:val="24"/>
          <w:szCs w:val="22"/>
          <w:lang w:eastAsia="es-ES"/>
        </w:rPr>
        <w:fldChar w:fldCharType="begin"/>
      </w:r>
      <w:r w:rsidRPr="009044DE">
        <w:rPr>
          <w:b/>
          <w:bCs/>
          <w:i w:val="0"/>
          <w:iCs w:val="0"/>
          <w:color w:val="auto"/>
          <w:sz w:val="24"/>
          <w:szCs w:val="22"/>
          <w:lang w:eastAsia="es-ES"/>
        </w:rPr>
        <w:instrText xml:space="preserve"> SEQ Tabla \* ARABIC </w:instrText>
      </w:r>
      <w:r w:rsidRPr="009044DE">
        <w:rPr>
          <w:b/>
          <w:bCs/>
          <w:i w:val="0"/>
          <w:iCs w:val="0"/>
          <w:color w:val="auto"/>
          <w:sz w:val="24"/>
          <w:szCs w:val="22"/>
          <w:lang w:eastAsia="es-ES"/>
        </w:rPr>
        <w:fldChar w:fldCharType="separate"/>
      </w:r>
      <w:r w:rsidR="00901E21">
        <w:rPr>
          <w:b/>
          <w:bCs/>
          <w:i w:val="0"/>
          <w:iCs w:val="0"/>
          <w:noProof/>
          <w:color w:val="auto"/>
          <w:sz w:val="24"/>
          <w:szCs w:val="22"/>
          <w:lang w:eastAsia="es-ES"/>
        </w:rPr>
        <w:t>11</w:t>
      </w:r>
      <w:r w:rsidRPr="009044DE">
        <w:rPr>
          <w:b/>
          <w:bCs/>
          <w:i w:val="0"/>
          <w:iCs w:val="0"/>
          <w:color w:val="auto"/>
          <w:sz w:val="24"/>
          <w:szCs w:val="22"/>
          <w:lang w:eastAsia="es-ES"/>
        </w:rPr>
        <w:fldChar w:fldCharType="end"/>
      </w:r>
      <w:r w:rsidRPr="009044DE">
        <w:rPr>
          <w:b/>
          <w:bCs/>
          <w:i w:val="0"/>
          <w:iCs w:val="0"/>
          <w:color w:val="auto"/>
          <w:sz w:val="24"/>
          <w:szCs w:val="22"/>
          <w:lang w:eastAsia="es-ES"/>
        </w:rPr>
        <w:t>:</w:t>
      </w:r>
      <w:bookmarkEnd w:id="88"/>
      <w:bookmarkEnd w:id="89"/>
      <w:r w:rsidRPr="009044DE">
        <w:rPr>
          <w:b/>
          <w:bCs/>
          <w:i w:val="0"/>
          <w:iCs w:val="0"/>
          <w:color w:val="auto"/>
          <w:sz w:val="24"/>
          <w:szCs w:val="22"/>
          <w:lang w:eastAsia="es-ES"/>
        </w:rPr>
        <w:t xml:space="preserve"> </w:t>
      </w:r>
    </w:p>
    <w:p w14:paraId="5B7412F8" w14:textId="4406E383" w:rsidR="0050758B" w:rsidRPr="006C3145" w:rsidRDefault="009044DE" w:rsidP="009044DE">
      <w:pPr>
        <w:pStyle w:val="Descripcin"/>
        <w:spacing w:after="0"/>
        <w:ind w:left="708" w:firstLine="1"/>
        <w:rPr>
          <w:i w:val="0"/>
          <w:iCs w:val="0"/>
          <w:color w:val="auto"/>
          <w:sz w:val="24"/>
          <w:szCs w:val="22"/>
          <w:lang w:eastAsia="es-ES"/>
        </w:rPr>
      </w:pPr>
      <w:bookmarkStart w:id="90" w:name="_Toc178689015"/>
      <w:bookmarkStart w:id="91" w:name="_Toc183783088"/>
      <w:r w:rsidRPr="006C3145">
        <w:rPr>
          <w:i w:val="0"/>
          <w:iCs w:val="0"/>
          <w:color w:val="auto"/>
          <w:sz w:val="24"/>
          <w:szCs w:val="22"/>
          <w:lang w:eastAsia="es-ES"/>
        </w:rPr>
        <w:t>Exportaciones - Importaciones y Balanza Comercial según Zonas Francas - Miles de dólares FOB 2023 - 2024 (junio)</w:t>
      </w:r>
      <w:bookmarkEnd w:id="90"/>
      <w:bookmarkEnd w:id="91"/>
    </w:p>
    <w:p w14:paraId="62A4F54B" w14:textId="77777777" w:rsidR="009044DE" w:rsidRPr="009044DE" w:rsidRDefault="009044DE" w:rsidP="009044DE">
      <w:pPr>
        <w:rPr>
          <w:lang w:eastAsia="es-ES"/>
        </w:rPr>
      </w:pPr>
    </w:p>
    <w:tbl>
      <w:tblPr>
        <w:tblW w:w="970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660"/>
        <w:gridCol w:w="1485"/>
        <w:gridCol w:w="1485"/>
        <w:gridCol w:w="1497"/>
        <w:gridCol w:w="1497"/>
        <w:gridCol w:w="999"/>
        <w:gridCol w:w="1077"/>
      </w:tblGrid>
      <w:tr w:rsidR="00C568D0" w:rsidRPr="009044DE" w14:paraId="25DE3DC0" w14:textId="77777777" w:rsidTr="009044DE">
        <w:trPr>
          <w:trHeight w:val="600"/>
          <w:jc w:val="center"/>
        </w:trPr>
        <w:tc>
          <w:tcPr>
            <w:tcW w:w="1795" w:type="dxa"/>
            <w:tcBorders>
              <w:top w:val="single" w:sz="4" w:space="0" w:color="auto"/>
              <w:bottom w:val="single" w:sz="4" w:space="0" w:color="auto"/>
            </w:tcBorders>
            <w:shd w:val="clear" w:color="auto" w:fill="auto"/>
            <w:vAlign w:val="center"/>
            <w:hideMark/>
          </w:tcPr>
          <w:p w14:paraId="4EBE32D5" w14:textId="77777777" w:rsidR="00C568D0" w:rsidRPr="009044DE" w:rsidRDefault="00C568D0" w:rsidP="0015136C">
            <w:pPr>
              <w:spacing w:after="0" w:line="480" w:lineRule="auto"/>
              <w:ind w:firstLine="0"/>
              <w:jc w:val="center"/>
              <w:rPr>
                <w:rFonts w:eastAsia="Times New Roman" w:cs="Times New Roman"/>
                <w:b/>
                <w:bCs/>
                <w:color w:val="000000"/>
                <w:kern w:val="0"/>
                <w:sz w:val="22"/>
                <w:lang w:eastAsia="es-CO"/>
                <w14:ligatures w14:val="none"/>
              </w:rPr>
            </w:pPr>
            <w:r w:rsidRPr="009044DE">
              <w:rPr>
                <w:rFonts w:eastAsia="Times New Roman" w:cs="Times New Roman"/>
                <w:b/>
                <w:bCs/>
                <w:color w:val="000000"/>
                <w:kern w:val="0"/>
                <w:sz w:val="22"/>
                <w:lang w:eastAsia="es-CO"/>
                <w14:ligatures w14:val="none"/>
              </w:rPr>
              <w:t>Zona Franca</w:t>
            </w:r>
          </w:p>
        </w:tc>
        <w:tc>
          <w:tcPr>
            <w:tcW w:w="1429" w:type="dxa"/>
            <w:tcBorders>
              <w:top w:val="single" w:sz="4" w:space="0" w:color="auto"/>
              <w:bottom w:val="single" w:sz="4" w:space="0" w:color="auto"/>
            </w:tcBorders>
            <w:shd w:val="clear" w:color="auto" w:fill="auto"/>
            <w:vAlign w:val="center"/>
            <w:hideMark/>
          </w:tcPr>
          <w:p w14:paraId="71B0F1C3" w14:textId="77777777" w:rsidR="00C568D0" w:rsidRPr="009044DE" w:rsidRDefault="00C568D0" w:rsidP="0015136C">
            <w:pPr>
              <w:spacing w:after="0" w:line="480" w:lineRule="auto"/>
              <w:ind w:firstLine="0"/>
              <w:jc w:val="center"/>
              <w:rPr>
                <w:rFonts w:eastAsia="Times New Roman" w:cs="Times New Roman"/>
                <w:b/>
                <w:bCs/>
                <w:color w:val="000000"/>
                <w:kern w:val="0"/>
                <w:sz w:val="22"/>
                <w:lang w:eastAsia="es-CO"/>
                <w14:ligatures w14:val="none"/>
              </w:rPr>
            </w:pPr>
            <w:r w:rsidRPr="009044DE">
              <w:rPr>
                <w:rFonts w:eastAsia="Times New Roman" w:cs="Times New Roman"/>
                <w:b/>
                <w:bCs/>
                <w:color w:val="000000"/>
                <w:kern w:val="0"/>
                <w:sz w:val="22"/>
                <w:lang w:eastAsia="es-CO"/>
                <w14:ligatures w14:val="none"/>
              </w:rPr>
              <w:t>Exportaciones 2023</w:t>
            </w:r>
          </w:p>
        </w:tc>
        <w:tc>
          <w:tcPr>
            <w:tcW w:w="1429" w:type="dxa"/>
            <w:tcBorders>
              <w:top w:val="single" w:sz="4" w:space="0" w:color="auto"/>
              <w:bottom w:val="single" w:sz="4" w:space="0" w:color="auto"/>
            </w:tcBorders>
            <w:shd w:val="clear" w:color="auto" w:fill="auto"/>
            <w:vAlign w:val="center"/>
            <w:hideMark/>
          </w:tcPr>
          <w:p w14:paraId="2C37C49F" w14:textId="77777777" w:rsidR="00C568D0" w:rsidRPr="009044DE" w:rsidRDefault="00C568D0" w:rsidP="0015136C">
            <w:pPr>
              <w:spacing w:after="0" w:line="480" w:lineRule="auto"/>
              <w:ind w:firstLine="0"/>
              <w:jc w:val="center"/>
              <w:rPr>
                <w:rFonts w:eastAsia="Times New Roman" w:cs="Times New Roman"/>
                <w:b/>
                <w:bCs/>
                <w:color w:val="000000"/>
                <w:kern w:val="0"/>
                <w:sz w:val="22"/>
                <w:lang w:eastAsia="es-CO"/>
                <w14:ligatures w14:val="none"/>
              </w:rPr>
            </w:pPr>
            <w:r w:rsidRPr="009044DE">
              <w:rPr>
                <w:rFonts w:eastAsia="Times New Roman" w:cs="Times New Roman"/>
                <w:b/>
                <w:bCs/>
                <w:color w:val="000000"/>
                <w:kern w:val="0"/>
                <w:sz w:val="22"/>
                <w:lang w:eastAsia="es-CO"/>
                <w14:ligatures w14:val="none"/>
              </w:rPr>
              <w:t>Exportaciones 2024</w:t>
            </w:r>
          </w:p>
        </w:tc>
        <w:tc>
          <w:tcPr>
            <w:tcW w:w="1458" w:type="dxa"/>
            <w:tcBorders>
              <w:top w:val="single" w:sz="4" w:space="0" w:color="auto"/>
              <w:bottom w:val="single" w:sz="4" w:space="0" w:color="auto"/>
            </w:tcBorders>
            <w:shd w:val="clear" w:color="auto" w:fill="auto"/>
            <w:vAlign w:val="center"/>
            <w:hideMark/>
          </w:tcPr>
          <w:p w14:paraId="727EC81F" w14:textId="77777777" w:rsidR="00C568D0" w:rsidRPr="009044DE" w:rsidRDefault="00C568D0" w:rsidP="0015136C">
            <w:pPr>
              <w:spacing w:after="0" w:line="480" w:lineRule="auto"/>
              <w:ind w:firstLine="0"/>
              <w:jc w:val="center"/>
              <w:rPr>
                <w:rFonts w:eastAsia="Times New Roman" w:cs="Times New Roman"/>
                <w:b/>
                <w:bCs/>
                <w:color w:val="000000"/>
                <w:kern w:val="0"/>
                <w:sz w:val="22"/>
                <w:lang w:eastAsia="es-CO"/>
                <w14:ligatures w14:val="none"/>
              </w:rPr>
            </w:pPr>
            <w:r w:rsidRPr="009044DE">
              <w:rPr>
                <w:rFonts w:eastAsia="Times New Roman" w:cs="Times New Roman"/>
                <w:b/>
                <w:bCs/>
                <w:color w:val="000000"/>
                <w:kern w:val="0"/>
                <w:sz w:val="22"/>
                <w:lang w:eastAsia="es-CO"/>
                <w14:ligatures w14:val="none"/>
              </w:rPr>
              <w:t>Importaciones 2023</w:t>
            </w:r>
          </w:p>
        </w:tc>
        <w:tc>
          <w:tcPr>
            <w:tcW w:w="1458" w:type="dxa"/>
            <w:tcBorders>
              <w:top w:val="single" w:sz="4" w:space="0" w:color="auto"/>
              <w:bottom w:val="single" w:sz="4" w:space="0" w:color="auto"/>
            </w:tcBorders>
            <w:shd w:val="clear" w:color="auto" w:fill="auto"/>
            <w:vAlign w:val="center"/>
            <w:hideMark/>
          </w:tcPr>
          <w:p w14:paraId="04D04E98" w14:textId="77777777" w:rsidR="00C568D0" w:rsidRPr="009044DE" w:rsidRDefault="00C568D0" w:rsidP="0015136C">
            <w:pPr>
              <w:spacing w:after="0" w:line="480" w:lineRule="auto"/>
              <w:ind w:firstLine="0"/>
              <w:jc w:val="center"/>
              <w:rPr>
                <w:rFonts w:eastAsia="Times New Roman" w:cs="Times New Roman"/>
                <w:b/>
                <w:bCs/>
                <w:color w:val="000000"/>
                <w:kern w:val="0"/>
                <w:sz w:val="22"/>
                <w:lang w:eastAsia="es-CO"/>
                <w14:ligatures w14:val="none"/>
              </w:rPr>
            </w:pPr>
            <w:r w:rsidRPr="009044DE">
              <w:rPr>
                <w:rFonts w:eastAsia="Times New Roman" w:cs="Times New Roman"/>
                <w:b/>
                <w:bCs/>
                <w:color w:val="000000"/>
                <w:kern w:val="0"/>
                <w:sz w:val="22"/>
                <w:lang w:eastAsia="es-CO"/>
                <w14:ligatures w14:val="none"/>
              </w:rPr>
              <w:t>Importaciones 2024</w:t>
            </w:r>
          </w:p>
        </w:tc>
        <w:tc>
          <w:tcPr>
            <w:tcW w:w="1032" w:type="dxa"/>
            <w:tcBorders>
              <w:top w:val="single" w:sz="4" w:space="0" w:color="auto"/>
              <w:bottom w:val="single" w:sz="4" w:space="0" w:color="auto"/>
            </w:tcBorders>
            <w:shd w:val="clear" w:color="auto" w:fill="auto"/>
            <w:vAlign w:val="center"/>
            <w:hideMark/>
          </w:tcPr>
          <w:p w14:paraId="4663BE1D" w14:textId="77777777" w:rsidR="00C568D0" w:rsidRPr="009044DE" w:rsidRDefault="00C568D0" w:rsidP="0015136C">
            <w:pPr>
              <w:spacing w:after="0" w:line="480" w:lineRule="auto"/>
              <w:ind w:firstLine="0"/>
              <w:jc w:val="center"/>
              <w:rPr>
                <w:rFonts w:eastAsia="Times New Roman" w:cs="Times New Roman"/>
                <w:b/>
                <w:bCs/>
                <w:color w:val="000000"/>
                <w:kern w:val="0"/>
                <w:sz w:val="22"/>
                <w:lang w:eastAsia="es-CO"/>
                <w14:ligatures w14:val="none"/>
              </w:rPr>
            </w:pPr>
            <w:r w:rsidRPr="009044DE">
              <w:rPr>
                <w:rFonts w:eastAsia="Times New Roman" w:cs="Times New Roman"/>
                <w:b/>
                <w:bCs/>
                <w:color w:val="000000"/>
                <w:kern w:val="0"/>
                <w:sz w:val="22"/>
                <w:lang w:eastAsia="es-CO"/>
                <w14:ligatures w14:val="none"/>
              </w:rPr>
              <w:t>Balanza 2023</w:t>
            </w:r>
          </w:p>
        </w:tc>
        <w:tc>
          <w:tcPr>
            <w:tcW w:w="1099" w:type="dxa"/>
            <w:tcBorders>
              <w:top w:val="single" w:sz="4" w:space="0" w:color="auto"/>
              <w:bottom w:val="single" w:sz="4" w:space="0" w:color="auto"/>
            </w:tcBorders>
            <w:shd w:val="clear" w:color="auto" w:fill="auto"/>
            <w:vAlign w:val="center"/>
            <w:hideMark/>
          </w:tcPr>
          <w:p w14:paraId="7B812E68" w14:textId="77777777" w:rsidR="00C568D0" w:rsidRPr="009044DE" w:rsidRDefault="00C568D0" w:rsidP="0015136C">
            <w:pPr>
              <w:spacing w:after="0" w:line="480" w:lineRule="auto"/>
              <w:ind w:firstLine="0"/>
              <w:jc w:val="center"/>
              <w:rPr>
                <w:rFonts w:eastAsia="Times New Roman" w:cs="Times New Roman"/>
                <w:b/>
                <w:bCs/>
                <w:color w:val="000000"/>
                <w:kern w:val="0"/>
                <w:sz w:val="22"/>
                <w:lang w:eastAsia="es-CO"/>
                <w14:ligatures w14:val="none"/>
              </w:rPr>
            </w:pPr>
            <w:r w:rsidRPr="009044DE">
              <w:rPr>
                <w:rFonts w:eastAsia="Times New Roman" w:cs="Times New Roman"/>
                <w:b/>
                <w:bCs/>
                <w:color w:val="000000"/>
                <w:kern w:val="0"/>
                <w:sz w:val="22"/>
                <w:lang w:eastAsia="es-CO"/>
                <w14:ligatures w14:val="none"/>
              </w:rPr>
              <w:t>Balanza 2024</w:t>
            </w:r>
          </w:p>
        </w:tc>
      </w:tr>
      <w:tr w:rsidR="00C568D0" w:rsidRPr="009044DE" w14:paraId="7A4F249C" w14:textId="77777777" w:rsidTr="009044DE">
        <w:trPr>
          <w:trHeight w:val="300"/>
          <w:jc w:val="center"/>
        </w:trPr>
        <w:tc>
          <w:tcPr>
            <w:tcW w:w="1795" w:type="dxa"/>
            <w:tcBorders>
              <w:top w:val="single" w:sz="4" w:space="0" w:color="auto"/>
            </w:tcBorders>
            <w:shd w:val="clear" w:color="auto" w:fill="auto"/>
            <w:vAlign w:val="center"/>
            <w:hideMark/>
          </w:tcPr>
          <w:p w14:paraId="59F3ACDD"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ZFP la Cayena</w:t>
            </w:r>
          </w:p>
        </w:tc>
        <w:tc>
          <w:tcPr>
            <w:tcW w:w="1429" w:type="dxa"/>
            <w:tcBorders>
              <w:top w:val="single" w:sz="4" w:space="0" w:color="auto"/>
            </w:tcBorders>
            <w:shd w:val="clear" w:color="auto" w:fill="auto"/>
            <w:vAlign w:val="center"/>
            <w:hideMark/>
          </w:tcPr>
          <w:p w14:paraId="743B8A60"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13,227.41</w:t>
            </w:r>
          </w:p>
        </w:tc>
        <w:tc>
          <w:tcPr>
            <w:tcW w:w="1429" w:type="dxa"/>
            <w:tcBorders>
              <w:top w:val="single" w:sz="4" w:space="0" w:color="auto"/>
            </w:tcBorders>
            <w:shd w:val="clear" w:color="auto" w:fill="auto"/>
            <w:vAlign w:val="center"/>
            <w:hideMark/>
          </w:tcPr>
          <w:p w14:paraId="2B387AE3"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15,816.92</w:t>
            </w:r>
          </w:p>
        </w:tc>
        <w:tc>
          <w:tcPr>
            <w:tcW w:w="1458" w:type="dxa"/>
            <w:tcBorders>
              <w:top w:val="single" w:sz="4" w:space="0" w:color="auto"/>
            </w:tcBorders>
            <w:shd w:val="clear" w:color="auto" w:fill="auto"/>
            <w:vAlign w:val="center"/>
            <w:hideMark/>
          </w:tcPr>
          <w:p w14:paraId="30CF339A"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6,213.94</w:t>
            </w:r>
          </w:p>
        </w:tc>
        <w:tc>
          <w:tcPr>
            <w:tcW w:w="1458" w:type="dxa"/>
            <w:tcBorders>
              <w:top w:val="single" w:sz="4" w:space="0" w:color="auto"/>
            </w:tcBorders>
            <w:shd w:val="clear" w:color="auto" w:fill="auto"/>
            <w:vAlign w:val="center"/>
            <w:hideMark/>
          </w:tcPr>
          <w:p w14:paraId="17FB6C52"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3,805.02</w:t>
            </w:r>
          </w:p>
        </w:tc>
        <w:tc>
          <w:tcPr>
            <w:tcW w:w="1032" w:type="dxa"/>
            <w:tcBorders>
              <w:top w:val="single" w:sz="4" w:space="0" w:color="auto"/>
            </w:tcBorders>
            <w:shd w:val="clear" w:color="auto" w:fill="auto"/>
            <w:vAlign w:val="center"/>
            <w:hideMark/>
          </w:tcPr>
          <w:p w14:paraId="2377434F"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7,013.46</w:t>
            </w:r>
          </w:p>
        </w:tc>
        <w:tc>
          <w:tcPr>
            <w:tcW w:w="1099" w:type="dxa"/>
            <w:tcBorders>
              <w:top w:val="single" w:sz="4" w:space="0" w:color="auto"/>
            </w:tcBorders>
            <w:shd w:val="clear" w:color="auto" w:fill="auto"/>
            <w:vAlign w:val="center"/>
            <w:hideMark/>
          </w:tcPr>
          <w:p w14:paraId="315DE60C"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12,011.90</w:t>
            </w:r>
          </w:p>
        </w:tc>
      </w:tr>
      <w:tr w:rsidR="00C568D0" w:rsidRPr="009044DE" w14:paraId="2B4F6ADC" w14:textId="77777777" w:rsidTr="009044DE">
        <w:trPr>
          <w:trHeight w:val="300"/>
          <w:jc w:val="center"/>
        </w:trPr>
        <w:tc>
          <w:tcPr>
            <w:tcW w:w="1795" w:type="dxa"/>
            <w:shd w:val="clear" w:color="auto" w:fill="auto"/>
            <w:vAlign w:val="center"/>
            <w:hideMark/>
          </w:tcPr>
          <w:p w14:paraId="493C7519"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ZFP Parque Central</w:t>
            </w:r>
          </w:p>
        </w:tc>
        <w:tc>
          <w:tcPr>
            <w:tcW w:w="1429" w:type="dxa"/>
            <w:shd w:val="clear" w:color="auto" w:fill="auto"/>
            <w:vAlign w:val="center"/>
            <w:hideMark/>
          </w:tcPr>
          <w:p w14:paraId="2F6526CF"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4,799.48</w:t>
            </w:r>
          </w:p>
        </w:tc>
        <w:tc>
          <w:tcPr>
            <w:tcW w:w="1429" w:type="dxa"/>
            <w:shd w:val="clear" w:color="auto" w:fill="auto"/>
            <w:vAlign w:val="center"/>
            <w:hideMark/>
          </w:tcPr>
          <w:p w14:paraId="568EAE29"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12,228.64</w:t>
            </w:r>
          </w:p>
        </w:tc>
        <w:tc>
          <w:tcPr>
            <w:tcW w:w="1458" w:type="dxa"/>
            <w:shd w:val="clear" w:color="auto" w:fill="auto"/>
            <w:vAlign w:val="center"/>
            <w:hideMark/>
          </w:tcPr>
          <w:p w14:paraId="3ABC485E"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1,834.46</w:t>
            </w:r>
          </w:p>
        </w:tc>
        <w:tc>
          <w:tcPr>
            <w:tcW w:w="1458" w:type="dxa"/>
            <w:shd w:val="clear" w:color="auto" w:fill="auto"/>
            <w:vAlign w:val="center"/>
            <w:hideMark/>
          </w:tcPr>
          <w:p w14:paraId="64310015"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3,187.08</w:t>
            </w:r>
          </w:p>
        </w:tc>
        <w:tc>
          <w:tcPr>
            <w:tcW w:w="1032" w:type="dxa"/>
            <w:shd w:val="clear" w:color="auto" w:fill="auto"/>
            <w:vAlign w:val="center"/>
            <w:hideMark/>
          </w:tcPr>
          <w:p w14:paraId="46DD1FD6"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2,965.02</w:t>
            </w:r>
          </w:p>
        </w:tc>
        <w:tc>
          <w:tcPr>
            <w:tcW w:w="1099" w:type="dxa"/>
            <w:shd w:val="clear" w:color="auto" w:fill="auto"/>
            <w:vAlign w:val="center"/>
            <w:hideMark/>
          </w:tcPr>
          <w:p w14:paraId="2C1B3866"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9,041.56</w:t>
            </w:r>
          </w:p>
        </w:tc>
      </w:tr>
      <w:tr w:rsidR="00C568D0" w:rsidRPr="009044DE" w14:paraId="5EF1BC51" w14:textId="77777777" w:rsidTr="009044DE">
        <w:trPr>
          <w:trHeight w:val="300"/>
          <w:jc w:val="center"/>
        </w:trPr>
        <w:tc>
          <w:tcPr>
            <w:tcW w:w="1795" w:type="dxa"/>
            <w:shd w:val="clear" w:color="auto" w:fill="auto"/>
            <w:vAlign w:val="center"/>
            <w:hideMark/>
          </w:tcPr>
          <w:p w14:paraId="20C3508B"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ZFP Cartagena</w:t>
            </w:r>
          </w:p>
        </w:tc>
        <w:tc>
          <w:tcPr>
            <w:tcW w:w="1429" w:type="dxa"/>
            <w:shd w:val="clear" w:color="auto" w:fill="auto"/>
            <w:vAlign w:val="center"/>
            <w:hideMark/>
          </w:tcPr>
          <w:p w14:paraId="7FF59712"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9,128.97</w:t>
            </w:r>
          </w:p>
        </w:tc>
        <w:tc>
          <w:tcPr>
            <w:tcW w:w="1429" w:type="dxa"/>
            <w:shd w:val="clear" w:color="auto" w:fill="auto"/>
            <w:vAlign w:val="center"/>
            <w:hideMark/>
          </w:tcPr>
          <w:p w14:paraId="0BB17EAF"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9,407.47</w:t>
            </w:r>
          </w:p>
        </w:tc>
        <w:tc>
          <w:tcPr>
            <w:tcW w:w="1458" w:type="dxa"/>
            <w:shd w:val="clear" w:color="auto" w:fill="auto"/>
            <w:vAlign w:val="center"/>
            <w:hideMark/>
          </w:tcPr>
          <w:p w14:paraId="3355BDD7"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3,241.51</w:t>
            </w:r>
          </w:p>
        </w:tc>
        <w:tc>
          <w:tcPr>
            <w:tcW w:w="1458" w:type="dxa"/>
            <w:shd w:val="clear" w:color="auto" w:fill="auto"/>
            <w:vAlign w:val="center"/>
            <w:hideMark/>
          </w:tcPr>
          <w:p w14:paraId="7B60B8C5"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3,665.06</w:t>
            </w:r>
          </w:p>
        </w:tc>
        <w:tc>
          <w:tcPr>
            <w:tcW w:w="1032" w:type="dxa"/>
            <w:shd w:val="clear" w:color="auto" w:fill="auto"/>
            <w:vAlign w:val="center"/>
            <w:hideMark/>
          </w:tcPr>
          <w:p w14:paraId="489D4B56"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5,887.46</w:t>
            </w:r>
          </w:p>
        </w:tc>
        <w:tc>
          <w:tcPr>
            <w:tcW w:w="1099" w:type="dxa"/>
            <w:shd w:val="clear" w:color="auto" w:fill="auto"/>
            <w:vAlign w:val="center"/>
            <w:hideMark/>
          </w:tcPr>
          <w:p w14:paraId="55600020"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5,742.41</w:t>
            </w:r>
          </w:p>
        </w:tc>
      </w:tr>
      <w:tr w:rsidR="00C568D0" w:rsidRPr="009044DE" w14:paraId="151A61C9" w14:textId="77777777" w:rsidTr="009044DE">
        <w:trPr>
          <w:trHeight w:val="300"/>
          <w:jc w:val="center"/>
        </w:trPr>
        <w:tc>
          <w:tcPr>
            <w:tcW w:w="1795" w:type="dxa"/>
            <w:shd w:val="clear" w:color="auto" w:fill="auto"/>
            <w:vAlign w:val="center"/>
            <w:hideMark/>
          </w:tcPr>
          <w:p w14:paraId="7AD25074"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ZFP Barranquilla</w:t>
            </w:r>
          </w:p>
        </w:tc>
        <w:tc>
          <w:tcPr>
            <w:tcW w:w="1429" w:type="dxa"/>
            <w:shd w:val="clear" w:color="auto" w:fill="auto"/>
            <w:vAlign w:val="center"/>
            <w:hideMark/>
          </w:tcPr>
          <w:p w14:paraId="71657AF5"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13,214.59</w:t>
            </w:r>
          </w:p>
        </w:tc>
        <w:tc>
          <w:tcPr>
            <w:tcW w:w="1429" w:type="dxa"/>
            <w:shd w:val="clear" w:color="auto" w:fill="auto"/>
            <w:vAlign w:val="center"/>
            <w:hideMark/>
          </w:tcPr>
          <w:p w14:paraId="5D2AFCEB"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10,886.42</w:t>
            </w:r>
          </w:p>
        </w:tc>
        <w:tc>
          <w:tcPr>
            <w:tcW w:w="1458" w:type="dxa"/>
            <w:shd w:val="clear" w:color="auto" w:fill="auto"/>
            <w:vAlign w:val="center"/>
            <w:hideMark/>
          </w:tcPr>
          <w:p w14:paraId="55359D36"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9,643.88</w:t>
            </w:r>
          </w:p>
        </w:tc>
        <w:tc>
          <w:tcPr>
            <w:tcW w:w="1458" w:type="dxa"/>
            <w:shd w:val="clear" w:color="auto" w:fill="auto"/>
            <w:vAlign w:val="center"/>
            <w:hideMark/>
          </w:tcPr>
          <w:p w14:paraId="04DCF24B"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6,207.75</w:t>
            </w:r>
          </w:p>
        </w:tc>
        <w:tc>
          <w:tcPr>
            <w:tcW w:w="1032" w:type="dxa"/>
            <w:shd w:val="clear" w:color="auto" w:fill="auto"/>
            <w:vAlign w:val="center"/>
            <w:hideMark/>
          </w:tcPr>
          <w:p w14:paraId="2B47DA46"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3,570.71</w:t>
            </w:r>
          </w:p>
        </w:tc>
        <w:tc>
          <w:tcPr>
            <w:tcW w:w="1099" w:type="dxa"/>
            <w:shd w:val="clear" w:color="auto" w:fill="auto"/>
            <w:vAlign w:val="center"/>
            <w:hideMark/>
          </w:tcPr>
          <w:p w14:paraId="7E8D7DA7"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4,678.67</w:t>
            </w:r>
          </w:p>
        </w:tc>
      </w:tr>
      <w:tr w:rsidR="00C568D0" w:rsidRPr="009044DE" w14:paraId="3CB39CA5" w14:textId="77777777" w:rsidTr="009044DE">
        <w:trPr>
          <w:trHeight w:val="300"/>
          <w:jc w:val="center"/>
        </w:trPr>
        <w:tc>
          <w:tcPr>
            <w:tcW w:w="1795" w:type="dxa"/>
            <w:shd w:val="clear" w:color="auto" w:fill="auto"/>
            <w:vAlign w:val="center"/>
            <w:hideMark/>
          </w:tcPr>
          <w:p w14:paraId="30262813"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ZFP Tayrona</w:t>
            </w:r>
          </w:p>
        </w:tc>
        <w:tc>
          <w:tcPr>
            <w:tcW w:w="1429" w:type="dxa"/>
            <w:shd w:val="clear" w:color="auto" w:fill="auto"/>
            <w:vAlign w:val="center"/>
            <w:hideMark/>
          </w:tcPr>
          <w:p w14:paraId="42DC2264"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4.72</w:t>
            </w:r>
          </w:p>
        </w:tc>
        <w:tc>
          <w:tcPr>
            <w:tcW w:w="1429" w:type="dxa"/>
            <w:shd w:val="clear" w:color="auto" w:fill="auto"/>
            <w:vAlign w:val="center"/>
            <w:hideMark/>
          </w:tcPr>
          <w:p w14:paraId="122026BB"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2,187.75</w:t>
            </w:r>
          </w:p>
        </w:tc>
        <w:tc>
          <w:tcPr>
            <w:tcW w:w="1458" w:type="dxa"/>
            <w:shd w:val="clear" w:color="auto" w:fill="auto"/>
            <w:vAlign w:val="center"/>
            <w:hideMark/>
          </w:tcPr>
          <w:p w14:paraId="767A8396"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85.73</w:t>
            </w:r>
          </w:p>
        </w:tc>
        <w:tc>
          <w:tcPr>
            <w:tcW w:w="1458" w:type="dxa"/>
            <w:shd w:val="clear" w:color="auto" w:fill="auto"/>
            <w:vAlign w:val="center"/>
            <w:hideMark/>
          </w:tcPr>
          <w:p w14:paraId="5516FF69"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1,467.63</w:t>
            </w:r>
          </w:p>
        </w:tc>
        <w:tc>
          <w:tcPr>
            <w:tcW w:w="1032" w:type="dxa"/>
            <w:shd w:val="clear" w:color="auto" w:fill="auto"/>
            <w:vAlign w:val="center"/>
            <w:hideMark/>
          </w:tcPr>
          <w:p w14:paraId="6E514AF7"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-81.00</w:t>
            </w:r>
          </w:p>
        </w:tc>
        <w:tc>
          <w:tcPr>
            <w:tcW w:w="1099" w:type="dxa"/>
            <w:shd w:val="clear" w:color="auto" w:fill="auto"/>
            <w:vAlign w:val="center"/>
            <w:hideMark/>
          </w:tcPr>
          <w:p w14:paraId="3FB5CE2E"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720.12</w:t>
            </w:r>
          </w:p>
        </w:tc>
      </w:tr>
      <w:tr w:rsidR="00C568D0" w:rsidRPr="009044DE" w14:paraId="1F881B45" w14:textId="77777777" w:rsidTr="009044DE">
        <w:trPr>
          <w:trHeight w:val="300"/>
          <w:jc w:val="center"/>
        </w:trPr>
        <w:tc>
          <w:tcPr>
            <w:tcW w:w="1795" w:type="dxa"/>
            <w:shd w:val="clear" w:color="auto" w:fill="auto"/>
            <w:vAlign w:val="center"/>
            <w:hideMark/>
          </w:tcPr>
          <w:p w14:paraId="518D28ED"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ZFP Santa Marta</w:t>
            </w:r>
          </w:p>
        </w:tc>
        <w:tc>
          <w:tcPr>
            <w:tcW w:w="1429" w:type="dxa"/>
            <w:shd w:val="clear" w:color="auto" w:fill="auto"/>
            <w:vAlign w:val="center"/>
            <w:hideMark/>
          </w:tcPr>
          <w:p w14:paraId="2F67F4C6"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671.48</w:t>
            </w:r>
          </w:p>
        </w:tc>
        <w:tc>
          <w:tcPr>
            <w:tcW w:w="1429" w:type="dxa"/>
            <w:shd w:val="clear" w:color="auto" w:fill="auto"/>
            <w:vAlign w:val="center"/>
            <w:hideMark/>
          </w:tcPr>
          <w:p w14:paraId="42262041"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471.23</w:t>
            </w:r>
          </w:p>
        </w:tc>
        <w:tc>
          <w:tcPr>
            <w:tcW w:w="1458" w:type="dxa"/>
            <w:shd w:val="clear" w:color="auto" w:fill="auto"/>
            <w:vAlign w:val="center"/>
            <w:hideMark/>
          </w:tcPr>
          <w:p w14:paraId="4BB02CAA"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1,544.02</w:t>
            </w:r>
          </w:p>
        </w:tc>
        <w:tc>
          <w:tcPr>
            <w:tcW w:w="1458" w:type="dxa"/>
            <w:shd w:val="clear" w:color="auto" w:fill="auto"/>
            <w:vAlign w:val="center"/>
            <w:hideMark/>
          </w:tcPr>
          <w:p w14:paraId="40AE4170"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475.84</w:t>
            </w:r>
          </w:p>
        </w:tc>
        <w:tc>
          <w:tcPr>
            <w:tcW w:w="1032" w:type="dxa"/>
            <w:shd w:val="clear" w:color="auto" w:fill="auto"/>
            <w:vAlign w:val="center"/>
            <w:hideMark/>
          </w:tcPr>
          <w:p w14:paraId="78112AB2"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-872.55</w:t>
            </w:r>
          </w:p>
        </w:tc>
        <w:tc>
          <w:tcPr>
            <w:tcW w:w="1099" w:type="dxa"/>
            <w:shd w:val="clear" w:color="auto" w:fill="auto"/>
            <w:vAlign w:val="center"/>
            <w:hideMark/>
          </w:tcPr>
          <w:p w14:paraId="459FD3AB"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-4.60</w:t>
            </w:r>
          </w:p>
        </w:tc>
      </w:tr>
      <w:tr w:rsidR="00C568D0" w:rsidRPr="009044DE" w14:paraId="2268D681" w14:textId="77777777" w:rsidTr="009044DE">
        <w:trPr>
          <w:trHeight w:val="600"/>
          <w:jc w:val="center"/>
        </w:trPr>
        <w:tc>
          <w:tcPr>
            <w:tcW w:w="1795" w:type="dxa"/>
            <w:shd w:val="clear" w:color="auto" w:fill="auto"/>
            <w:vAlign w:val="center"/>
            <w:hideMark/>
          </w:tcPr>
          <w:p w14:paraId="438AD8DE"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ZFP Internacional del Atlántico</w:t>
            </w:r>
          </w:p>
        </w:tc>
        <w:tc>
          <w:tcPr>
            <w:tcW w:w="1429" w:type="dxa"/>
            <w:shd w:val="clear" w:color="auto" w:fill="auto"/>
            <w:vAlign w:val="center"/>
            <w:hideMark/>
          </w:tcPr>
          <w:p w14:paraId="40AE9C55"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4,095.34</w:t>
            </w:r>
          </w:p>
        </w:tc>
        <w:tc>
          <w:tcPr>
            <w:tcW w:w="1429" w:type="dxa"/>
            <w:shd w:val="clear" w:color="auto" w:fill="auto"/>
            <w:vAlign w:val="center"/>
            <w:hideMark/>
          </w:tcPr>
          <w:p w14:paraId="05B04100"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9,865.49</w:t>
            </w:r>
          </w:p>
        </w:tc>
        <w:tc>
          <w:tcPr>
            <w:tcW w:w="1458" w:type="dxa"/>
            <w:shd w:val="clear" w:color="auto" w:fill="auto"/>
            <w:vAlign w:val="center"/>
            <w:hideMark/>
          </w:tcPr>
          <w:p w14:paraId="55BA417D"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3,699.81</w:t>
            </w:r>
          </w:p>
        </w:tc>
        <w:tc>
          <w:tcPr>
            <w:tcW w:w="1458" w:type="dxa"/>
            <w:shd w:val="clear" w:color="auto" w:fill="auto"/>
            <w:vAlign w:val="center"/>
            <w:hideMark/>
          </w:tcPr>
          <w:p w14:paraId="656F43DB"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19,163.65</w:t>
            </w:r>
          </w:p>
        </w:tc>
        <w:tc>
          <w:tcPr>
            <w:tcW w:w="1032" w:type="dxa"/>
            <w:shd w:val="clear" w:color="auto" w:fill="auto"/>
            <w:vAlign w:val="center"/>
            <w:hideMark/>
          </w:tcPr>
          <w:p w14:paraId="788B1487"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395.52</w:t>
            </w:r>
          </w:p>
        </w:tc>
        <w:tc>
          <w:tcPr>
            <w:tcW w:w="1099" w:type="dxa"/>
            <w:shd w:val="clear" w:color="auto" w:fill="auto"/>
            <w:vAlign w:val="center"/>
            <w:hideMark/>
          </w:tcPr>
          <w:p w14:paraId="0A9F756F" w14:textId="77777777" w:rsidR="00C568D0" w:rsidRPr="009044DE" w:rsidRDefault="00C568D0" w:rsidP="0015136C">
            <w:pPr>
              <w:spacing w:after="0" w:line="480" w:lineRule="auto"/>
              <w:ind w:firstLine="0"/>
              <w:jc w:val="center"/>
              <w:rPr>
                <w:rFonts w:eastAsia="Times New Roman" w:cs="Times New Roman"/>
                <w:color w:val="000000"/>
                <w:kern w:val="0"/>
                <w:sz w:val="22"/>
                <w:lang w:eastAsia="es-CO"/>
                <w14:ligatures w14:val="none"/>
              </w:rPr>
            </w:pPr>
            <w:r w:rsidRPr="009044DE">
              <w:rPr>
                <w:rFonts w:eastAsia="Times New Roman" w:cs="Times New Roman"/>
                <w:color w:val="000000"/>
                <w:kern w:val="0"/>
                <w:sz w:val="22"/>
                <w:lang w:eastAsia="es-CO"/>
                <w14:ligatures w14:val="none"/>
              </w:rPr>
              <w:t>-9,298.16</w:t>
            </w:r>
          </w:p>
        </w:tc>
      </w:tr>
    </w:tbl>
    <w:p w14:paraId="4B93E545" w14:textId="77777777" w:rsidR="00C568D0" w:rsidRDefault="00C568D0" w:rsidP="0015136C">
      <w:pPr>
        <w:spacing w:line="480" w:lineRule="auto"/>
        <w:jc w:val="center"/>
        <w:rPr>
          <w:lang w:eastAsia="es-ES"/>
        </w:rPr>
      </w:pPr>
      <w:r>
        <w:rPr>
          <w:lang w:eastAsia="es-ES"/>
        </w:rPr>
        <w:t>Nota: Elaboración propia, a partir de da datos del DANE</w:t>
      </w:r>
    </w:p>
    <w:p w14:paraId="7FE8CA04" w14:textId="3176B3D7" w:rsidR="00C568D0" w:rsidRDefault="00C568D0" w:rsidP="0015136C">
      <w:pPr>
        <w:spacing w:line="480" w:lineRule="auto"/>
        <w:rPr>
          <w:lang w:eastAsia="es-ES"/>
        </w:rPr>
      </w:pPr>
      <w:r>
        <w:rPr>
          <w:lang w:eastAsia="es-ES"/>
        </w:rPr>
        <w:t xml:space="preserve">Las exportaciones, importaciones y la balanza comercial de las zonas francas durante el período 2023-2024 revela tendencias significativas que pueden reflejar la situación económica en estas áreas. Las cifras están presentadas en </w:t>
      </w:r>
      <w:r w:rsidR="00235898">
        <w:rPr>
          <w:lang w:eastAsia="es-ES"/>
        </w:rPr>
        <w:t>miles</w:t>
      </w:r>
      <w:r>
        <w:rPr>
          <w:lang w:eastAsia="es-ES"/>
        </w:rPr>
        <w:t xml:space="preserve"> de dólares FOB, lo que facilita una comparación efectiva entre las operaciones comerciales de diferentes zonas francas.</w:t>
      </w:r>
    </w:p>
    <w:p w14:paraId="209AECAC" w14:textId="1E638B4E" w:rsidR="00C568D0" w:rsidRDefault="00C568D0" w:rsidP="0015136C">
      <w:pPr>
        <w:spacing w:line="480" w:lineRule="auto"/>
        <w:rPr>
          <w:lang w:eastAsia="es-ES"/>
        </w:rPr>
      </w:pPr>
      <w:r>
        <w:rPr>
          <w:lang w:eastAsia="es-ES"/>
        </w:rPr>
        <w:t xml:space="preserve">La Zona Franca La Cayena se destaca como una de las más exitosas, ya que sus exportaciones aumentan de 13.227,41 </w:t>
      </w:r>
      <w:r w:rsidR="00235898">
        <w:rPr>
          <w:lang w:eastAsia="es-ES"/>
        </w:rPr>
        <w:t>miles</w:t>
      </w:r>
      <w:r>
        <w:rPr>
          <w:lang w:eastAsia="es-ES"/>
        </w:rPr>
        <w:t xml:space="preserve"> de dólares en 2023 a 15.816,92 </w:t>
      </w:r>
      <w:r w:rsidR="00235898">
        <w:rPr>
          <w:lang w:eastAsia="es-ES"/>
        </w:rPr>
        <w:t>miles</w:t>
      </w:r>
      <w:r>
        <w:rPr>
          <w:lang w:eastAsia="es-ES"/>
        </w:rPr>
        <w:t xml:space="preserve"> de dólares en 2024, mientras que sus importaciones disminuyen notablemente de 6.213,94 a 3.805,02 </w:t>
      </w:r>
      <w:r w:rsidR="00235898">
        <w:rPr>
          <w:lang w:eastAsia="es-ES"/>
        </w:rPr>
        <w:t>miles</w:t>
      </w:r>
      <w:r>
        <w:rPr>
          <w:lang w:eastAsia="es-ES"/>
        </w:rPr>
        <w:t xml:space="preserve"> de </w:t>
      </w:r>
      <w:r>
        <w:rPr>
          <w:lang w:eastAsia="es-ES"/>
        </w:rPr>
        <w:lastRenderedPageBreak/>
        <w:t xml:space="preserve">dólares. Esto resulta en una mejora significativa en su balanza comercial, que pasa de 7.013,46 a 12.011,90 </w:t>
      </w:r>
      <w:r w:rsidR="00235898">
        <w:rPr>
          <w:lang w:eastAsia="es-ES"/>
        </w:rPr>
        <w:t>miles</w:t>
      </w:r>
      <w:r>
        <w:rPr>
          <w:lang w:eastAsia="es-ES"/>
        </w:rPr>
        <w:t xml:space="preserve"> de dólares, lo que indica un crecimiento en su capacidad exportadora.</w:t>
      </w:r>
    </w:p>
    <w:p w14:paraId="727647A4" w14:textId="65A02985" w:rsidR="00C568D0" w:rsidRDefault="00C568D0" w:rsidP="0015136C">
      <w:pPr>
        <w:spacing w:line="480" w:lineRule="auto"/>
        <w:rPr>
          <w:lang w:eastAsia="es-ES"/>
        </w:rPr>
      </w:pPr>
      <w:r>
        <w:rPr>
          <w:lang w:eastAsia="es-ES"/>
        </w:rPr>
        <w:t xml:space="preserve">La Zona Franca Parque Central también muestra un aumento considerable en sus exportaciones, que crecen de 4,799.48 a 12,228.64 </w:t>
      </w:r>
      <w:r w:rsidR="00235898">
        <w:rPr>
          <w:lang w:eastAsia="es-ES"/>
        </w:rPr>
        <w:t>miles</w:t>
      </w:r>
      <w:r>
        <w:rPr>
          <w:lang w:eastAsia="es-ES"/>
        </w:rPr>
        <w:t xml:space="preserve"> de dólares, lo que sugiere un enfoque exitoso en la ampliación de su base de clientes. A pesar de que sus importaciones también aumentan de 1.834,46 a 3.187,08 </w:t>
      </w:r>
      <w:r w:rsidR="00235898">
        <w:rPr>
          <w:lang w:eastAsia="es-ES"/>
        </w:rPr>
        <w:t>miles</w:t>
      </w:r>
      <w:r>
        <w:rPr>
          <w:lang w:eastAsia="es-ES"/>
        </w:rPr>
        <w:t xml:space="preserve"> de dólares, la balanza comercial mejora de 2.965,02 a 9.041,56 </w:t>
      </w:r>
      <w:r w:rsidR="00235898">
        <w:rPr>
          <w:lang w:eastAsia="es-ES"/>
        </w:rPr>
        <w:t>miles</w:t>
      </w:r>
      <w:r>
        <w:rPr>
          <w:lang w:eastAsia="es-ES"/>
        </w:rPr>
        <w:t xml:space="preserve"> de dólares, lo que refleja un saldo positivo en sus operaciones.</w:t>
      </w:r>
    </w:p>
    <w:p w14:paraId="3EA75185" w14:textId="61D64532" w:rsidR="00C568D0" w:rsidRDefault="00C568D0" w:rsidP="0015136C">
      <w:pPr>
        <w:spacing w:line="480" w:lineRule="auto"/>
        <w:rPr>
          <w:lang w:eastAsia="es-ES"/>
        </w:rPr>
      </w:pPr>
      <w:r>
        <w:rPr>
          <w:lang w:eastAsia="es-ES"/>
        </w:rPr>
        <w:t xml:space="preserve">En la Zona Franca de Cartagena, las exportaciones crecen ligeramente de 9.128,97 a 9.407,47 </w:t>
      </w:r>
      <w:r w:rsidR="00235898">
        <w:rPr>
          <w:lang w:eastAsia="es-ES"/>
        </w:rPr>
        <w:t>miles</w:t>
      </w:r>
      <w:r>
        <w:rPr>
          <w:lang w:eastAsia="es-ES"/>
        </w:rPr>
        <w:t xml:space="preserve"> de dólares y las importaciones también muestran un leve aumento. Sin embargo, la balanza comercial presenta una ligera caída de 5,887.46 a 5,742.41 </w:t>
      </w:r>
      <w:r w:rsidR="00235898">
        <w:rPr>
          <w:lang w:eastAsia="es-ES"/>
        </w:rPr>
        <w:t>miles</w:t>
      </w:r>
      <w:r>
        <w:rPr>
          <w:lang w:eastAsia="es-ES"/>
        </w:rPr>
        <w:t xml:space="preserve"> de dólares, lo que podría señalar una presión sobre su rentabilidad debido al incremento en las importaciones.</w:t>
      </w:r>
    </w:p>
    <w:p w14:paraId="33EF275F" w14:textId="795AD5ED" w:rsidR="00C568D0" w:rsidRDefault="00C568D0" w:rsidP="0015136C">
      <w:pPr>
        <w:spacing w:line="480" w:lineRule="auto"/>
        <w:rPr>
          <w:lang w:eastAsia="es-ES"/>
        </w:rPr>
      </w:pPr>
      <w:r>
        <w:rPr>
          <w:lang w:eastAsia="es-ES"/>
        </w:rPr>
        <w:t xml:space="preserve">Por otro lado, la Zona Franca Barranquilla experimenta una disminución en sus exportaciones, que caen de 13.214,59 a 10.886,42 </w:t>
      </w:r>
      <w:r w:rsidR="00235898">
        <w:rPr>
          <w:lang w:eastAsia="es-ES"/>
        </w:rPr>
        <w:t>miles</w:t>
      </w:r>
      <w:r>
        <w:rPr>
          <w:lang w:eastAsia="es-ES"/>
        </w:rPr>
        <w:t xml:space="preserve"> de dólares; Sin embargo, sus importaciones también disminuyen. La balanza comercial mejora de 3.570,71 a 4.678,67 </w:t>
      </w:r>
      <w:r w:rsidR="00235898">
        <w:rPr>
          <w:lang w:eastAsia="es-ES"/>
        </w:rPr>
        <w:t>miles</w:t>
      </w:r>
      <w:r>
        <w:rPr>
          <w:lang w:eastAsia="es-ES"/>
        </w:rPr>
        <w:t xml:space="preserve"> de dólares, sugiriendo que la zona ha ajustado sus operaciones para mantener un saldo positivo a pesar del descenso en las exportaciones.</w:t>
      </w:r>
    </w:p>
    <w:p w14:paraId="651FB565" w14:textId="2D45320F" w:rsidR="00C568D0" w:rsidRDefault="00C568D0" w:rsidP="0015136C">
      <w:pPr>
        <w:spacing w:line="480" w:lineRule="auto"/>
        <w:rPr>
          <w:lang w:eastAsia="es-ES"/>
        </w:rPr>
      </w:pPr>
      <w:r>
        <w:rPr>
          <w:lang w:eastAsia="es-ES"/>
        </w:rPr>
        <w:t xml:space="preserve">La Zona Franca Tayrona muestra un aumento notable en sus exportaciones, pasando de 4,72 a 2.187,75 </w:t>
      </w:r>
      <w:r w:rsidR="00235898">
        <w:rPr>
          <w:lang w:eastAsia="es-ES"/>
        </w:rPr>
        <w:t>miles</w:t>
      </w:r>
      <w:r>
        <w:rPr>
          <w:lang w:eastAsia="es-ES"/>
        </w:rPr>
        <w:t xml:space="preserve"> de dólares; aunque su balanza comercial era negativa en 2023, se vuelve positiva en 2024 con un saldo de 720.12 </w:t>
      </w:r>
      <w:r w:rsidR="00235898">
        <w:rPr>
          <w:lang w:eastAsia="es-ES"/>
        </w:rPr>
        <w:t>miles</w:t>
      </w:r>
      <w:r>
        <w:rPr>
          <w:lang w:eastAsia="es-ES"/>
        </w:rPr>
        <w:t xml:space="preserve"> de dólares. Esto indica una recuperación significativa en su capacidad exportadora.</w:t>
      </w:r>
      <w:r w:rsidR="00235898">
        <w:rPr>
          <w:lang w:eastAsia="es-ES"/>
        </w:rPr>
        <w:t xml:space="preserve"> </w:t>
      </w:r>
      <w:r>
        <w:rPr>
          <w:lang w:eastAsia="es-ES"/>
        </w:rPr>
        <w:t xml:space="preserve">En la Zona Franca Santa Marta, las exportaciones disminuyen de 671.48 a 471.23 </w:t>
      </w:r>
      <w:r w:rsidR="00235898">
        <w:rPr>
          <w:lang w:eastAsia="es-ES"/>
        </w:rPr>
        <w:t>miles</w:t>
      </w:r>
      <w:r>
        <w:rPr>
          <w:lang w:eastAsia="es-ES"/>
        </w:rPr>
        <w:t xml:space="preserve"> de dólares; aunque sus importaciones también son menores, la balanza comercial </w:t>
      </w:r>
      <w:r>
        <w:rPr>
          <w:lang w:eastAsia="es-ES"/>
        </w:rPr>
        <w:lastRenderedPageBreak/>
        <w:t>sigue siendo negativa en 2024. Esto representa un desafío para esta zona y podría indicar una pérdida de competitividad.</w:t>
      </w:r>
    </w:p>
    <w:p w14:paraId="6D8AB419" w14:textId="032A0BA3" w:rsidR="00C568D0" w:rsidRDefault="00C568D0" w:rsidP="0015136C">
      <w:pPr>
        <w:spacing w:line="480" w:lineRule="auto"/>
        <w:rPr>
          <w:lang w:eastAsia="es-ES"/>
        </w:rPr>
      </w:pPr>
      <w:r>
        <w:rPr>
          <w:lang w:eastAsia="es-ES"/>
        </w:rPr>
        <w:t xml:space="preserve">Finalmente, la Zona Franca Internacional del Atlántico muestra un aumento considerable en sus exportaciones, que suben de 4.095,34 a 9.865,49 </w:t>
      </w:r>
      <w:r w:rsidR="00235898">
        <w:rPr>
          <w:lang w:eastAsia="es-ES"/>
        </w:rPr>
        <w:t>miles</w:t>
      </w:r>
      <w:r>
        <w:rPr>
          <w:lang w:eastAsia="es-ES"/>
        </w:rPr>
        <w:t xml:space="preserve"> de dólares; Sin embargo, sus importaciones también aumentan excesivamente, pasando de 3.699,81 a 19.163,65 </w:t>
      </w:r>
      <w:r w:rsidR="00235898">
        <w:rPr>
          <w:lang w:eastAsia="es-ES"/>
        </w:rPr>
        <w:t>miles</w:t>
      </w:r>
      <w:r>
        <w:rPr>
          <w:lang w:eastAsia="es-ES"/>
        </w:rPr>
        <w:t xml:space="preserve"> de dólares. Esta disparidad resulta en una balanza comercial negativa de -9,298.16 </w:t>
      </w:r>
      <w:r w:rsidR="00235898">
        <w:rPr>
          <w:lang w:eastAsia="es-ES"/>
        </w:rPr>
        <w:t>miles</w:t>
      </w:r>
      <w:r>
        <w:rPr>
          <w:lang w:eastAsia="es-ES"/>
        </w:rPr>
        <w:t xml:space="preserve"> de dólares en 2024 y podría señalar problemas en su modelo operativo que necesitan atención.</w:t>
      </w:r>
    </w:p>
    <w:p w14:paraId="13E35BC7" w14:textId="2A3691EE" w:rsidR="009044DE" w:rsidRPr="009044DE" w:rsidRDefault="009044DE" w:rsidP="009044DE">
      <w:pPr>
        <w:pStyle w:val="Descripcin"/>
        <w:spacing w:after="0"/>
        <w:rPr>
          <w:b/>
          <w:bCs/>
          <w:i w:val="0"/>
          <w:iCs w:val="0"/>
          <w:color w:val="auto"/>
          <w:sz w:val="24"/>
          <w:szCs w:val="22"/>
          <w:lang w:eastAsia="es-ES"/>
        </w:rPr>
      </w:pPr>
      <w:bookmarkStart w:id="92" w:name="_Toc178689016"/>
      <w:bookmarkStart w:id="93" w:name="_Toc183783089"/>
      <w:r w:rsidRPr="009044DE">
        <w:rPr>
          <w:b/>
          <w:bCs/>
          <w:i w:val="0"/>
          <w:iCs w:val="0"/>
          <w:color w:val="auto"/>
          <w:sz w:val="24"/>
          <w:szCs w:val="22"/>
          <w:lang w:eastAsia="es-ES"/>
        </w:rPr>
        <w:t xml:space="preserve">Gráfico </w:t>
      </w:r>
      <w:r w:rsidRPr="009044DE">
        <w:rPr>
          <w:b/>
          <w:bCs/>
          <w:i w:val="0"/>
          <w:iCs w:val="0"/>
          <w:color w:val="auto"/>
          <w:sz w:val="24"/>
          <w:szCs w:val="22"/>
          <w:lang w:eastAsia="es-ES"/>
        </w:rPr>
        <w:fldChar w:fldCharType="begin"/>
      </w:r>
      <w:r w:rsidRPr="009044DE">
        <w:rPr>
          <w:b/>
          <w:bCs/>
          <w:i w:val="0"/>
          <w:iCs w:val="0"/>
          <w:color w:val="auto"/>
          <w:sz w:val="24"/>
          <w:szCs w:val="22"/>
          <w:lang w:eastAsia="es-ES"/>
        </w:rPr>
        <w:instrText xml:space="preserve"> SEQ Grafico \* ARABIC </w:instrText>
      </w:r>
      <w:r w:rsidRPr="009044DE">
        <w:rPr>
          <w:b/>
          <w:bCs/>
          <w:i w:val="0"/>
          <w:iCs w:val="0"/>
          <w:color w:val="auto"/>
          <w:sz w:val="24"/>
          <w:szCs w:val="22"/>
          <w:lang w:eastAsia="es-ES"/>
        </w:rPr>
        <w:fldChar w:fldCharType="separate"/>
      </w:r>
      <w:r>
        <w:rPr>
          <w:b/>
          <w:bCs/>
          <w:i w:val="0"/>
          <w:iCs w:val="0"/>
          <w:noProof/>
          <w:color w:val="auto"/>
          <w:sz w:val="24"/>
          <w:szCs w:val="22"/>
          <w:lang w:eastAsia="es-ES"/>
        </w:rPr>
        <w:t>1</w:t>
      </w:r>
      <w:r w:rsidRPr="009044DE">
        <w:rPr>
          <w:b/>
          <w:bCs/>
          <w:i w:val="0"/>
          <w:iCs w:val="0"/>
          <w:color w:val="auto"/>
          <w:sz w:val="24"/>
          <w:szCs w:val="22"/>
          <w:lang w:eastAsia="es-ES"/>
        </w:rPr>
        <w:fldChar w:fldCharType="end"/>
      </w:r>
      <w:r w:rsidRPr="009044DE">
        <w:rPr>
          <w:b/>
          <w:bCs/>
          <w:i w:val="0"/>
          <w:iCs w:val="0"/>
          <w:color w:val="auto"/>
          <w:sz w:val="24"/>
          <w:szCs w:val="22"/>
          <w:lang w:eastAsia="es-ES"/>
        </w:rPr>
        <w:t>:</w:t>
      </w:r>
      <w:bookmarkEnd w:id="92"/>
      <w:bookmarkEnd w:id="93"/>
      <w:r w:rsidRPr="009044DE">
        <w:rPr>
          <w:b/>
          <w:bCs/>
          <w:i w:val="0"/>
          <w:iCs w:val="0"/>
          <w:color w:val="auto"/>
          <w:sz w:val="24"/>
          <w:szCs w:val="22"/>
          <w:lang w:eastAsia="es-ES"/>
        </w:rPr>
        <w:t xml:space="preserve"> </w:t>
      </w:r>
    </w:p>
    <w:p w14:paraId="7F0D1353" w14:textId="7283CD72" w:rsidR="009044DE" w:rsidRPr="006C3145" w:rsidRDefault="009044DE" w:rsidP="009044DE">
      <w:pPr>
        <w:pStyle w:val="Descripcin"/>
        <w:spacing w:after="0"/>
        <w:rPr>
          <w:i w:val="0"/>
          <w:iCs w:val="0"/>
          <w:color w:val="auto"/>
          <w:sz w:val="24"/>
          <w:szCs w:val="22"/>
          <w:lang w:eastAsia="es-ES"/>
        </w:rPr>
      </w:pPr>
      <w:bookmarkStart w:id="94" w:name="_Toc178689017"/>
      <w:bookmarkStart w:id="95" w:name="_Toc183783090"/>
      <w:r w:rsidRPr="006C3145">
        <w:rPr>
          <w:i w:val="0"/>
          <w:iCs w:val="0"/>
          <w:color w:val="auto"/>
          <w:sz w:val="24"/>
          <w:szCs w:val="22"/>
          <w:lang w:eastAsia="es-ES"/>
        </w:rPr>
        <w:t>Exportaciones 2023 vs 2024</w:t>
      </w:r>
      <w:bookmarkEnd w:id="94"/>
      <w:bookmarkEnd w:id="95"/>
    </w:p>
    <w:p w14:paraId="456D8CF8" w14:textId="77777777" w:rsidR="009044DE" w:rsidRPr="009044DE" w:rsidRDefault="009044DE" w:rsidP="009044DE">
      <w:pPr>
        <w:rPr>
          <w:lang w:eastAsia="es-ES"/>
        </w:rPr>
      </w:pPr>
    </w:p>
    <w:p w14:paraId="7F5FFEDA" w14:textId="77777777" w:rsidR="005A1FD0" w:rsidRDefault="00264188" w:rsidP="0015136C">
      <w:pPr>
        <w:spacing w:line="480" w:lineRule="auto"/>
        <w:jc w:val="center"/>
        <w:rPr>
          <w:noProof/>
          <w:lang w:eastAsia="es-CO"/>
        </w:rPr>
      </w:pPr>
      <w:r>
        <w:rPr>
          <w:noProof/>
          <w:lang w:eastAsia="es-CO"/>
        </w:rPr>
        <w:drawing>
          <wp:inline distT="0" distB="0" distL="0" distR="0" wp14:anchorId="4AF7D6CC" wp14:editId="0F67B8E5">
            <wp:extent cx="4174795" cy="28479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m expo.png"/>
                    <pic:cNvPicPr/>
                  </pic:nvPicPr>
                  <pic:blipFill rotWithShape="1">
                    <a:blip r:embed="rId17">
                      <a:extLst>
                        <a:ext uri="{28A0092B-C50C-407E-A947-70E740481C1C}">
                          <a14:useLocalDpi xmlns:a14="http://schemas.microsoft.com/office/drawing/2010/main" val="0"/>
                        </a:ext>
                      </a:extLst>
                    </a:blip>
                    <a:srcRect b="5801"/>
                    <a:stretch/>
                  </pic:blipFill>
                  <pic:spPr bwMode="auto">
                    <a:xfrm>
                      <a:off x="0" y="0"/>
                      <a:ext cx="4181060" cy="2852249"/>
                    </a:xfrm>
                    <a:prstGeom prst="rect">
                      <a:avLst/>
                    </a:prstGeom>
                    <a:ln>
                      <a:noFill/>
                    </a:ln>
                    <a:extLst>
                      <a:ext uri="{53640926-AAD7-44D8-BBD7-CCE9431645EC}">
                        <a14:shadowObscured xmlns:a14="http://schemas.microsoft.com/office/drawing/2010/main"/>
                      </a:ext>
                    </a:extLst>
                  </pic:spPr>
                </pic:pic>
              </a:graphicData>
            </a:graphic>
          </wp:inline>
        </w:drawing>
      </w:r>
    </w:p>
    <w:p w14:paraId="7BE60542" w14:textId="77777777" w:rsidR="005A1FD0" w:rsidRDefault="005A1FD0" w:rsidP="0015136C">
      <w:pPr>
        <w:spacing w:line="480" w:lineRule="auto"/>
        <w:jc w:val="center"/>
        <w:rPr>
          <w:lang w:eastAsia="es-ES"/>
        </w:rPr>
      </w:pPr>
      <w:r>
        <w:rPr>
          <w:lang w:eastAsia="es-ES"/>
        </w:rPr>
        <w:t>Nota: Elaboración propia, a partir de da datos del DANE</w:t>
      </w:r>
    </w:p>
    <w:p w14:paraId="516DCA2E" w14:textId="0EDD4AA9" w:rsidR="005A1FD0" w:rsidRDefault="005A1FD0" w:rsidP="0015136C">
      <w:pPr>
        <w:spacing w:line="480" w:lineRule="auto"/>
        <w:rPr>
          <w:noProof/>
          <w:lang w:eastAsia="es-CO"/>
        </w:rPr>
      </w:pPr>
      <w:r>
        <w:rPr>
          <w:noProof/>
          <w:lang w:eastAsia="es-CO"/>
        </w:rPr>
        <w:t xml:space="preserve">La comparación de las exportaciones realizadas en diferentes Zonas Francas de Colombia entre 2023 y 2024, expresadas en miles de dólares FOB. En la Zona Franca Permanente (ZFP) La Cayena, las exportaciones de 2024 muestran un aumento notable en relación al año anterior, alcanzando casi las 15.000 miles de dólares, mientras que en 2023 se mantuvieron por debajo de </w:t>
      </w:r>
      <w:r>
        <w:rPr>
          <w:noProof/>
          <w:lang w:eastAsia="es-CO"/>
        </w:rPr>
        <w:lastRenderedPageBreak/>
        <w:t>esta cifra. Este crecimiento podría estar vinculado a una mayor competitividad en el mercado internacional oa la expansión de los sectores productivos dedicados a la exportación.</w:t>
      </w:r>
    </w:p>
    <w:p w14:paraId="7BF2348D" w14:textId="5F5D3802" w:rsidR="005A1FD0" w:rsidRDefault="005A1FD0" w:rsidP="0015136C">
      <w:pPr>
        <w:spacing w:line="480" w:lineRule="auto"/>
        <w:rPr>
          <w:noProof/>
          <w:lang w:eastAsia="es-CO"/>
        </w:rPr>
      </w:pPr>
      <w:r>
        <w:rPr>
          <w:noProof/>
          <w:lang w:eastAsia="es-CO"/>
        </w:rPr>
        <w:t>La ZFP Parque Central también experimenta un aumento significativo en 2024, superando las 10,000 miles de dólares en exportaciones, en contraste con los valores mucho más bajos de 2023. Esto sugiere una ampliación en sus capacidades exportadoras, posiblemente impulsada por una diversificación de productos o un incremento en la demanda internacional.</w:t>
      </w:r>
    </w:p>
    <w:p w14:paraId="769BA576" w14:textId="200FEC4A" w:rsidR="005A1FD0" w:rsidRDefault="005A1FD0" w:rsidP="0015136C">
      <w:pPr>
        <w:spacing w:line="480" w:lineRule="auto"/>
        <w:rPr>
          <w:noProof/>
          <w:lang w:eastAsia="es-CO"/>
        </w:rPr>
      </w:pPr>
      <w:r>
        <w:rPr>
          <w:noProof/>
          <w:lang w:eastAsia="es-CO"/>
        </w:rPr>
        <w:t>En cambio, las exportaciones de la ZFP Cartagena sufrieron una ligera disminución en 2024 comparadas con 2023. Aunque la diferencia no es considerable, esta reducción puede reflejar una baja en la actividad comercial o problemas en la cadena de suministro que impactaron negativamente las exportaciones. Asimismo, la ZFP Barranquilla también mostró una caída en sus exportaciones en 2024, con cifras que rondaban las 10,000 miles de dólares en 2023. Esta disminución podría ser atribuida a factores económicos externos oa una menor demanda para los productos que se exportan desde esta zona.</w:t>
      </w:r>
    </w:p>
    <w:p w14:paraId="2440A63A" w14:textId="7C494B29" w:rsidR="005A1FD0" w:rsidRDefault="005A1FD0" w:rsidP="0015136C">
      <w:pPr>
        <w:spacing w:line="480" w:lineRule="auto"/>
        <w:rPr>
          <w:noProof/>
          <w:lang w:eastAsia="es-CO"/>
        </w:rPr>
      </w:pPr>
      <w:r>
        <w:rPr>
          <w:noProof/>
          <w:lang w:eastAsia="es-CO"/>
        </w:rPr>
        <w:t>Respecto a la ZFP Tayrona, los valores de exportación son bajos tanto en 2023 como en 2024, aunque el rendimiento fue ligeramente superior en 2023. Esta zona parece estar menos centrada en las exportaciones o enfrenta desafíos estructurales que limitan su competitividad internacional. La ZFP Santa Marta mantiene niveles relativamente bajos de exportación en ambos años, aunque se observa un nivel de aumento en 2024. A pesar de su potencial logístico considerable, sus exportaciones aún no alcanzan cifras significativas en comparación con otras zonas.</w:t>
      </w:r>
    </w:p>
    <w:p w14:paraId="38306AB0" w14:textId="5F35BBC3" w:rsidR="005A1FD0" w:rsidRDefault="005A1FD0" w:rsidP="0015136C">
      <w:pPr>
        <w:spacing w:line="480" w:lineRule="auto"/>
        <w:rPr>
          <w:noProof/>
          <w:lang w:eastAsia="es-CO"/>
        </w:rPr>
      </w:pPr>
      <w:r>
        <w:rPr>
          <w:noProof/>
          <w:lang w:eastAsia="es-CO"/>
        </w:rPr>
        <w:t xml:space="preserve">Finalmente, la ZFP Internacional del Atlántico destaca por el notable incremento en sus exportaciones en 2024, lo que representa un cambio significativo respecto a 2023. Este </w:t>
      </w:r>
      <w:r>
        <w:rPr>
          <w:noProof/>
          <w:lang w:eastAsia="es-CO"/>
        </w:rPr>
        <w:lastRenderedPageBreak/>
        <w:t>comportamiento podría estar relacionado con nuevas inversiones, acuerdos comerciales favorables o la expansión de sectores clave para la exportación dentro de esta zona.</w:t>
      </w:r>
    </w:p>
    <w:p w14:paraId="621552D5" w14:textId="538EE7DF" w:rsidR="009044DE" w:rsidRPr="009044DE" w:rsidRDefault="009044DE" w:rsidP="009044DE">
      <w:pPr>
        <w:pStyle w:val="Descripcin"/>
        <w:spacing w:after="0"/>
        <w:rPr>
          <w:b/>
          <w:bCs/>
          <w:i w:val="0"/>
          <w:iCs w:val="0"/>
          <w:noProof/>
          <w:color w:val="auto"/>
          <w:sz w:val="24"/>
          <w:szCs w:val="22"/>
          <w:lang w:eastAsia="es-CO"/>
        </w:rPr>
      </w:pPr>
      <w:bookmarkStart w:id="96" w:name="_Toc178689018"/>
      <w:bookmarkStart w:id="97" w:name="_Toc183783091"/>
      <w:r w:rsidRPr="009044DE">
        <w:rPr>
          <w:b/>
          <w:bCs/>
          <w:i w:val="0"/>
          <w:iCs w:val="0"/>
          <w:noProof/>
          <w:color w:val="auto"/>
          <w:sz w:val="24"/>
          <w:szCs w:val="22"/>
          <w:lang w:eastAsia="es-CO"/>
        </w:rPr>
        <w:t xml:space="preserve">Grafico </w:t>
      </w:r>
      <w:r w:rsidRPr="009044DE">
        <w:rPr>
          <w:b/>
          <w:bCs/>
          <w:i w:val="0"/>
          <w:iCs w:val="0"/>
          <w:noProof/>
          <w:color w:val="auto"/>
          <w:sz w:val="24"/>
          <w:szCs w:val="22"/>
          <w:lang w:eastAsia="es-CO"/>
        </w:rPr>
        <w:fldChar w:fldCharType="begin"/>
      </w:r>
      <w:r w:rsidRPr="009044DE">
        <w:rPr>
          <w:b/>
          <w:bCs/>
          <w:i w:val="0"/>
          <w:iCs w:val="0"/>
          <w:noProof/>
          <w:color w:val="auto"/>
          <w:sz w:val="24"/>
          <w:szCs w:val="22"/>
          <w:lang w:eastAsia="es-CO"/>
        </w:rPr>
        <w:instrText xml:space="preserve"> SEQ Grafico \* ARABIC </w:instrText>
      </w:r>
      <w:r w:rsidRPr="009044DE">
        <w:rPr>
          <w:b/>
          <w:bCs/>
          <w:i w:val="0"/>
          <w:iCs w:val="0"/>
          <w:noProof/>
          <w:color w:val="auto"/>
          <w:sz w:val="24"/>
          <w:szCs w:val="22"/>
          <w:lang w:eastAsia="es-CO"/>
        </w:rPr>
        <w:fldChar w:fldCharType="separate"/>
      </w:r>
      <w:r>
        <w:rPr>
          <w:b/>
          <w:bCs/>
          <w:i w:val="0"/>
          <w:iCs w:val="0"/>
          <w:noProof/>
          <w:color w:val="auto"/>
          <w:sz w:val="24"/>
          <w:szCs w:val="22"/>
          <w:lang w:eastAsia="es-CO"/>
        </w:rPr>
        <w:t>2</w:t>
      </w:r>
      <w:r w:rsidRPr="009044DE">
        <w:rPr>
          <w:b/>
          <w:bCs/>
          <w:i w:val="0"/>
          <w:iCs w:val="0"/>
          <w:noProof/>
          <w:color w:val="auto"/>
          <w:sz w:val="24"/>
          <w:szCs w:val="22"/>
          <w:lang w:eastAsia="es-CO"/>
        </w:rPr>
        <w:fldChar w:fldCharType="end"/>
      </w:r>
      <w:r w:rsidRPr="009044DE">
        <w:rPr>
          <w:b/>
          <w:bCs/>
          <w:i w:val="0"/>
          <w:iCs w:val="0"/>
          <w:noProof/>
          <w:color w:val="auto"/>
          <w:sz w:val="24"/>
          <w:szCs w:val="22"/>
          <w:lang w:eastAsia="es-CO"/>
        </w:rPr>
        <w:t>:</w:t>
      </w:r>
      <w:bookmarkEnd w:id="96"/>
      <w:bookmarkEnd w:id="97"/>
      <w:r w:rsidRPr="009044DE">
        <w:rPr>
          <w:b/>
          <w:bCs/>
          <w:i w:val="0"/>
          <w:iCs w:val="0"/>
          <w:noProof/>
          <w:color w:val="auto"/>
          <w:sz w:val="24"/>
          <w:szCs w:val="22"/>
          <w:lang w:eastAsia="es-CO"/>
        </w:rPr>
        <w:t xml:space="preserve"> </w:t>
      </w:r>
    </w:p>
    <w:p w14:paraId="22D558DC" w14:textId="3E10E24A" w:rsidR="005A1FD0" w:rsidRPr="006C3145" w:rsidRDefault="009044DE" w:rsidP="009044DE">
      <w:pPr>
        <w:pStyle w:val="Descripcin"/>
        <w:spacing w:after="0"/>
        <w:rPr>
          <w:i w:val="0"/>
          <w:iCs w:val="0"/>
          <w:noProof/>
          <w:color w:val="auto"/>
          <w:sz w:val="24"/>
          <w:szCs w:val="22"/>
          <w:lang w:eastAsia="es-CO"/>
        </w:rPr>
      </w:pPr>
      <w:bookmarkStart w:id="98" w:name="_Toc178689019"/>
      <w:bookmarkStart w:id="99" w:name="_Toc183783092"/>
      <w:r w:rsidRPr="006C3145">
        <w:rPr>
          <w:i w:val="0"/>
          <w:iCs w:val="0"/>
          <w:noProof/>
          <w:color w:val="auto"/>
          <w:sz w:val="24"/>
          <w:szCs w:val="22"/>
          <w:lang w:eastAsia="es-CO"/>
        </w:rPr>
        <w:t>Importaciones 2023 vs 2024</w:t>
      </w:r>
      <w:bookmarkEnd w:id="98"/>
      <w:bookmarkEnd w:id="99"/>
    </w:p>
    <w:p w14:paraId="28C6192F" w14:textId="77777777" w:rsidR="009044DE" w:rsidRPr="009044DE" w:rsidRDefault="009044DE" w:rsidP="009044DE">
      <w:pPr>
        <w:rPr>
          <w:lang w:eastAsia="es-CO"/>
        </w:rPr>
      </w:pPr>
    </w:p>
    <w:p w14:paraId="678410EC" w14:textId="77777777" w:rsidR="005A1FD0" w:rsidRDefault="00264188" w:rsidP="0015136C">
      <w:pPr>
        <w:spacing w:line="480" w:lineRule="auto"/>
        <w:jc w:val="center"/>
        <w:rPr>
          <w:noProof/>
          <w:lang w:eastAsia="es-CO"/>
        </w:rPr>
      </w:pPr>
      <w:r>
        <w:rPr>
          <w:noProof/>
          <w:lang w:eastAsia="es-CO"/>
        </w:rPr>
        <w:drawing>
          <wp:inline distT="0" distB="0" distL="0" distR="0" wp14:anchorId="0D9C7C7A" wp14:editId="7EA36060">
            <wp:extent cx="4533833" cy="3100181"/>
            <wp:effectExtent l="0" t="0" r="635" b="508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mpa impor.png"/>
                    <pic:cNvPicPr/>
                  </pic:nvPicPr>
                  <pic:blipFill rotWithShape="1">
                    <a:blip r:embed="rId18">
                      <a:extLst>
                        <a:ext uri="{28A0092B-C50C-407E-A947-70E740481C1C}">
                          <a14:useLocalDpi xmlns:a14="http://schemas.microsoft.com/office/drawing/2010/main" val="0"/>
                        </a:ext>
                      </a:extLst>
                    </a:blip>
                    <a:srcRect b="5579"/>
                    <a:stretch/>
                  </pic:blipFill>
                  <pic:spPr bwMode="auto">
                    <a:xfrm>
                      <a:off x="0" y="0"/>
                      <a:ext cx="4537522" cy="3102704"/>
                    </a:xfrm>
                    <a:prstGeom prst="rect">
                      <a:avLst/>
                    </a:prstGeom>
                    <a:ln>
                      <a:noFill/>
                    </a:ln>
                    <a:extLst>
                      <a:ext uri="{53640926-AAD7-44D8-BBD7-CCE9431645EC}">
                        <a14:shadowObscured xmlns:a14="http://schemas.microsoft.com/office/drawing/2010/main"/>
                      </a:ext>
                    </a:extLst>
                  </pic:spPr>
                </pic:pic>
              </a:graphicData>
            </a:graphic>
          </wp:inline>
        </w:drawing>
      </w:r>
    </w:p>
    <w:p w14:paraId="3864AA7B" w14:textId="77777777" w:rsidR="005A1FD0" w:rsidRDefault="005A1FD0" w:rsidP="0015136C">
      <w:pPr>
        <w:spacing w:line="480" w:lineRule="auto"/>
        <w:jc w:val="center"/>
        <w:rPr>
          <w:lang w:eastAsia="es-ES"/>
        </w:rPr>
      </w:pPr>
      <w:r>
        <w:rPr>
          <w:lang w:eastAsia="es-ES"/>
        </w:rPr>
        <w:t>Nota: Elaboración propia, a partir de da datos del DANE</w:t>
      </w:r>
    </w:p>
    <w:p w14:paraId="288CF47F" w14:textId="02B551A3" w:rsidR="005A1FD0" w:rsidRDefault="004358D6" w:rsidP="0015136C">
      <w:pPr>
        <w:spacing w:line="480" w:lineRule="auto"/>
        <w:rPr>
          <w:noProof/>
          <w:lang w:eastAsia="es-CO"/>
        </w:rPr>
      </w:pPr>
      <w:r>
        <w:rPr>
          <w:noProof/>
          <w:lang w:eastAsia="es-CO"/>
        </w:rPr>
        <w:t>Esta</w:t>
      </w:r>
      <w:r w:rsidR="005A1FD0">
        <w:rPr>
          <w:noProof/>
          <w:lang w:eastAsia="es-CO"/>
        </w:rPr>
        <w:t xml:space="preserve"> gráfica ofrece una visión de las importaciones realizadas en estas mismas Zonas Francas durante los años 2023 y 2024. En la ZFP La Cayena, las importaciones en 2023 superaron las 5.000 </w:t>
      </w:r>
      <w:r>
        <w:rPr>
          <w:noProof/>
          <w:lang w:eastAsia="es-CO"/>
        </w:rPr>
        <w:t>miles</w:t>
      </w:r>
      <w:r w:rsidR="005A1FD0">
        <w:rPr>
          <w:noProof/>
          <w:lang w:eastAsia="es-CO"/>
        </w:rPr>
        <w:t xml:space="preserve"> de dólares, pero en 2024 experimentaron una disminución considerable. Esta caída podría estar vinculada a una menor demanda interna de productos importados oa una política de sustitución de importaciones que beneficia a los productores locales.</w:t>
      </w:r>
    </w:p>
    <w:p w14:paraId="2EBE6E71" w14:textId="4EAF31CB" w:rsidR="005A1FD0" w:rsidRDefault="005A1FD0" w:rsidP="0015136C">
      <w:pPr>
        <w:spacing w:line="480" w:lineRule="auto"/>
        <w:rPr>
          <w:noProof/>
          <w:lang w:eastAsia="es-CO"/>
        </w:rPr>
      </w:pPr>
      <w:r>
        <w:rPr>
          <w:noProof/>
          <w:lang w:eastAsia="es-CO"/>
        </w:rPr>
        <w:t xml:space="preserve">En lo que respecto a la ZFP Parque Central, las importaciones se mantienen bastante estables en ambos años, con una ligera reducción en 2024. Esta estabilidad en las importaciones podría reflejar una estructura económica sólida que no ha sufrido cambios significativos en cuanto </w:t>
      </w:r>
      <w:r>
        <w:rPr>
          <w:noProof/>
          <w:lang w:eastAsia="es-CO"/>
        </w:rPr>
        <w:lastRenderedPageBreak/>
        <w:t>a la demanda de productos extranjeros.</w:t>
      </w:r>
      <w:r w:rsidR="004358D6">
        <w:rPr>
          <w:noProof/>
          <w:lang w:eastAsia="es-CO"/>
        </w:rPr>
        <w:t xml:space="preserve"> </w:t>
      </w:r>
      <w:r>
        <w:rPr>
          <w:noProof/>
          <w:lang w:eastAsia="es-CO"/>
        </w:rPr>
        <w:t>La ZFP Cartagena presenta un comportamiento similar al de la ZFP Parque Central, con valores de importación muy cercanos entre los dos años, aunque con una ligera caída en 2024. Esto indica que, aunque esta zona continúa dependiendo de las importaciones, no ha habido variaciones drásticas en sus necesidades de bienes extranjeros.</w:t>
      </w:r>
      <w:r w:rsidR="004358D6">
        <w:rPr>
          <w:noProof/>
          <w:lang w:eastAsia="es-CO"/>
        </w:rPr>
        <w:t xml:space="preserve"> </w:t>
      </w:r>
      <w:r>
        <w:rPr>
          <w:noProof/>
          <w:lang w:eastAsia="es-CO"/>
        </w:rPr>
        <w:t xml:space="preserve">En la ZFP Barranquilla, se observa una notable disminución en las importaciones en 2024, en comparación con el alto nivel registrado en 2023. Esta zona, que había importado más de 10,000 </w:t>
      </w:r>
      <w:r w:rsidR="004358D6">
        <w:rPr>
          <w:noProof/>
          <w:lang w:eastAsia="es-CO"/>
        </w:rPr>
        <w:t>miles</w:t>
      </w:r>
      <w:r>
        <w:rPr>
          <w:noProof/>
          <w:lang w:eastAsia="es-CO"/>
        </w:rPr>
        <w:t xml:space="preserve"> de dólares en 2023, experimentó una reducción significativa en 2024, lo cual podría estar relacionado con cambios en la política comercial o una disminución en la demanda interna.</w:t>
      </w:r>
    </w:p>
    <w:p w14:paraId="3C26311D" w14:textId="15076854" w:rsidR="005A1FD0" w:rsidRDefault="005A1FD0" w:rsidP="0015136C">
      <w:pPr>
        <w:spacing w:line="480" w:lineRule="auto"/>
        <w:rPr>
          <w:noProof/>
          <w:lang w:eastAsia="es-CO"/>
        </w:rPr>
      </w:pPr>
      <w:r>
        <w:rPr>
          <w:noProof/>
          <w:lang w:eastAsia="es-CO"/>
        </w:rPr>
        <w:t>Por otro lado, la ZFP Tayrona sigue mostrando importaciones bajas, con una leve caída en 2024 respecto a 2023. Este comportamiento refleja una limitada actividad comercial internacional en términos de bienes importados, posiblemente debido a una menor capacidad productiva oa un mercado interno menos desarrollado.</w:t>
      </w:r>
      <w:r w:rsidR="004358D6">
        <w:rPr>
          <w:noProof/>
          <w:lang w:eastAsia="es-CO"/>
        </w:rPr>
        <w:t xml:space="preserve"> </w:t>
      </w:r>
      <w:r>
        <w:rPr>
          <w:noProof/>
          <w:lang w:eastAsia="es-CO"/>
        </w:rPr>
        <w:t>En la ZFP Santa Marta, las importaciones en 2024 son superiores a las de 2023, aunque los valores siguen siendo bajos en comparación con otras zonas. Este incremento podría indicar un cambio en la dinámica comercial de la zona, aunque todavía es modesto.</w:t>
      </w:r>
    </w:p>
    <w:p w14:paraId="5F564A44" w14:textId="52C0F3EB" w:rsidR="005A1FD0" w:rsidRDefault="005A1FD0" w:rsidP="0015136C">
      <w:pPr>
        <w:spacing w:line="480" w:lineRule="auto"/>
        <w:rPr>
          <w:noProof/>
          <w:lang w:eastAsia="es-CO"/>
        </w:rPr>
      </w:pPr>
      <w:r>
        <w:rPr>
          <w:noProof/>
          <w:lang w:eastAsia="es-CO"/>
        </w:rPr>
        <w:t xml:space="preserve">Finalmente, la ZFP Internacional del Atlántico se destaca en 2024, con importaciones que superan las 17.500 </w:t>
      </w:r>
      <w:r w:rsidR="004358D6">
        <w:rPr>
          <w:noProof/>
          <w:lang w:eastAsia="es-CO"/>
        </w:rPr>
        <w:t>miles</w:t>
      </w:r>
      <w:r>
        <w:rPr>
          <w:noProof/>
          <w:lang w:eastAsia="es-CO"/>
        </w:rPr>
        <w:t xml:space="preserve"> de dólares, una cifra notablemente más alta que la registrada en 2023. Este crecimiento abrupto puede estar impulsado por la expansión de sectores industriales o comerciales que dependen significativamente de insumos importados.</w:t>
      </w:r>
    </w:p>
    <w:p w14:paraId="4F5A6206" w14:textId="596F7059" w:rsidR="009044DE" w:rsidRDefault="009044DE" w:rsidP="0015136C">
      <w:pPr>
        <w:spacing w:line="480" w:lineRule="auto"/>
        <w:rPr>
          <w:noProof/>
          <w:lang w:eastAsia="es-CO"/>
        </w:rPr>
      </w:pPr>
    </w:p>
    <w:p w14:paraId="2335DCF4" w14:textId="77777777" w:rsidR="009044DE" w:rsidRDefault="009044DE" w:rsidP="0015136C">
      <w:pPr>
        <w:spacing w:line="480" w:lineRule="auto"/>
        <w:rPr>
          <w:noProof/>
          <w:lang w:eastAsia="es-CO"/>
        </w:rPr>
      </w:pPr>
    </w:p>
    <w:p w14:paraId="2C53B075" w14:textId="77777777" w:rsidR="004D4A99" w:rsidRDefault="004D4A99" w:rsidP="0015136C">
      <w:pPr>
        <w:spacing w:line="480" w:lineRule="auto"/>
        <w:rPr>
          <w:noProof/>
          <w:lang w:eastAsia="es-CO"/>
        </w:rPr>
      </w:pPr>
    </w:p>
    <w:p w14:paraId="21A54528" w14:textId="60CD73A1" w:rsidR="004D4A99" w:rsidRDefault="004D4A99" w:rsidP="00AD25E0">
      <w:pPr>
        <w:pStyle w:val="Ttulo3"/>
        <w:rPr>
          <w:noProof/>
          <w:lang w:eastAsia="es-CO"/>
        </w:rPr>
      </w:pPr>
      <w:bookmarkStart w:id="100" w:name="_Toc183783054"/>
      <w:r w:rsidRPr="004D4A99">
        <w:rPr>
          <w:noProof/>
          <w:lang w:eastAsia="es-CO"/>
        </w:rPr>
        <w:lastRenderedPageBreak/>
        <w:t>Evolución de la balanza comercial de las zonas francas de la región Caribe de Colombia</w:t>
      </w:r>
      <w:bookmarkEnd w:id="100"/>
    </w:p>
    <w:p w14:paraId="7E271385" w14:textId="77777777" w:rsidR="00034159" w:rsidRPr="00034159" w:rsidRDefault="00034159" w:rsidP="00034159">
      <w:pPr>
        <w:rPr>
          <w:lang w:eastAsia="es-CO"/>
        </w:rPr>
      </w:pPr>
    </w:p>
    <w:p w14:paraId="44D9DF99" w14:textId="0329AFC4" w:rsidR="004D4A99" w:rsidRPr="004D4A99" w:rsidRDefault="004D4A99" w:rsidP="0015136C">
      <w:pPr>
        <w:spacing w:line="480" w:lineRule="auto"/>
        <w:rPr>
          <w:noProof/>
          <w:lang w:eastAsia="es-CO"/>
        </w:rPr>
      </w:pPr>
      <w:r w:rsidRPr="004D4A99">
        <w:rPr>
          <w:noProof/>
          <w:lang w:eastAsia="es-CO"/>
        </w:rPr>
        <w:t xml:space="preserve">Las gráficas </w:t>
      </w:r>
      <w:r>
        <w:rPr>
          <w:noProof/>
          <w:lang w:eastAsia="es-CO"/>
        </w:rPr>
        <w:t>que se presentan a continuacion,</w:t>
      </w:r>
      <w:r w:rsidRPr="004D4A99">
        <w:rPr>
          <w:noProof/>
          <w:lang w:eastAsia="es-CO"/>
        </w:rPr>
        <w:t xml:space="preserve"> reflejan la evolución de la balanza comercial de las zonas francas de la región Caribe de Colombia, destacando las distribuciones de </w:t>
      </w:r>
      <w:r>
        <w:rPr>
          <w:noProof/>
          <w:lang w:eastAsia="es-CO"/>
        </w:rPr>
        <w:t xml:space="preserve">las </w:t>
      </w:r>
      <w:r w:rsidRPr="004D4A99">
        <w:rPr>
          <w:noProof/>
          <w:lang w:eastAsia="es-CO"/>
        </w:rPr>
        <w:t>importaciones y exportaciones para los años 2023 y 2024. Cada gráfico incluye histogramas superpuestos y curvas de densidad, lo cual permite una visualización detallada de la frecuencia de las transacciones comerciales dentro de distintos rangos monetarios y resalta las variaciones en los flujos de comercio en ambos periodos.</w:t>
      </w:r>
    </w:p>
    <w:p w14:paraId="0A26CE97" w14:textId="5287DDC5" w:rsidR="009044DE" w:rsidRPr="009044DE" w:rsidRDefault="009044DE" w:rsidP="009044DE">
      <w:pPr>
        <w:pStyle w:val="Descripcin"/>
        <w:spacing w:after="0"/>
        <w:rPr>
          <w:b/>
          <w:bCs/>
          <w:i w:val="0"/>
          <w:iCs w:val="0"/>
          <w:noProof/>
          <w:color w:val="auto"/>
          <w:sz w:val="24"/>
          <w:szCs w:val="22"/>
          <w:lang w:eastAsia="es-CO"/>
        </w:rPr>
      </w:pPr>
      <w:bookmarkStart w:id="101" w:name="_Toc178689020"/>
      <w:bookmarkStart w:id="102" w:name="_Toc183783093"/>
      <w:r w:rsidRPr="009044DE">
        <w:rPr>
          <w:b/>
          <w:bCs/>
          <w:i w:val="0"/>
          <w:iCs w:val="0"/>
          <w:noProof/>
          <w:color w:val="auto"/>
          <w:sz w:val="24"/>
          <w:szCs w:val="22"/>
          <w:lang w:eastAsia="es-CO"/>
        </w:rPr>
        <w:t xml:space="preserve">Grafico </w:t>
      </w:r>
      <w:r w:rsidRPr="009044DE">
        <w:rPr>
          <w:b/>
          <w:bCs/>
          <w:i w:val="0"/>
          <w:iCs w:val="0"/>
          <w:noProof/>
          <w:color w:val="auto"/>
          <w:sz w:val="24"/>
          <w:szCs w:val="22"/>
          <w:lang w:eastAsia="es-CO"/>
        </w:rPr>
        <w:fldChar w:fldCharType="begin"/>
      </w:r>
      <w:r w:rsidRPr="009044DE">
        <w:rPr>
          <w:b/>
          <w:bCs/>
          <w:i w:val="0"/>
          <w:iCs w:val="0"/>
          <w:noProof/>
          <w:color w:val="auto"/>
          <w:sz w:val="24"/>
          <w:szCs w:val="22"/>
          <w:lang w:eastAsia="es-CO"/>
        </w:rPr>
        <w:instrText xml:space="preserve"> SEQ Grafico \* ARABIC </w:instrText>
      </w:r>
      <w:r w:rsidRPr="009044DE">
        <w:rPr>
          <w:b/>
          <w:bCs/>
          <w:i w:val="0"/>
          <w:iCs w:val="0"/>
          <w:noProof/>
          <w:color w:val="auto"/>
          <w:sz w:val="24"/>
          <w:szCs w:val="22"/>
          <w:lang w:eastAsia="es-CO"/>
        </w:rPr>
        <w:fldChar w:fldCharType="separate"/>
      </w:r>
      <w:r>
        <w:rPr>
          <w:b/>
          <w:bCs/>
          <w:i w:val="0"/>
          <w:iCs w:val="0"/>
          <w:noProof/>
          <w:color w:val="auto"/>
          <w:sz w:val="24"/>
          <w:szCs w:val="22"/>
          <w:lang w:eastAsia="es-CO"/>
        </w:rPr>
        <w:t>3</w:t>
      </w:r>
      <w:r w:rsidRPr="009044DE">
        <w:rPr>
          <w:b/>
          <w:bCs/>
          <w:i w:val="0"/>
          <w:iCs w:val="0"/>
          <w:noProof/>
          <w:color w:val="auto"/>
          <w:sz w:val="24"/>
          <w:szCs w:val="22"/>
          <w:lang w:eastAsia="es-CO"/>
        </w:rPr>
        <w:fldChar w:fldCharType="end"/>
      </w:r>
      <w:r w:rsidRPr="009044DE">
        <w:rPr>
          <w:b/>
          <w:bCs/>
          <w:i w:val="0"/>
          <w:iCs w:val="0"/>
          <w:noProof/>
          <w:color w:val="auto"/>
          <w:sz w:val="24"/>
          <w:szCs w:val="22"/>
          <w:lang w:eastAsia="es-CO"/>
        </w:rPr>
        <w:t>:</w:t>
      </w:r>
      <w:bookmarkEnd w:id="101"/>
      <w:bookmarkEnd w:id="102"/>
      <w:r w:rsidRPr="009044DE">
        <w:rPr>
          <w:b/>
          <w:bCs/>
          <w:i w:val="0"/>
          <w:iCs w:val="0"/>
          <w:noProof/>
          <w:color w:val="auto"/>
          <w:sz w:val="24"/>
          <w:szCs w:val="22"/>
          <w:lang w:eastAsia="es-CO"/>
        </w:rPr>
        <w:t xml:space="preserve"> </w:t>
      </w:r>
    </w:p>
    <w:p w14:paraId="7563D0F0" w14:textId="23C7F3D9" w:rsidR="004D4A99" w:rsidRPr="006C3145" w:rsidRDefault="009044DE" w:rsidP="009044DE">
      <w:pPr>
        <w:pStyle w:val="Descripcin"/>
        <w:spacing w:after="0"/>
        <w:ind w:left="708" w:firstLine="1"/>
        <w:rPr>
          <w:i w:val="0"/>
          <w:iCs w:val="0"/>
          <w:noProof/>
          <w:color w:val="auto"/>
          <w:sz w:val="24"/>
          <w:szCs w:val="22"/>
          <w:lang w:eastAsia="es-CO"/>
        </w:rPr>
      </w:pPr>
      <w:bookmarkStart w:id="103" w:name="_Toc178689021"/>
      <w:bookmarkStart w:id="104" w:name="_Toc183783094"/>
      <w:r w:rsidRPr="006C3145">
        <w:rPr>
          <w:i w:val="0"/>
          <w:iCs w:val="0"/>
          <w:noProof/>
          <w:color w:val="auto"/>
          <w:sz w:val="24"/>
          <w:szCs w:val="22"/>
          <w:lang w:eastAsia="es-CO"/>
        </w:rPr>
        <w:t>Distribución de Importaciones de todas las zonas francas de la region caribe 2023 vs 2024</w:t>
      </w:r>
      <w:bookmarkEnd w:id="103"/>
      <w:bookmarkEnd w:id="104"/>
    </w:p>
    <w:p w14:paraId="48E28800" w14:textId="77777777" w:rsidR="009044DE" w:rsidRPr="009044DE" w:rsidRDefault="009044DE" w:rsidP="009044DE">
      <w:pPr>
        <w:rPr>
          <w:lang w:eastAsia="es-CO"/>
        </w:rPr>
      </w:pPr>
    </w:p>
    <w:p w14:paraId="3B587317" w14:textId="508A2911" w:rsidR="00451C16" w:rsidRDefault="00264188" w:rsidP="0015136C">
      <w:pPr>
        <w:spacing w:line="480" w:lineRule="auto"/>
        <w:jc w:val="center"/>
        <w:rPr>
          <w:noProof/>
          <w:lang w:eastAsia="es-CO"/>
        </w:rPr>
      </w:pPr>
      <w:r>
        <w:rPr>
          <w:noProof/>
          <w:lang w:eastAsia="es-CO"/>
        </w:rPr>
        <w:drawing>
          <wp:inline distT="0" distB="0" distL="0" distR="0" wp14:anchorId="3E00CA4E" wp14:editId="6A9D244F">
            <wp:extent cx="4575414" cy="29051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istri bc I.png"/>
                    <pic:cNvPicPr/>
                  </pic:nvPicPr>
                  <pic:blipFill>
                    <a:blip r:embed="rId19">
                      <a:extLst>
                        <a:ext uri="{28A0092B-C50C-407E-A947-70E740481C1C}">
                          <a14:useLocalDpi xmlns:a14="http://schemas.microsoft.com/office/drawing/2010/main" val="0"/>
                        </a:ext>
                      </a:extLst>
                    </a:blip>
                    <a:stretch>
                      <a:fillRect/>
                    </a:stretch>
                  </pic:blipFill>
                  <pic:spPr>
                    <a:xfrm>
                      <a:off x="0" y="0"/>
                      <a:ext cx="4579942" cy="2908000"/>
                    </a:xfrm>
                    <a:prstGeom prst="rect">
                      <a:avLst/>
                    </a:prstGeom>
                  </pic:spPr>
                </pic:pic>
              </a:graphicData>
            </a:graphic>
          </wp:inline>
        </w:drawing>
      </w:r>
    </w:p>
    <w:p w14:paraId="332028F1" w14:textId="77777777" w:rsidR="004358D6" w:rsidRDefault="004358D6" w:rsidP="0015136C">
      <w:pPr>
        <w:spacing w:line="480" w:lineRule="auto"/>
        <w:jc w:val="center"/>
        <w:rPr>
          <w:lang w:eastAsia="es-ES"/>
        </w:rPr>
      </w:pPr>
      <w:r>
        <w:rPr>
          <w:lang w:eastAsia="es-ES"/>
        </w:rPr>
        <w:t>Nota: Elaboración propia, a partir de da datos del DANE</w:t>
      </w:r>
    </w:p>
    <w:p w14:paraId="1629AC20" w14:textId="1138D4D4" w:rsidR="004D4A99" w:rsidRDefault="004D4A99" w:rsidP="0015136C">
      <w:pPr>
        <w:spacing w:line="480" w:lineRule="auto"/>
        <w:rPr>
          <w:noProof/>
          <w:lang w:eastAsia="es-CO"/>
        </w:rPr>
      </w:pPr>
      <w:r>
        <w:rPr>
          <w:noProof/>
          <w:lang w:eastAsia="es-CO"/>
        </w:rPr>
        <w:t>En este primer gráfico, que se enfoca en las importaciones, se analiza la distribución de los montos registrados en las zonas francas durante l</w:t>
      </w:r>
      <w:r w:rsidR="0008775A">
        <w:rPr>
          <w:noProof/>
          <w:lang w:eastAsia="es-CO"/>
        </w:rPr>
        <w:t>os años en comparación. El eje X</w:t>
      </w:r>
      <w:r>
        <w:rPr>
          <w:noProof/>
          <w:lang w:eastAsia="es-CO"/>
        </w:rPr>
        <w:t xml:space="preserve"> abarca un rango </w:t>
      </w:r>
      <w:r>
        <w:rPr>
          <w:noProof/>
          <w:lang w:eastAsia="es-CO"/>
        </w:rPr>
        <w:lastRenderedPageBreak/>
        <w:t>que va de 0 a 20,000 mi</w:t>
      </w:r>
      <w:r w:rsidR="0008775A">
        <w:rPr>
          <w:noProof/>
          <w:lang w:eastAsia="es-CO"/>
        </w:rPr>
        <w:t>l dólares, mientras que el eje Y</w:t>
      </w:r>
      <w:r>
        <w:rPr>
          <w:noProof/>
          <w:lang w:eastAsia="es-CO"/>
        </w:rPr>
        <w:t xml:space="preserve"> representa la frecuencia de las importaciones dentro de estos intervalos. Las importaciones del año 2023 están ilustradas mediante barras y una curva de densidad de color verde, mientras que las del año 2024 se presentan con barras y una curva de color rojo, permitiendo así una evaluación visual directa de cómo se han comportado estas variables a lo largo del tiempo.</w:t>
      </w:r>
    </w:p>
    <w:p w14:paraId="0B19022B" w14:textId="21BC15BB" w:rsidR="004D4A99" w:rsidRDefault="004D4A99" w:rsidP="0015136C">
      <w:pPr>
        <w:spacing w:line="480" w:lineRule="auto"/>
        <w:rPr>
          <w:noProof/>
          <w:lang w:eastAsia="es-CO"/>
        </w:rPr>
      </w:pPr>
      <w:r>
        <w:rPr>
          <w:noProof/>
          <w:lang w:eastAsia="es-CO"/>
        </w:rPr>
        <w:t>El análisis de las importaciones de 2023 revela una alta concentración de transacciones en el rango de 2,500 a 5,000 mil dólares, lo cual sugiere que la mayoría de las compras se enfocaron en montos pequeños o medianos. Sin embargo, destaca un valor atípico entre 15,000 y 17,500 mil dólares, indicando una operación de importación inusualmente grande en esa categoría específica. La curva de densidad muestra una tendencia descendente con un leve repunte en torno a los 10,000 mil dólares, lo cual sugiere una relativa heterogeneidad en los niveles de importación.</w:t>
      </w:r>
    </w:p>
    <w:p w14:paraId="74578B79" w14:textId="479A5A7C" w:rsidR="004D4A99" w:rsidRDefault="004D4A99" w:rsidP="0015136C">
      <w:pPr>
        <w:spacing w:line="480" w:lineRule="auto"/>
        <w:rPr>
          <w:noProof/>
          <w:lang w:eastAsia="es-CO"/>
        </w:rPr>
      </w:pPr>
      <w:r>
        <w:rPr>
          <w:noProof/>
          <w:lang w:eastAsia="es-CO"/>
        </w:rPr>
        <w:t>Por otro lado, las importaciones de 2024 muestran una distribución más concentrada en el rango de los 2,500 mil dólares, con una frecuencia considerablemente superior a la observada en 2023. A diferencia de la tendencia dispersa de 2023, las importaciones de 2024 se distribuyen de manera más uniforme hasta el rango de 17,500 mil dólares, reflejando estabilidad en los niveles de importación de estos montos. La curva de densidad presenta un pico muy elevado en 2,500 mil dólares y luego disminuye gradualmente, lo cual sugiere que las zonas francas de la región Caribe han optado por importaciones de menor valor unitario, posiblemente como respuesta a un cambio estratégico en las preferencias comerciales o en la demanda de bienes en la región.</w:t>
      </w:r>
    </w:p>
    <w:p w14:paraId="7CFFC358" w14:textId="56C0C7AA" w:rsidR="00451C16" w:rsidRDefault="004D4A99" w:rsidP="009044DE">
      <w:pPr>
        <w:spacing w:line="480" w:lineRule="auto"/>
        <w:rPr>
          <w:noProof/>
          <w:lang w:eastAsia="es-CO"/>
        </w:rPr>
      </w:pPr>
      <w:r>
        <w:rPr>
          <w:noProof/>
          <w:lang w:eastAsia="es-CO"/>
        </w:rPr>
        <w:t xml:space="preserve">En términos de comparación general, las importaciones del año 2024 tienden a estar más centralizadas alrededor de valores bajos y medios en comparación con 2023, donde se evidencia una mayor dispersión en los volúmenes de importación. La alta concentración en el rango de 2,500 mil dólares podría reflejar ajustes en las políticas comerciales de las zonas francas, o bien un </w:t>
      </w:r>
      <w:r>
        <w:rPr>
          <w:noProof/>
          <w:lang w:eastAsia="es-CO"/>
        </w:rPr>
        <w:lastRenderedPageBreak/>
        <w:t>cambio en las dinámicas de la demanda de productos importados. En conjunto, estos resultados podrían estar relacionados con cambios en la estructura productiva o comercial de la región, o con una mayor atención a la eficiencia operativa y competitividad de las zonas francas del Caribe colombiano.</w:t>
      </w:r>
    </w:p>
    <w:p w14:paraId="676C9E8E" w14:textId="77777777" w:rsidR="009044DE" w:rsidRPr="009044DE" w:rsidRDefault="009044DE" w:rsidP="009044DE">
      <w:pPr>
        <w:pStyle w:val="Descripcin"/>
        <w:spacing w:after="0"/>
        <w:ind w:left="708" w:firstLine="1"/>
        <w:rPr>
          <w:b/>
          <w:bCs/>
          <w:i w:val="0"/>
          <w:iCs w:val="0"/>
          <w:noProof/>
          <w:color w:val="auto"/>
          <w:sz w:val="24"/>
          <w:szCs w:val="22"/>
          <w:lang w:eastAsia="es-CO"/>
        </w:rPr>
      </w:pPr>
      <w:bookmarkStart w:id="105" w:name="_Toc178689022"/>
      <w:bookmarkStart w:id="106" w:name="_Toc183783095"/>
      <w:r w:rsidRPr="009044DE">
        <w:rPr>
          <w:b/>
          <w:bCs/>
          <w:i w:val="0"/>
          <w:iCs w:val="0"/>
          <w:noProof/>
          <w:color w:val="auto"/>
          <w:sz w:val="24"/>
          <w:szCs w:val="22"/>
          <w:lang w:eastAsia="es-CO"/>
        </w:rPr>
        <w:t xml:space="preserve">Grafico </w:t>
      </w:r>
      <w:r w:rsidRPr="009044DE">
        <w:rPr>
          <w:b/>
          <w:bCs/>
          <w:i w:val="0"/>
          <w:iCs w:val="0"/>
          <w:noProof/>
          <w:color w:val="auto"/>
          <w:sz w:val="24"/>
          <w:szCs w:val="22"/>
          <w:lang w:eastAsia="es-CO"/>
        </w:rPr>
        <w:fldChar w:fldCharType="begin"/>
      </w:r>
      <w:r w:rsidRPr="009044DE">
        <w:rPr>
          <w:b/>
          <w:bCs/>
          <w:i w:val="0"/>
          <w:iCs w:val="0"/>
          <w:noProof/>
          <w:color w:val="auto"/>
          <w:sz w:val="24"/>
          <w:szCs w:val="22"/>
          <w:lang w:eastAsia="es-CO"/>
        </w:rPr>
        <w:instrText xml:space="preserve"> SEQ Grafico \* ARABIC </w:instrText>
      </w:r>
      <w:r w:rsidRPr="009044DE">
        <w:rPr>
          <w:b/>
          <w:bCs/>
          <w:i w:val="0"/>
          <w:iCs w:val="0"/>
          <w:noProof/>
          <w:color w:val="auto"/>
          <w:sz w:val="24"/>
          <w:szCs w:val="22"/>
          <w:lang w:eastAsia="es-CO"/>
        </w:rPr>
        <w:fldChar w:fldCharType="separate"/>
      </w:r>
      <w:r w:rsidRPr="009044DE">
        <w:rPr>
          <w:b/>
          <w:bCs/>
          <w:i w:val="0"/>
          <w:iCs w:val="0"/>
          <w:noProof/>
          <w:color w:val="auto"/>
          <w:sz w:val="24"/>
          <w:szCs w:val="22"/>
          <w:lang w:eastAsia="es-CO"/>
        </w:rPr>
        <w:t>4</w:t>
      </w:r>
      <w:r w:rsidRPr="009044DE">
        <w:rPr>
          <w:b/>
          <w:bCs/>
          <w:i w:val="0"/>
          <w:iCs w:val="0"/>
          <w:noProof/>
          <w:color w:val="auto"/>
          <w:sz w:val="24"/>
          <w:szCs w:val="22"/>
          <w:lang w:eastAsia="es-CO"/>
        </w:rPr>
        <w:fldChar w:fldCharType="end"/>
      </w:r>
      <w:r w:rsidRPr="009044DE">
        <w:rPr>
          <w:b/>
          <w:bCs/>
          <w:i w:val="0"/>
          <w:iCs w:val="0"/>
          <w:noProof/>
          <w:color w:val="auto"/>
          <w:sz w:val="24"/>
          <w:szCs w:val="22"/>
          <w:lang w:eastAsia="es-CO"/>
        </w:rPr>
        <w:t>:</w:t>
      </w:r>
      <w:bookmarkEnd w:id="105"/>
      <w:bookmarkEnd w:id="106"/>
      <w:r w:rsidRPr="009044DE">
        <w:rPr>
          <w:b/>
          <w:bCs/>
          <w:i w:val="0"/>
          <w:iCs w:val="0"/>
          <w:noProof/>
          <w:color w:val="auto"/>
          <w:sz w:val="24"/>
          <w:szCs w:val="22"/>
          <w:lang w:eastAsia="es-CO"/>
        </w:rPr>
        <w:t xml:space="preserve"> </w:t>
      </w:r>
    </w:p>
    <w:p w14:paraId="3CB89DFF" w14:textId="52BD81C5" w:rsidR="009044DE" w:rsidRPr="006C3145" w:rsidRDefault="009044DE" w:rsidP="009044DE">
      <w:pPr>
        <w:pStyle w:val="Descripcin"/>
        <w:spacing w:after="0"/>
        <w:ind w:left="708" w:firstLine="1"/>
        <w:rPr>
          <w:i w:val="0"/>
          <w:iCs w:val="0"/>
          <w:noProof/>
          <w:color w:val="auto"/>
          <w:sz w:val="24"/>
          <w:szCs w:val="22"/>
          <w:lang w:eastAsia="es-CO"/>
        </w:rPr>
      </w:pPr>
      <w:bookmarkStart w:id="107" w:name="_Toc178689023"/>
      <w:bookmarkStart w:id="108" w:name="_Toc183783096"/>
      <w:r w:rsidRPr="006C3145">
        <w:rPr>
          <w:i w:val="0"/>
          <w:iCs w:val="0"/>
          <w:noProof/>
          <w:color w:val="auto"/>
          <w:sz w:val="24"/>
          <w:szCs w:val="22"/>
          <w:lang w:eastAsia="es-CO"/>
        </w:rPr>
        <w:t>Distribución de Exportaciones de todas las zonas francas de la region caribe 2023 vs 2024</w:t>
      </w:r>
      <w:bookmarkEnd w:id="107"/>
      <w:bookmarkEnd w:id="108"/>
    </w:p>
    <w:p w14:paraId="4B285282" w14:textId="77777777" w:rsidR="009044DE" w:rsidRPr="009044DE" w:rsidRDefault="009044DE" w:rsidP="009044DE">
      <w:pPr>
        <w:rPr>
          <w:lang w:eastAsia="es-CO"/>
        </w:rPr>
      </w:pPr>
    </w:p>
    <w:p w14:paraId="471130DC" w14:textId="4B440974" w:rsidR="00264188" w:rsidRPr="00C568D0" w:rsidRDefault="00264188" w:rsidP="0015136C">
      <w:pPr>
        <w:spacing w:line="480" w:lineRule="auto"/>
        <w:jc w:val="center"/>
        <w:rPr>
          <w:lang w:eastAsia="es-ES"/>
        </w:rPr>
      </w:pPr>
      <w:r>
        <w:rPr>
          <w:noProof/>
          <w:lang w:eastAsia="es-CO"/>
        </w:rPr>
        <w:drawing>
          <wp:inline distT="0" distB="0" distL="0" distR="0" wp14:anchorId="7C4C136A" wp14:editId="3972344E">
            <wp:extent cx="4609465" cy="2954195"/>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itri bc E.png"/>
                    <pic:cNvPicPr/>
                  </pic:nvPicPr>
                  <pic:blipFill>
                    <a:blip r:embed="rId20">
                      <a:extLst>
                        <a:ext uri="{28A0092B-C50C-407E-A947-70E740481C1C}">
                          <a14:useLocalDpi xmlns:a14="http://schemas.microsoft.com/office/drawing/2010/main" val="0"/>
                        </a:ext>
                      </a:extLst>
                    </a:blip>
                    <a:stretch>
                      <a:fillRect/>
                    </a:stretch>
                  </pic:blipFill>
                  <pic:spPr>
                    <a:xfrm>
                      <a:off x="0" y="0"/>
                      <a:ext cx="4614755" cy="2957585"/>
                    </a:xfrm>
                    <a:prstGeom prst="rect">
                      <a:avLst/>
                    </a:prstGeom>
                  </pic:spPr>
                </pic:pic>
              </a:graphicData>
            </a:graphic>
          </wp:inline>
        </w:drawing>
      </w:r>
    </w:p>
    <w:p w14:paraId="73CF7E0A" w14:textId="77777777" w:rsidR="004358D6" w:rsidRDefault="004358D6" w:rsidP="0015136C">
      <w:pPr>
        <w:spacing w:line="480" w:lineRule="auto"/>
        <w:jc w:val="center"/>
        <w:rPr>
          <w:lang w:eastAsia="es-ES"/>
        </w:rPr>
      </w:pPr>
      <w:r>
        <w:rPr>
          <w:lang w:eastAsia="es-ES"/>
        </w:rPr>
        <w:t>Nota: Elaboración propia, a partir de da datos del DANE</w:t>
      </w:r>
    </w:p>
    <w:p w14:paraId="5EFEF483" w14:textId="1D0AD082" w:rsidR="00F2514B" w:rsidRDefault="003F5839" w:rsidP="0015136C">
      <w:pPr>
        <w:spacing w:line="480" w:lineRule="auto"/>
        <w:rPr>
          <w:lang w:eastAsia="es-ES"/>
        </w:rPr>
      </w:pPr>
      <w:r>
        <w:rPr>
          <w:lang w:eastAsia="es-ES"/>
        </w:rPr>
        <w:t>Este</w:t>
      </w:r>
      <w:r w:rsidR="00F2514B">
        <w:rPr>
          <w:lang w:eastAsia="es-ES"/>
        </w:rPr>
        <w:t xml:space="preserve"> segundo gráfico, centrado en la Distribución de Exportaciones, analiza los valores correspondientes para ambos años dentro de un rango de 0 a</w:t>
      </w:r>
      <w:r w:rsidR="00E93A2E">
        <w:rPr>
          <w:lang w:eastAsia="es-ES"/>
        </w:rPr>
        <w:t xml:space="preserve"> 16,000 mil dólares. En el eje X</w:t>
      </w:r>
      <w:r w:rsidR="00F2514B">
        <w:rPr>
          <w:lang w:eastAsia="es-ES"/>
        </w:rPr>
        <w:t xml:space="preserve"> se encuentran los intervalos monetarios de las exportaciones</w:t>
      </w:r>
      <w:r w:rsidR="00E93A2E">
        <w:rPr>
          <w:lang w:eastAsia="es-ES"/>
        </w:rPr>
        <w:t>, mientras que el eje Y</w:t>
      </w:r>
      <w:r w:rsidR="00F2514B">
        <w:rPr>
          <w:lang w:eastAsia="es-ES"/>
        </w:rPr>
        <w:t xml:space="preserve"> indica la frecuencia con la que estas operaciones se han distribuido en cada categoría. Las exportaciones del año 2023 están representadas con barras y una curva de densidad de color azul, mientras que las del año 2024 se muestran con barras de color amarillo y una curva de densidad delineada en naranja. Al igual que en el caso de las importaciones, las curvas de densidad permiten identificar tendencias y </w:t>
      </w:r>
      <w:r w:rsidR="00F2514B">
        <w:rPr>
          <w:lang w:eastAsia="es-ES"/>
        </w:rPr>
        <w:lastRenderedPageBreak/>
        <w:t>patrones que pueden no ser fácilmente visibles en los histogramas, facilitando así un análisis más detallado de los datos.</w:t>
      </w:r>
    </w:p>
    <w:p w14:paraId="294059CD" w14:textId="35861364" w:rsidR="00F2514B" w:rsidRDefault="003F5839" w:rsidP="0015136C">
      <w:pPr>
        <w:spacing w:line="480" w:lineRule="auto"/>
        <w:rPr>
          <w:lang w:eastAsia="es-ES"/>
        </w:rPr>
      </w:pPr>
      <w:r>
        <w:rPr>
          <w:lang w:eastAsia="es-ES"/>
        </w:rPr>
        <w:t>En el estudios</w:t>
      </w:r>
      <w:r w:rsidR="00F2514B">
        <w:rPr>
          <w:lang w:eastAsia="es-ES"/>
        </w:rPr>
        <w:t xml:space="preserve"> de las exportaciones de 2023, se observa una distribución bimodal, con la mayor concentración de transacciones en los extremos del rango: de 0 a 2,000 mil dólares y de 10,000 a 12,000 mil dólares. Esta distribución sugiere que las exportaciones de las zonas francas se dividieron principalmente entre montos bajos y operaciones de gran valor, con poca actividad en los rangos intermedios. La curva de densidad refleja esta particularidad con dos picos bien definidos en torno a los 2,000 y 10,000 mil dólares, destacando la falta de homogeneidad en las exportaciones y la existencia de brechas significativas en ciertos rangos de valores, especialmente entre 4,000 y 8,000 mil dólares, donde se percibe un vacío notable en la distribución.</w:t>
      </w:r>
    </w:p>
    <w:p w14:paraId="3AA35E77" w14:textId="01ABA0A4" w:rsidR="00F2514B" w:rsidRDefault="00F2514B" w:rsidP="0015136C">
      <w:pPr>
        <w:spacing w:line="480" w:lineRule="auto"/>
        <w:rPr>
          <w:lang w:eastAsia="es-ES"/>
        </w:rPr>
      </w:pPr>
      <w:r>
        <w:rPr>
          <w:lang w:eastAsia="es-ES"/>
        </w:rPr>
        <w:t>Por el contrario, las exportaciones de 2024 presentan una distribución más equilibrada y uniforme en comparación con el año anterior. La mayor frecuencia de operaciones se concentra en los rangos de 2,000 a 4,000 mil dólares y de 10,000 a 12,000 mil dólares, lo cual sugiere que, aunque se mantienen algunos patrones de concentración en valores altos, hay una mayor presencia de transacciones en montos intermedios. La curva de densidad tiene un pico pronunciado en torno a los 10,000 mil dólares, lo cual indica que las exportaciones en este rango siguen siendo predominantes. Sin embargo, la curva desciende suavemente hacia los valores superiores, sugiriendo una distribución más estable y menos fragmentada en comparación con 2023.</w:t>
      </w:r>
    </w:p>
    <w:p w14:paraId="126B7CDB" w14:textId="64F22D4D" w:rsidR="00BC1CAB" w:rsidRDefault="005826AE" w:rsidP="009044DE">
      <w:pPr>
        <w:spacing w:line="480" w:lineRule="auto"/>
        <w:rPr>
          <w:lang w:eastAsia="es-ES"/>
        </w:rPr>
      </w:pPr>
      <w:r w:rsidRPr="005826AE">
        <w:rPr>
          <w:lang w:eastAsia="es-ES"/>
        </w:rPr>
        <w:t xml:space="preserve">Al </w:t>
      </w:r>
      <w:r w:rsidR="00BC1CAB">
        <w:rPr>
          <w:lang w:eastAsia="es-ES"/>
        </w:rPr>
        <w:t>realizar una comparación</w:t>
      </w:r>
      <w:r w:rsidRPr="005826AE">
        <w:rPr>
          <w:lang w:eastAsia="es-ES"/>
        </w:rPr>
        <w:t xml:space="preserve">, se observa que las exportaciones de 2023 presentan una distribución polarizada, caracterizada por la predominancia de valores tanto bajos como altos. En contraste, las exportaciones de 2024 indican una tendencia hacia una mayor diversificación, con una representación más equilibrada en rangos intermedios. Esta variación sugiere un posible cambio en la dinámica comercial de las zonas francas en la región del Caribe, evidenciando una </w:t>
      </w:r>
      <w:r w:rsidRPr="005826AE">
        <w:rPr>
          <w:lang w:eastAsia="es-ES"/>
        </w:rPr>
        <w:lastRenderedPageBreak/>
        <w:t>mayor estabilidad y variedad en productos o mercados en el año 2024. La menor frecuencia de exportaciones en los rangos intermedios durante 2023 podría señalar una falta de diversidad en las líneas de productos o en los destinos de exportación. En cambio, la distribución más equilibrada observada en 2024 podría reflejar una expansión hacia nuevos mercados o mejoras en la capacidad productiva y logística de las zonas francas.</w:t>
      </w:r>
    </w:p>
    <w:p w14:paraId="2AC9FA12" w14:textId="026E87B3" w:rsidR="00F7632B" w:rsidRDefault="00BC1CAB" w:rsidP="0015136C">
      <w:pPr>
        <w:spacing w:line="480" w:lineRule="auto"/>
        <w:rPr>
          <w:lang w:eastAsia="es-ES"/>
        </w:rPr>
      </w:pPr>
      <w:r w:rsidRPr="00BC1CAB">
        <w:rPr>
          <w:lang w:eastAsia="es-ES"/>
        </w:rPr>
        <w:t>En términos generales, los gráficos revelan cambios importantes en la balanza comercial de las zonas francas de la región del Caribe entre 2023 y 2024. Por un lado, las importaciones de 2024 muestran una mayor centralización y concentración en valores bajos, lo que podría indicar un cambio en el patrón de consumo o en la estructura de las importaciones, reflejando así ajustes en las demandas de los mercados locales. Por otro lado, las exportaciones de 2024 exhiben una distribución más variada en comparación con 2023, sugiriendo un crecimiento en los mercados internacionales o un aumento en la capacidad productiva de las zonas francas en la región. Estos patrones pueden ser atribuidos a modificaciones en las políticas monetarias y fiscales, variaciones en el tipo de cambio o factores macroeconómicos externos, como la demanda global. Además, el análisis de las curvas de densidad sugiere una mayor estabilidad en las exportaciones de 2024 en relación a 2023, lo que podría ser un indicativo de una estrategia efectiva de diversificación comercial implementada durante el último año.</w:t>
      </w:r>
    </w:p>
    <w:p w14:paraId="3C24CE67" w14:textId="77777777" w:rsidR="00034159" w:rsidRDefault="00034159" w:rsidP="00034159">
      <w:pPr>
        <w:rPr>
          <w:lang w:eastAsia="es-ES"/>
        </w:rPr>
      </w:pPr>
    </w:p>
    <w:p w14:paraId="3F94E8E2" w14:textId="65588E0E" w:rsidR="007A46C9" w:rsidRDefault="007A46C9" w:rsidP="009044DE">
      <w:pPr>
        <w:pStyle w:val="Ttulo3"/>
        <w:rPr>
          <w:lang w:eastAsia="es-ES"/>
        </w:rPr>
      </w:pPr>
      <w:bookmarkStart w:id="109" w:name="_Toc183783055"/>
      <w:r w:rsidRPr="007A46C9">
        <w:rPr>
          <w:lang w:eastAsia="es-ES"/>
        </w:rPr>
        <w:t>Conclusiones</w:t>
      </w:r>
      <w:r w:rsidR="008A509C">
        <w:rPr>
          <w:lang w:eastAsia="es-ES"/>
        </w:rPr>
        <w:t xml:space="preserve"> de los resultados.</w:t>
      </w:r>
      <w:bookmarkEnd w:id="109"/>
    </w:p>
    <w:p w14:paraId="01C4F6F9" w14:textId="77777777" w:rsidR="00034159" w:rsidRPr="00034159" w:rsidRDefault="00034159" w:rsidP="00034159">
      <w:pPr>
        <w:rPr>
          <w:lang w:eastAsia="es-ES"/>
        </w:rPr>
      </w:pPr>
    </w:p>
    <w:p w14:paraId="0897836A" w14:textId="6799F340" w:rsidR="007A46C9" w:rsidRDefault="007A46C9" w:rsidP="0015136C">
      <w:pPr>
        <w:spacing w:line="480" w:lineRule="auto"/>
        <w:rPr>
          <w:lang w:eastAsia="es-ES"/>
        </w:rPr>
      </w:pPr>
      <w:r>
        <w:rPr>
          <w:lang w:eastAsia="es-ES"/>
        </w:rPr>
        <w:t xml:space="preserve">Este capítulo responde al objetivo propuesto de caracterizar las zonas francas de la región Caribe colombiana en relación con su balanza comercial. A lo largo del análisis se examinaron los ingresos totales de las zonas francas, tanto en términos de valores CIF como en toneladas métricas, </w:t>
      </w:r>
      <w:r>
        <w:rPr>
          <w:lang w:eastAsia="es-ES"/>
        </w:rPr>
        <w:lastRenderedPageBreak/>
        <w:t>así como las salidas totales en valores FOB y su tipología de operaciones comerciales. Además, se evaluó la balanza comercial, es decir, la relación entre exportaciones e importaciones para cada zona durante los años 2023 y 2024.</w:t>
      </w:r>
    </w:p>
    <w:p w14:paraId="0C98B79E" w14:textId="1815C07C" w:rsidR="007A46C9" w:rsidRDefault="007A46C9" w:rsidP="0015136C">
      <w:pPr>
        <w:spacing w:line="480" w:lineRule="auto"/>
        <w:rPr>
          <w:lang w:eastAsia="es-ES"/>
        </w:rPr>
      </w:pPr>
      <w:r>
        <w:rPr>
          <w:lang w:eastAsia="es-ES"/>
        </w:rPr>
        <w:t>El análisis demostró que las zonas francas de la región Caribe colombiana presentan dinámicas comerciales muy diversas. Algunas zonas, como la Zona Franca de Barranquilla, muestran un comportamiento estable y un incremento en sus exportaciones y salidas, lo que las posiciona como actores clave en el comercio exterior de la región. Sin embargo, otras zonas, como la Zona Franca de Santa Marta o la Zona Franca Internacional del Atlántico, evidencian caídas significativas en sus importaciones y exportaciones, reflejando dificultades para mantener su competitividad en un entorno cambiante.</w:t>
      </w:r>
    </w:p>
    <w:p w14:paraId="080A04AC" w14:textId="15860D8C" w:rsidR="007A46C9" w:rsidRDefault="007A46C9" w:rsidP="0015136C">
      <w:pPr>
        <w:spacing w:line="480" w:lineRule="auto"/>
        <w:rPr>
          <w:lang w:eastAsia="es-ES"/>
        </w:rPr>
      </w:pPr>
      <w:r>
        <w:rPr>
          <w:lang w:eastAsia="es-ES"/>
        </w:rPr>
        <w:t>En cuanto a las condiciones del mercado, se identificaron factores diferenciadores que inciden en el comportamiento comercial de cada zona, tales como el tipo de productos comercializados, la eficiencia logística, y la capacidad para atraer inversiones. Las zonas con mayor crecimiento, como la Zona Franca Palermo y la Zona Franca la Cayena, parecen haberse beneficiado de una mayor especialización y de mejoras en sus operaciones internas, mientras que otras, como la Zona Franca Cartagena, presentan crecimientos marginales que indican la necesidad de implementar estrategias más agresivas para incrementar su participación en el comercio exterior.</w:t>
      </w:r>
    </w:p>
    <w:p w14:paraId="619369C6" w14:textId="52C265B0" w:rsidR="007A46C9" w:rsidRDefault="007A46C9" w:rsidP="0015136C">
      <w:pPr>
        <w:spacing w:line="480" w:lineRule="auto"/>
        <w:rPr>
          <w:lang w:eastAsia="es-ES"/>
        </w:rPr>
      </w:pPr>
      <w:r>
        <w:rPr>
          <w:lang w:eastAsia="es-ES"/>
        </w:rPr>
        <w:t>En términos de tipología comercial y operaciones bajo regímenes específicos (como TAN y ZF-ZF), se observó una variabilidad significativa. Las zonas francas con mayores niveles de actividad externa tienden a mostrar mayor diversificación en sus ingresos por tipo de operación, mientras que aquellas más rezagadas dependen de un número reducido de flujos comerciales, lo cual las expone a mayores riesgos en caso de fluctuaciones en la demanda global.</w:t>
      </w:r>
    </w:p>
    <w:p w14:paraId="168260DB" w14:textId="06C3E2C3" w:rsidR="007A46C9" w:rsidRDefault="007A46C9" w:rsidP="0015136C">
      <w:pPr>
        <w:spacing w:line="480" w:lineRule="auto"/>
        <w:rPr>
          <w:lang w:eastAsia="es-ES"/>
        </w:rPr>
      </w:pPr>
      <w:r>
        <w:rPr>
          <w:lang w:eastAsia="es-ES"/>
        </w:rPr>
        <w:lastRenderedPageBreak/>
        <w:t>Desde el punto de vista de ventaja comparativa, se identificó que las zonas francas con mejor desempeño cuentan con infraestructuras más robustas, acceso directo a mercados internacionales, y una mayor oferta de servicios para las empresas que operan en ellas. En contraposición, aquellas con una balanza comercial negativa o decreciente necesitan rediseñar sus estrategias para atraer nuevas inversiones y diversificar sus actividades económicas.</w:t>
      </w:r>
    </w:p>
    <w:p w14:paraId="22CA6B08" w14:textId="2947376F" w:rsidR="007A46C9" w:rsidRDefault="007A46C9" w:rsidP="0015136C">
      <w:pPr>
        <w:spacing w:line="480" w:lineRule="auto"/>
        <w:rPr>
          <w:lang w:eastAsia="es-ES"/>
        </w:rPr>
      </w:pPr>
      <w:r>
        <w:rPr>
          <w:lang w:eastAsia="es-ES"/>
        </w:rPr>
        <w:t xml:space="preserve">Estas conclusiones no solo proporcionan un panorama claro del desempeño de las zonas francas en el contexto actual, sino que también ofrecen insumos valiosos para el </w:t>
      </w:r>
      <w:r w:rsidR="00414D76">
        <w:rPr>
          <w:lang w:eastAsia="es-ES"/>
        </w:rPr>
        <w:t>e</w:t>
      </w:r>
      <w:r>
        <w:rPr>
          <w:lang w:eastAsia="es-ES"/>
        </w:rPr>
        <w:t>valuar las condiciones fundamentales para la creación de una Zona Franca en el municipio de Aguachica – Cesar. A partir de este análisis</w:t>
      </w:r>
      <w:r w:rsidR="00AD25E0">
        <w:rPr>
          <w:lang w:eastAsia="es-ES"/>
        </w:rPr>
        <w:t xml:space="preserve"> cuya fuente principal de información fue </w:t>
      </w:r>
      <w:r w:rsidR="00AD25E0" w:rsidRPr="00AD25E0">
        <w:rPr>
          <w:noProof/>
          <w:lang w:val="es-ES" w:eastAsia="es-ES"/>
        </w:rPr>
        <w:t>(DANE, 2024)</w:t>
      </w:r>
      <w:r>
        <w:rPr>
          <w:lang w:eastAsia="es-ES"/>
        </w:rPr>
        <w:t xml:space="preserve">, </w:t>
      </w:r>
      <w:r w:rsidR="00AD25E0">
        <w:rPr>
          <w:lang w:eastAsia="es-ES"/>
        </w:rPr>
        <w:t xml:space="preserve">y del cual se </w:t>
      </w:r>
      <w:r>
        <w:rPr>
          <w:lang w:eastAsia="es-ES"/>
        </w:rPr>
        <w:t>puede determinar que el éxito de una nueva zona franca dependerá de su capacidad para adaptarse a las exigencias del comercio exterior, de su ubicación estratégica, y de la implementación de políticas comerciales que potencien su desarrollo. El análisis sugiere que para Aguachica sería crucial enfocarse en sectores productivos específicos, fortalecer la infraestructura logística y promover una integración efectiva con el resto de la región Caribe para maximizar su impacto económico en el contexto regional y nacional.</w:t>
      </w:r>
    </w:p>
    <w:p w14:paraId="4A78D198" w14:textId="77777777" w:rsidR="007A46C9" w:rsidRDefault="007A46C9" w:rsidP="0015136C">
      <w:pPr>
        <w:spacing w:line="480" w:lineRule="auto"/>
        <w:rPr>
          <w:lang w:eastAsia="es-ES"/>
        </w:rPr>
      </w:pPr>
    </w:p>
    <w:p w14:paraId="180D9D32" w14:textId="77777777" w:rsidR="007A46C9" w:rsidRDefault="007A46C9" w:rsidP="0015136C">
      <w:pPr>
        <w:spacing w:line="480" w:lineRule="auto"/>
        <w:rPr>
          <w:lang w:eastAsia="es-ES"/>
        </w:rPr>
      </w:pPr>
    </w:p>
    <w:p w14:paraId="5D544CFF" w14:textId="77777777" w:rsidR="007A46C9" w:rsidRDefault="007A46C9" w:rsidP="0015136C">
      <w:pPr>
        <w:spacing w:line="480" w:lineRule="auto"/>
        <w:rPr>
          <w:lang w:eastAsia="es-ES"/>
        </w:rPr>
      </w:pPr>
    </w:p>
    <w:p w14:paraId="061AB792" w14:textId="77777777" w:rsidR="007A46C9" w:rsidRDefault="007A46C9" w:rsidP="0015136C">
      <w:pPr>
        <w:spacing w:line="480" w:lineRule="auto"/>
        <w:rPr>
          <w:lang w:eastAsia="es-ES"/>
        </w:rPr>
      </w:pPr>
    </w:p>
    <w:p w14:paraId="4A0102DA" w14:textId="77777777" w:rsidR="007A46C9" w:rsidRDefault="007A46C9" w:rsidP="0015136C">
      <w:pPr>
        <w:spacing w:line="480" w:lineRule="auto"/>
        <w:rPr>
          <w:lang w:eastAsia="es-ES"/>
        </w:rPr>
      </w:pPr>
    </w:p>
    <w:p w14:paraId="60D8B36C" w14:textId="4D1CA8F9" w:rsidR="006D4068" w:rsidRDefault="006D4068" w:rsidP="0015136C">
      <w:pPr>
        <w:spacing w:line="480" w:lineRule="auto"/>
        <w:ind w:firstLine="0"/>
        <w:rPr>
          <w:lang w:eastAsia="es-ES"/>
        </w:rPr>
      </w:pPr>
      <w:r>
        <w:rPr>
          <w:lang w:eastAsia="es-ES"/>
        </w:rPr>
        <w:br w:type="page"/>
      </w:r>
    </w:p>
    <w:p w14:paraId="39BCB8DE" w14:textId="0FA0FD34" w:rsidR="0023637C" w:rsidRDefault="001428CC" w:rsidP="009044DE">
      <w:pPr>
        <w:pStyle w:val="Ttulo2"/>
        <w:spacing w:line="480" w:lineRule="auto"/>
        <w:rPr>
          <w:lang w:eastAsia="es-ES"/>
        </w:rPr>
      </w:pPr>
      <w:bookmarkStart w:id="110" w:name="_Toc183783056"/>
      <w:r>
        <w:lastRenderedPageBreak/>
        <w:t>EVALUACIÓN DE</w:t>
      </w:r>
      <w:r w:rsidR="00F22CC6" w:rsidRPr="009044DE">
        <w:t xml:space="preserve"> LAS CONDICIONES DE MERCADO PARA LA CREACIÓN DE UNA ZONA FRANCA EN EL MUNICIPIO DE AGUACHICA</w:t>
      </w:r>
      <w:r w:rsidR="00F22CC6" w:rsidRPr="00D8011B">
        <w:rPr>
          <w:lang w:eastAsia="es-ES"/>
        </w:rPr>
        <w:t>.</w:t>
      </w:r>
      <w:bookmarkEnd w:id="110"/>
    </w:p>
    <w:p w14:paraId="7B1B7F7D" w14:textId="77777777" w:rsidR="001428CC" w:rsidRPr="001428CC" w:rsidRDefault="001428CC" w:rsidP="001428CC">
      <w:pPr>
        <w:rPr>
          <w:lang w:eastAsia="es-ES"/>
        </w:rPr>
      </w:pPr>
    </w:p>
    <w:p w14:paraId="362418A4" w14:textId="180CED46" w:rsidR="0023637C" w:rsidRDefault="0023637C" w:rsidP="0015136C">
      <w:pPr>
        <w:spacing w:line="480" w:lineRule="auto"/>
        <w:rPr>
          <w:lang w:eastAsia="es-ES"/>
        </w:rPr>
      </w:pPr>
      <w:r>
        <w:rPr>
          <w:lang w:eastAsia="es-ES"/>
        </w:rPr>
        <w:t>La metodología utilizada para evaluar las condiciones de mercado y la viabilidad de establecer una zona franca en Aguachica, Cesar, se fundamenta en un análisis exhaustivo de los factores internos y externos que pueden influir en su implementación. Este análisis se realiza mediante una matriz de factores internos y externos, en la cual se detallan tanto los recursos disponibles como los desafíos que enfrentaría el proyecto.</w:t>
      </w:r>
    </w:p>
    <w:p w14:paraId="17345410" w14:textId="42F75AFD" w:rsidR="0023637C" w:rsidRDefault="0023637C" w:rsidP="0015136C">
      <w:pPr>
        <w:spacing w:line="480" w:lineRule="auto"/>
        <w:rPr>
          <w:lang w:eastAsia="es-ES"/>
        </w:rPr>
      </w:pPr>
      <w:r>
        <w:rPr>
          <w:lang w:eastAsia="es-ES"/>
        </w:rPr>
        <w:t>Para evaluar los factores internos, se analizaron elementos como la infraestructura disponible, la calidad de las vías de transporte, la capacidad logística y el capital humano, identificando tanto sus aspectos favorables como áreas de mejora. Se identificaron factores críticos como la conectividad aérea y terrestre, la capacidad de carga y la disponibilidad de servicios básicos. Estos factores recibieron puntuaciones ponderadas en función de su peso relativo en la viabilidad del proyecto.</w:t>
      </w:r>
    </w:p>
    <w:p w14:paraId="3788A1D6" w14:textId="266A7D78" w:rsidR="0023637C" w:rsidRDefault="0023637C" w:rsidP="0015136C">
      <w:pPr>
        <w:spacing w:line="480" w:lineRule="auto"/>
        <w:rPr>
          <w:lang w:eastAsia="es-ES"/>
        </w:rPr>
      </w:pPr>
      <w:r>
        <w:rPr>
          <w:lang w:eastAsia="es-ES"/>
        </w:rPr>
        <w:t>En cuanto a los factores externos, se examinaron aspectos relacionados con el entorno económico, social, político y competitivo. Entre estos, se destacaron la tasa de crecimiento económico de la región, los incentivos fiscales y aduaneros, la calidad de vida en el municipio y la percepción de los empresarios y profesionales sobre las zonas francas. También se evaluó la competencia con otras zonas francas cercanas y el potencial de Aguachica para diferenciarse en el mercado a través de estrategias especializadas.</w:t>
      </w:r>
    </w:p>
    <w:p w14:paraId="16606265" w14:textId="0FB54FA2" w:rsidR="00CA4797" w:rsidRDefault="0023637C" w:rsidP="0015136C">
      <w:pPr>
        <w:spacing w:line="480" w:lineRule="auto"/>
        <w:rPr>
          <w:lang w:eastAsia="es-ES"/>
        </w:rPr>
      </w:pPr>
      <w:r>
        <w:rPr>
          <w:lang w:eastAsia="es-ES"/>
        </w:rPr>
        <w:t xml:space="preserve">Esta metodología integral permite identificar las ventajas de Aguachica, como su ubicación estratégica y recursos naturales, así como los retos relacionados con la infraestructura y la competitividad frente a otras zonas francas establecidas. El resultado de esta evaluación </w:t>
      </w:r>
      <w:r>
        <w:rPr>
          <w:lang w:eastAsia="es-ES"/>
        </w:rPr>
        <w:lastRenderedPageBreak/>
        <w:t>proporciona una base sólida para tomar decisiones informadas sobre la viabilidad y los pasos necesarios para la creación de la zona franca en el municipio.</w:t>
      </w:r>
    </w:p>
    <w:p w14:paraId="2239FC4F" w14:textId="0B448E41" w:rsidR="006B57B2" w:rsidRPr="006B57B2" w:rsidRDefault="006B57B2" w:rsidP="0015136C">
      <w:pPr>
        <w:spacing w:line="480" w:lineRule="auto"/>
        <w:rPr>
          <w:b/>
          <w:lang w:eastAsia="es-ES"/>
        </w:rPr>
      </w:pPr>
      <w:r w:rsidRPr="006B57B2">
        <w:rPr>
          <w:b/>
          <w:lang w:eastAsia="es-ES"/>
        </w:rPr>
        <w:t>Justificación del uso de la matriz de factores:</w:t>
      </w:r>
    </w:p>
    <w:p w14:paraId="43087D0B" w14:textId="77777777" w:rsidR="004C2C7D" w:rsidRDefault="004C2C7D" w:rsidP="004C2C7D">
      <w:pPr>
        <w:spacing w:line="480" w:lineRule="auto"/>
        <w:rPr>
          <w:lang w:eastAsia="es-ES"/>
        </w:rPr>
      </w:pPr>
      <w:r>
        <w:rPr>
          <w:lang w:eastAsia="es-ES"/>
        </w:rPr>
        <w:t>La inclusión de una matriz de factores internos y externos (IFE y EFE) en el análisis del potencial de una Zona Franca en Aguachica es un enfoque que permite evaluar de forma estructurada los elementos clave que impactan su viabilidad y éxito. Este tipo de matrices es ampliamente utilizado en estudios de planificación estratégica en zonas francas, donde resulta fundamental identificar y valorar tanto las fortalezas y debilidades internas como las oportunidades y amenazas externas. Con el uso de herramientas como la matriz FODA y la Matriz de Planificación Estratégica Cualitativa (QSPM), el análisis de estos factores se convierte en una guía para formular estrategias de optimización y mitigación de riesgos, especialmente en el contexto de políticas de fomento económico y comercio internacional.</w:t>
      </w:r>
    </w:p>
    <w:p w14:paraId="2F8FC4B5" w14:textId="630F54CB" w:rsidR="004C2C7D" w:rsidRDefault="004C2C7D" w:rsidP="004C2C7D">
      <w:pPr>
        <w:spacing w:line="480" w:lineRule="auto"/>
        <w:rPr>
          <w:lang w:eastAsia="es-ES"/>
        </w:rPr>
      </w:pPr>
      <w:r>
        <w:rPr>
          <w:lang w:eastAsia="es-ES"/>
        </w:rPr>
        <w:t>La metodología basada en matrices IFE y EFE, combinada con otras herramientas como la matriz SWOT y QSPM, ha sido utilizada en estudios de planificación para zonas francas como una forma efectiva de anticipar y responder a posibles crisis</w:t>
      </w:r>
      <w:r w:rsidR="00757ED1">
        <w:rPr>
          <w:lang w:eastAsia="es-ES"/>
        </w:rPr>
        <w:t xml:space="preserve"> </w:t>
      </w:r>
      <w:r w:rsidR="009377F2">
        <w:rPr>
          <w:noProof/>
          <w:lang w:val="es-ES" w:eastAsia="es-ES"/>
        </w:rPr>
        <w:t>(Monavvarian et al, 2015)</w:t>
      </w:r>
      <w:r>
        <w:rPr>
          <w:lang w:eastAsia="es-ES"/>
        </w:rPr>
        <w:t>. Por ejemplo, se ha demostrado que este enfoque permite identificar con claridad las áreas internas que necesitan fortalecerse y las amenazas externas que requieren estrategias preventivas. La capacidad de este método para facilitar un integral asegura que las decisiones estratégicas estén fundamentadas en una comprensión completa de los factores que influyen en el éxito de las zonas francas</w:t>
      </w:r>
      <w:r w:rsidR="00757ED1">
        <w:rPr>
          <w:lang w:eastAsia="es-ES"/>
        </w:rPr>
        <w:t xml:space="preserve"> </w:t>
      </w:r>
      <w:r w:rsidR="009377F2">
        <w:rPr>
          <w:noProof/>
          <w:lang w:val="es-ES" w:eastAsia="es-ES"/>
        </w:rPr>
        <w:t>(Monavvarian et al, 2015)</w:t>
      </w:r>
      <w:r>
        <w:rPr>
          <w:lang w:eastAsia="es-ES"/>
        </w:rPr>
        <w:t>.</w:t>
      </w:r>
    </w:p>
    <w:p w14:paraId="3CFF003C" w14:textId="55B93FDB" w:rsidR="004C2C7D" w:rsidRDefault="00757ED1" w:rsidP="004C2C7D">
      <w:pPr>
        <w:spacing w:line="480" w:lineRule="auto"/>
        <w:rPr>
          <w:lang w:eastAsia="es-ES"/>
        </w:rPr>
      </w:pPr>
      <w:r>
        <w:rPr>
          <w:lang w:eastAsia="es-ES"/>
        </w:rPr>
        <w:t>Por otra parte, l</w:t>
      </w:r>
      <w:r w:rsidR="004C2C7D">
        <w:rPr>
          <w:lang w:eastAsia="es-ES"/>
        </w:rPr>
        <w:t xml:space="preserve">a eficiencia portuaria es un componente esencial para muchas zonas francas, donde indicadores como la eficiencia técnica general (OTE), la eficiencia técnica pura (PTE), y la </w:t>
      </w:r>
      <w:r w:rsidR="004C2C7D">
        <w:rPr>
          <w:lang w:eastAsia="es-ES"/>
        </w:rPr>
        <w:lastRenderedPageBreak/>
        <w:t>eficiencia de escala (SE) se emplean para evalua</w:t>
      </w:r>
      <w:r>
        <w:rPr>
          <w:lang w:eastAsia="es-ES"/>
        </w:rPr>
        <w:t>r el rendimiento de los puertos, f</w:t>
      </w:r>
      <w:r w:rsidR="004C2C7D">
        <w:rPr>
          <w:lang w:eastAsia="es-ES"/>
        </w:rPr>
        <w:t>actores tales como la estructura de propiedad, el estado económico y la apertura comercial son determinantes en la efectividad de estos indicadores</w:t>
      </w:r>
      <w:r>
        <w:rPr>
          <w:lang w:eastAsia="es-ES"/>
        </w:rPr>
        <w:t xml:space="preserve"> </w:t>
      </w:r>
      <w:r w:rsidR="009377F2">
        <w:rPr>
          <w:noProof/>
          <w:lang w:val="es-ES" w:eastAsia="es-ES"/>
        </w:rPr>
        <w:t>(Liu et al, 2021)</w:t>
      </w:r>
      <w:r w:rsidR="004C2C7D">
        <w:rPr>
          <w:lang w:eastAsia="es-ES"/>
        </w:rPr>
        <w:t>. En el caso de Aguachica, aunque no es una zona portuaria, estos elementos de eficiencia pueden adaptarse para analizar la infraestructura logística y de transporte en la región. Este enfoque asegura que los factores internos relacionados con la infraestructura y eficiencia operativa se valoren en el contexto específico de Aguachica, alineándose con las mejores prácticas internacionales.</w:t>
      </w:r>
    </w:p>
    <w:p w14:paraId="66D157D6" w14:textId="2BBBDC1B" w:rsidR="006B57B2" w:rsidRDefault="00757ED1" w:rsidP="004C2C7D">
      <w:pPr>
        <w:spacing w:line="480" w:lineRule="auto"/>
        <w:rPr>
          <w:lang w:eastAsia="es-ES"/>
        </w:rPr>
      </w:pPr>
      <w:r>
        <w:rPr>
          <w:lang w:eastAsia="es-ES"/>
        </w:rPr>
        <w:t>Finalmente, e</w:t>
      </w:r>
      <w:r w:rsidR="004C2C7D">
        <w:rPr>
          <w:lang w:eastAsia="es-ES"/>
        </w:rPr>
        <w:t>l valor de ubicación en una zona franca depende de varios factores externos: desarrollo económico regional, estructura industrial, sistema de transporte, acumulación de capital y políticas institucionales</w:t>
      </w:r>
      <w:r>
        <w:rPr>
          <w:lang w:eastAsia="es-ES"/>
        </w:rPr>
        <w:t xml:space="preserve"> </w:t>
      </w:r>
      <w:r w:rsidR="009377F2">
        <w:rPr>
          <w:noProof/>
          <w:lang w:val="es-ES" w:eastAsia="es-ES"/>
        </w:rPr>
        <w:t>(Tang et al, 2022)</w:t>
      </w:r>
      <w:r w:rsidR="004C2C7D">
        <w:rPr>
          <w:lang w:eastAsia="es-ES"/>
        </w:rPr>
        <w:t>. Un ejemplo destacado es cómo estos factores han influido en zonas francas como la de Shenzhen, donde la acumulación de capital y la alta calidad del talento han sido determinantes para atraer inversiones y empresas</w:t>
      </w:r>
      <w:r>
        <w:rPr>
          <w:lang w:eastAsia="es-ES"/>
        </w:rPr>
        <w:t xml:space="preserve"> </w:t>
      </w:r>
      <w:r w:rsidR="009377F2">
        <w:rPr>
          <w:noProof/>
          <w:lang w:val="es-ES" w:eastAsia="es-ES"/>
        </w:rPr>
        <w:t>(Tang et al, 2022)</w:t>
      </w:r>
      <w:r w:rsidR="004C2C7D">
        <w:rPr>
          <w:lang w:eastAsia="es-ES"/>
        </w:rPr>
        <w:t>. En Aguachica, estos mismos factores pueden analizarse para comprender cómo la ubicación estratégica y el entorno económico pueden maximizar su potencial de éxito. La incorporación de estos factores externos en la matriz EFE permite valorar de manera precisa cómo el contexto local y regional puede facilitar o limitar el crecimiento de la zona franca</w:t>
      </w:r>
      <w:r w:rsidR="00E34B6A">
        <w:rPr>
          <w:lang w:eastAsia="es-ES"/>
        </w:rPr>
        <w:t>.</w:t>
      </w:r>
    </w:p>
    <w:p w14:paraId="63B00BEE" w14:textId="4DB89E8F" w:rsidR="00AD25E0" w:rsidRPr="00AD25E0" w:rsidRDefault="00AD25E0" w:rsidP="00AD25E0">
      <w:pPr>
        <w:pStyle w:val="Descripcin"/>
        <w:spacing w:after="0"/>
        <w:rPr>
          <w:b/>
          <w:bCs/>
          <w:i w:val="0"/>
          <w:iCs w:val="0"/>
          <w:color w:val="auto"/>
          <w:sz w:val="24"/>
          <w:szCs w:val="22"/>
          <w:lang w:eastAsia="es-ES"/>
        </w:rPr>
      </w:pPr>
      <w:bookmarkStart w:id="111" w:name="_Toc178689024"/>
      <w:bookmarkStart w:id="112" w:name="_Toc183783097"/>
      <w:r w:rsidRPr="00AD25E0">
        <w:rPr>
          <w:b/>
          <w:bCs/>
          <w:i w:val="0"/>
          <w:iCs w:val="0"/>
          <w:color w:val="auto"/>
          <w:sz w:val="24"/>
          <w:szCs w:val="22"/>
          <w:lang w:eastAsia="es-ES"/>
        </w:rPr>
        <w:t xml:space="preserve">Tabla </w:t>
      </w:r>
      <w:r w:rsidRPr="00AD25E0">
        <w:rPr>
          <w:b/>
          <w:bCs/>
          <w:i w:val="0"/>
          <w:iCs w:val="0"/>
          <w:color w:val="auto"/>
          <w:sz w:val="24"/>
          <w:szCs w:val="22"/>
          <w:lang w:eastAsia="es-ES"/>
        </w:rPr>
        <w:fldChar w:fldCharType="begin"/>
      </w:r>
      <w:r w:rsidRPr="00AD25E0">
        <w:rPr>
          <w:b/>
          <w:bCs/>
          <w:i w:val="0"/>
          <w:iCs w:val="0"/>
          <w:color w:val="auto"/>
          <w:sz w:val="24"/>
          <w:szCs w:val="22"/>
          <w:lang w:eastAsia="es-ES"/>
        </w:rPr>
        <w:instrText xml:space="preserve"> SEQ Tabla \* ARABIC </w:instrText>
      </w:r>
      <w:r w:rsidRPr="00AD25E0">
        <w:rPr>
          <w:b/>
          <w:bCs/>
          <w:i w:val="0"/>
          <w:iCs w:val="0"/>
          <w:color w:val="auto"/>
          <w:sz w:val="24"/>
          <w:szCs w:val="22"/>
          <w:lang w:eastAsia="es-ES"/>
        </w:rPr>
        <w:fldChar w:fldCharType="separate"/>
      </w:r>
      <w:r w:rsidR="00901E21">
        <w:rPr>
          <w:b/>
          <w:bCs/>
          <w:i w:val="0"/>
          <w:iCs w:val="0"/>
          <w:noProof/>
          <w:color w:val="auto"/>
          <w:sz w:val="24"/>
          <w:szCs w:val="22"/>
          <w:lang w:eastAsia="es-ES"/>
        </w:rPr>
        <w:t>12</w:t>
      </w:r>
      <w:r w:rsidRPr="00AD25E0">
        <w:rPr>
          <w:b/>
          <w:bCs/>
          <w:i w:val="0"/>
          <w:iCs w:val="0"/>
          <w:color w:val="auto"/>
          <w:sz w:val="24"/>
          <w:szCs w:val="22"/>
          <w:lang w:eastAsia="es-ES"/>
        </w:rPr>
        <w:fldChar w:fldCharType="end"/>
      </w:r>
      <w:r w:rsidRPr="00AD25E0">
        <w:rPr>
          <w:b/>
          <w:bCs/>
          <w:i w:val="0"/>
          <w:iCs w:val="0"/>
          <w:color w:val="auto"/>
          <w:sz w:val="24"/>
          <w:szCs w:val="22"/>
          <w:lang w:eastAsia="es-ES"/>
        </w:rPr>
        <w:t>:</w:t>
      </w:r>
      <w:bookmarkEnd w:id="111"/>
      <w:bookmarkEnd w:id="112"/>
      <w:r w:rsidRPr="00AD25E0">
        <w:rPr>
          <w:b/>
          <w:bCs/>
          <w:i w:val="0"/>
          <w:iCs w:val="0"/>
          <w:color w:val="auto"/>
          <w:sz w:val="24"/>
          <w:szCs w:val="22"/>
          <w:lang w:eastAsia="es-ES"/>
        </w:rPr>
        <w:t xml:space="preserve"> </w:t>
      </w:r>
    </w:p>
    <w:p w14:paraId="6011C726" w14:textId="54EE8905" w:rsidR="0067572C" w:rsidRPr="006C3145" w:rsidRDefault="00AD25E0" w:rsidP="00AD25E0">
      <w:pPr>
        <w:pStyle w:val="Descripcin"/>
        <w:spacing w:after="0"/>
        <w:rPr>
          <w:i w:val="0"/>
          <w:iCs w:val="0"/>
          <w:color w:val="auto"/>
          <w:sz w:val="24"/>
          <w:szCs w:val="22"/>
          <w:lang w:eastAsia="es-ES"/>
        </w:rPr>
      </w:pPr>
      <w:bookmarkStart w:id="113" w:name="_Toc178689025"/>
      <w:bookmarkStart w:id="114" w:name="_Toc183783098"/>
      <w:r w:rsidRPr="006C3145">
        <w:rPr>
          <w:i w:val="0"/>
          <w:iCs w:val="0"/>
          <w:color w:val="auto"/>
          <w:sz w:val="24"/>
          <w:szCs w:val="22"/>
          <w:lang w:eastAsia="es-ES"/>
        </w:rPr>
        <w:t>Evaluación de las condiciones de mercado para la creación de una Zona Franca.</w:t>
      </w:r>
      <w:bookmarkEnd w:id="113"/>
      <w:bookmarkEnd w:id="114"/>
    </w:p>
    <w:p w14:paraId="5E0B7668" w14:textId="77777777" w:rsidR="00AD25E0" w:rsidRPr="00AD25E0" w:rsidRDefault="00AD25E0" w:rsidP="00AD25E0">
      <w:pPr>
        <w:rPr>
          <w:lang w:eastAsia="es-ES"/>
        </w:rPr>
      </w:pPr>
    </w:p>
    <w:tbl>
      <w:tblPr>
        <w:tblW w:w="890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260"/>
        <w:gridCol w:w="6640"/>
      </w:tblGrid>
      <w:tr w:rsidR="0067572C" w:rsidRPr="00AD25E0" w14:paraId="30BF1CD6" w14:textId="77777777" w:rsidTr="00AD25E0">
        <w:trPr>
          <w:trHeight w:val="300"/>
          <w:jc w:val="center"/>
        </w:trPr>
        <w:tc>
          <w:tcPr>
            <w:tcW w:w="2260" w:type="dxa"/>
            <w:tcBorders>
              <w:top w:val="single" w:sz="4" w:space="0" w:color="auto"/>
              <w:bottom w:val="single" w:sz="4" w:space="0" w:color="auto"/>
            </w:tcBorders>
            <w:shd w:val="clear" w:color="auto" w:fill="auto"/>
            <w:vAlign w:val="center"/>
            <w:hideMark/>
          </w:tcPr>
          <w:p w14:paraId="3F02B8CC" w14:textId="77777777" w:rsidR="0067572C" w:rsidRPr="00AD25E0" w:rsidRDefault="0067572C" w:rsidP="0015136C">
            <w:pPr>
              <w:spacing w:after="0" w:line="480" w:lineRule="auto"/>
              <w:ind w:firstLine="0"/>
              <w:jc w:val="center"/>
              <w:rPr>
                <w:rFonts w:eastAsia="Times New Roman" w:cs="Times New Roman"/>
                <w:b/>
                <w:bCs/>
                <w:color w:val="000000"/>
                <w:kern w:val="0"/>
                <w:sz w:val="22"/>
                <w:lang w:eastAsia="es-CO"/>
                <w14:ligatures w14:val="none"/>
              </w:rPr>
            </w:pPr>
            <w:r w:rsidRPr="00AD25E0">
              <w:rPr>
                <w:rFonts w:eastAsia="Times New Roman" w:cs="Times New Roman"/>
                <w:b/>
                <w:bCs/>
                <w:color w:val="000000"/>
                <w:kern w:val="0"/>
                <w:sz w:val="22"/>
                <w:lang w:eastAsia="es-CO"/>
                <w14:ligatures w14:val="none"/>
              </w:rPr>
              <w:t>Puntaje</w:t>
            </w:r>
          </w:p>
        </w:tc>
        <w:tc>
          <w:tcPr>
            <w:tcW w:w="6640" w:type="dxa"/>
            <w:tcBorders>
              <w:top w:val="single" w:sz="4" w:space="0" w:color="auto"/>
              <w:bottom w:val="single" w:sz="4" w:space="0" w:color="auto"/>
            </w:tcBorders>
            <w:shd w:val="clear" w:color="auto" w:fill="auto"/>
            <w:vAlign w:val="center"/>
            <w:hideMark/>
          </w:tcPr>
          <w:p w14:paraId="667850C2" w14:textId="77777777" w:rsidR="0067572C" w:rsidRPr="00AD25E0" w:rsidRDefault="0067572C" w:rsidP="0015136C">
            <w:pPr>
              <w:spacing w:after="0" w:line="480" w:lineRule="auto"/>
              <w:ind w:firstLine="0"/>
              <w:jc w:val="center"/>
              <w:rPr>
                <w:rFonts w:eastAsia="Times New Roman" w:cs="Times New Roman"/>
                <w:b/>
                <w:bCs/>
                <w:color w:val="000000"/>
                <w:kern w:val="0"/>
                <w:sz w:val="22"/>
                <w:lang w:eastAsia="es-CO"/>
                <w14:ligatures w14:val="none"/>
              </w:rPr>
            </w:pPr>
            <w:r w:rsidRPr="00AD25E0">
              <w:rPr>
                <w:rFonts w:eastAsia="Times New Roman" w:cs="Times New Roman"/>
                <w:b/>
                <w:bCs/>
                <w:color w:val="000000"/>
                <w:kern w:val="0"/>
                <w:sz w:val="22"/>
                <w:lang w:eastAsia="es-CO"/>
                <w14:ligatures w14:val="none"/>
              </w:rPr>
              <w:t>Descripción Cualitativa</w:t>
            </w:r>
          </w:p>
        </w:tc>
      </w:tr>
      <w:tr w:rsidR="0067572C" w:rsidRPr="00AD25E0" w14:paraId="592A692E" w14:textId="77777777" w:rsidTr="00AD25E0">
        <w:trPr>
          <w:trHeight w:val="900"/>
          <w:jc w:val="center"/>
        </w:trPr>
        <w:tc>
          <w:tcPr>
            <w:tcW w:w="2260" w:type="dxa"/>
            <w:tcBorders>
              <w:top w:val="single" w:sz="4" w:space="0" w:color="auto"/>
            </w:tcBorders>
            <w:shd w:val="clear" w:color="auto" w:fill="auto"/>
            <w:vAlign w:val="center"/>
            <w:hideMark/>
          </w:tcPr>
          <w:p w14:paraId="2EC208F9" w14:textId="77777777" w:rsidR="0067572C" w:rsidRPr="00AD25E0" w:rsidRDefault="0067572C" w:rsidP="0015136C">
            <w:pPr>
              <w:spacing w:after="0" w:line="480" w:lineRule="auto"/>
              <w:ind w:firstLine="0"/>
              <w:rPr>
                <w:rFonts w:eastAsia="Times New Roman" w:cs="Times New Roman"/>
                <w:b/>
                <w:bCs/>
                <w:color w:val="000000"/>
                <w:kern w:val="0"/>
                <w:sz w:val="22"/>
                <w:lang w:eastAsia="es-CO"/>
                <w14:ligatures w14:val="none"/>
              </w:rPr>
            </w:pPr>
            <w:r w:rsidRPr="00AD25E0">
              <w:rPr>
                <w:rFonts w:eastAsia="Times New Roman" w:cs="Times New Roman"/>
                <w:b/>
                <w:bCs/>
                <w:color w:val="000000"/>
                <w:kern w:val="0"/>
                <w:sz w:val="22"/>
                <w:lang w:eastAsia="es-CO"/>
                <w14:ligatures w14:val="none"/>
              </w:rPr>
              <w:t>1 (Muy Baja)</w:t>
            </w:r>
          </w:p>
        </w:tc>
        <w:tc>
          <w:tcPr>
            <w:tcW w:w="6640" w:type="dxa"/>
            <w:tcBorders>
              <w:top w:val="single" w:sz="4" w:space="0" w:color="auto"/>
            </w:tcBorders>
            <w:shd w:val="clear" w:color="auto" w:fill="auto"/>
            <w:vAlign w:val="center"/>
            <w:hideMark/>
          </w:tcPr>
          <w:p w14:paraId="64DEFA04" w14:textId="77777777" w:rsidR="0067572C" w:rsidRPr="00AD25E0" w:rsidRDefault="0067572C" w:rsidP="0015136C">
            <w:pPr>
              <w:spacing w:after="0" w:line="480" w:lineRule="auto"/>
              <w:ind w:firstLine="0"/>
              <w:rPr>
                <w:rFonts w:eastAsia="Times New Roman" w:cs="Times New Roman"/>
                <w:color w:val="000000"/>
                <w:kern w:val="0"/>
                <w:sz w:val="22"/>
                <w:lang w:eastAsia="es-CO"/>
                <w14:ligatures w14:val="none"/>
              </w:rPr>
            </w:pPr>
            <w:r w:rsidRPr="00AD25E0">
              <w:rPr>
                <w:rFonts w:eastAsia="Times New Roman" w:cs="Times New Roman"/>
                <w:color w:val="000000"/>
                <w:kern w:val="0"/>
                <w:sz w:val="22"/>
                <w:lang w:eastAsia="es-CO"/>
                <w14:ligatures w14:val="none"/>
              </w:rPr>
              <w:t>La viabilidad es prácticamente nula. Existen serios problemas estructurales, de infraestructura y legales. No hay condiciones favorables para establecer una zona franca.</w:t>
            </w:r>
          </w:p>
        </w:tc>
      </w:tr>
      <w:tr w:rsidR="0067572C" w:rsidRPr="00AD25E0" w14:paraId="66BE3F30" w14:textId="77777777" w:rsidTr="00AD25E0">
        <w:trPr>
          <w:trHeight w:val="1200"/>
          <w:jc w:val="center"/>
        </w:trPr>
        <w:tc>
          <w:tcPr>
            <w:tcW w:w="2260" w:type="dxa"/>
            <w:shd w:val="clear" w:color="auto" w:fill="auto"/>
            <w:vAlign w:val="center"/>
            <w:hideMark/>
          </w:tcPr>
          <w:p w14:paraId="4B1201F8" w14:textId="77777777" w:rsidR="0067572C" w:rsidRPr="00AD25E0" w:rsidRDefault="0067572C" w:rsidP="0015136C">
            <w:pPr>
              <w:spacing w:after="0" w:line="480" w:lineRule="auto"/>
              <w:ind w:firstLine="0"/>
              <w:rPr>
                <w:rFonts w:eastAsia="Times New Roman" w:cs="Times New Roman"/>
                <w:b/>
                <w:bCs/>
                <w:color w:val="000000"/>
                <w:kern w:val="0"/>
                <w:sz w:val="22"/>
                <w:lang w:eastAsia="es-CO"/>
                <w14:ligatures w14:val="none"/>
              </w:rPr>
            </w:pPr>
            <w:r w:rsidRPr="00AD25E0">
              <w:rPr>
                <w:rFonts w:eastAsia="Times New Roman" w:cs="Times New Roman"/>
                <w:b/>
                <w:bCs/>
                <w:color w:val="000000"/>
                <w:kern w:val="0"/>
                <w:sz w:val="22"/>
                <w:lang w:eastAsia="es-CO"/>
                <w14:ligatures w14:val="none"/>
              </w:rPr>
              <w:lastRenderedPageBreak/>
              <w:t>2 (Baja)</w:t>
            </w:r>
          </w:p>
        </w:tc>
        <w:tc>
          <w:tcPr>
            <w:tcW w:w="6640" w:type="dxa"/>
            <w:shd w:val="clear" w:color="auto" w:fill="auto"/>
            <w:vAlign w:val="center"/>
            <w:hideMark/>
          </w:tcPr>
          <w:p w14:paraId="0CE27564" w14:textId="77777777" w:rsidR="0067572C" w:rsidRPr="00AD25E0" w:rsidRDefault="0067572C" w:rsidP="0015136C">
            <w:pPr>
              <w:spacing w:after="0" w:line="480" w:lineRule="auto"/>
              <w:ind w:firstLine="0"/>
              <w:rPr>
                <w:rFonts w:eastAsia="Times New Roman" w:cs="Times New Roman"/>
                <w:color w:val="000000"/>
                <w:kern w:val="0"/>
                <w:sz w:val="22"/>
                <w:lang w:eastAsia="es-CO"/>
                <w14:ligatures w14:val="none"/>
              </w:rPr>
            </w:pPr>
            <w:r w:rsidRPr="00AD25E0">
              <w:rPr>
                <w:rFonts w:eastAsia="Times New Roman" w:cs="Times New Roman"/>
                <w:color w:val="000000"/>
                <w:kern w:val="0"/>
                <w:sz w:val="22"/>
                <w:lang w:eastAsia="es-CO"/>
                <w14:ligatures w14:val="none"/>
              </w:rPr>
              <w:t>La viabilidad es débil. Aunque hay algunos recursos disponibles, los obstáculos en infraestructura, capital humano y entorno regulatorio son significativos. Se requerirían cambios sustanciales para hacer viable el proyecto.</w:t>
            </w:r>
          </w:p>
        </w:tc>
      </w:tr>
      <w:tr w:rsidR="0067572C" w:rsidRPr="00AD25E0" w14:paraId="490B468E" w14:textId="77777777" w:rsidTr="00AD25E0">
        <w:trPr>
          <w:trHeight w:val="1200"/>
          <w:jc w:val="center"/>
        </w:trPr>
        <w:tc>
          <w:tcPr>
            <w:tcW w:w="2260" w:type="dxa"/>
            <w:shd w:val="clear" w:color="auto" w:fill="auto"/>
            <w:vAlign w:val="center"/>
            <w:hideMark/>
          </w:tcPr>
          <w:p w14:paraId="2B8B07AE" w14:textId="77777777" w:rsidR="0067572C" w:rsidRPr="00AD25E0" w:rsidRDefault="0067572C" w:rsidP="0015136C">
            <w:pPr>
              <w:spacing w:after="0" w:line="480" w:lineRule="auto"/>
              <w:ind w:firstLine="0"/>
              <w:rPr>
                <w:rFonts w:eastAsia="Times New Roman" w:cs="Times New Roman"/>
                <w:b/>
                <w:bCs/>
                <w:color w:val="000000"/>
                <w:kern w:val="0"/>
                <w:sz w:val="22"/>
                <w:lang w:eastAsia="es-CO"/>
                <w14:ligatures w14:val="none"/>
              </w:rPr>
            </w:pPr>
            <w:r w:rsidRPr="00AD25E0">
              <w:rPr>
                <w:rFonts w:eastAsia="Times New Roman" w:cs="Times New Roman"/>
                <w:b/>
                <w:bCs/>
                <w:color w:val="000000"/>
                <w:kern w:val="0"/>
                <w:sz w:val="22"/>
                <w:lang w:eastAsia="es-CO"/>
                <w14:ligatures w14:val="none"/>
              </w:rPr>
              <w:t>3 (Moderada)</w:t>
            </w:r>
          </w:p>
        </w:tc>
        <w:tc>
          <w:tcPr>
            <w:tcW w:w="6640" w:type="dxa"/>
            <w:shd w:val="clear" w:color="auto" w:fill="auto"/>
            <w:vAlign w:val="center"/>
            <w:hideMark/>
          </w:tcPr>
          <w:p w14:paraId="0FB25FA0" w14:textId="77777777" w:rsidR="0067572C" w:rsidRPr="00AD25E0" w:rsidRDefault="0067572C" w:rsidP="0015136C">
            <w:pPr>
              <w:spacing w:after="0" w:line="480" w:lineRule="auto"/>
              <w:ind w:firstLine="0"/>
              <w:rPr>
                <w:rFonts w:eastAsia="Times New Roman" w:cs="Times New Roman"/>
                <w:color w:val="000000"/>
                <w:kern w:val="0"/>
                <w:sz w:val="22"/>
                <w:lang w:eastAsia="es-CO"/>
                <w14:ligatures w14:val="none"/>
              </w:rPr>
            </w:pPr>
            <w:r w:rsidRPr="00AD25E0">
              <w:rPr>
                <w:rFonts w:eastAsia="Times New Roman" w:cs="Times New Roman"/>
                <w:color w:val="000000"/>
                <w:kern w:val="0"/>
                <w:sz w:val="22"/>
                <w:lang w:eastAsia="es-CO"/>
                <w14:ligatures w14:val="none"/>
              </w:rPr>
              <w:t>La viabilidad es aceptable, pero con limitaciones. Existen algunos aspectos positivos, pero también desafíos importantes en infraestructura, capital humano o entorno competitivo que deben ser abordados para mejorar la situación.</w:t>
            </w:r>
          </w:p>
        </w:tc>
      </w:tr>
      <w:tr w:rsidR="0067572C" w:rsidRPr="00AD25E0" w14:paraId="0EA34A06" w14:textId="77777777" w:rsidTr="00AD25E0">
        <w:trPr>
          <w:trHeight w:val="1200"/>
          <w:jc w:val="center"/>
        </w:trPr>
        <w:tc>
          <w:tcPr>
            <w:tcW w:w="2260" w:type="dxa"/>
            <w:shd w:val="clear" w:color="auto" w:fill="auto"/>
            <w:vAlign w:val="center"/>
            <w:hideMark/>
          </w:tcPr>
          <w:p w14:paraId="509E8FB9" w14:textId="77777777" w:rsidR="0067572C" w:rsidRPr="00AD25E0" w:rsidRDefault="0067572C" w:rsidP="0015136C">
            <w:pPr>
              <w:spacing w:after="0" w:line="480" w:lineRule="auto"/>
              <w:ind w:firstLine="0"/>
              <w:rPr>
                <w:rFonts w:eastAsia="Times New Roman" w:cs="Times New Roman"/>
                <w:b/>
                <w:bCs/>
                <w:color w:val="000000"/>
                <w:kern w:val="0"/>
                <w:sz w:val="22"/>
                <w:lang w:eastAsia="es-CO"/>
                <w14:ligatures w14:val="none"/>
              </w:rPr>
            </w:pPr>
            <w:r w:rsidRPr="00AD25E0">
              <w:rPr>
                <w:rFonts w:eastAsia="Times New Roman" w:cs="Times New Roman"/>
                <w:b/>
                <w:bCs/>
                <w:color w:val="000000"/>
                <w:kern w:val="0"/>
                <w:sz w:val="22"/>
                <w:lang w:eastAsia="es-CO"/>
                <w14:ligatures w14:val="none"/>
              </w:rPr>
              <w:t>4 (Alta)</w:t>
            </w:r>
          </w:p>
        </w:tc>
        <w:tc>
          <w:tcPr>
            <w:tcW w:w="6640" w:type="dxa"/>
            <w:shd w:val="clear" w:color="auto" w:fill="auto"/>
            <w:vAlign w:val="center"/>
            <w:hideMark/>
          </w:tcPr>
          <w:p w14:paraId="6DFC99C0" w14:textId="77777777" w:rsidR="0067572C" w:rsidRPr="00AD25E0" w:rsidRDefault="0067572C" w:rsidP="0015136C">
            <w:pPr>
              <w:spacing w:after="0" w:line="480" w:lineRule="auto"/>
              <w:ind w:firstLine="0"/>
              <w:rPr>
                <w:rFonts w:eastAsia="Times New Roman" w:cs="Times New Roman"/>
                <w:color w:val="000000"/>
                <w:kern w:val="0"/>
                <w:sz w:val="22"/>
                <w:lang w:eastAsia="es-CO"/>
                <w14:ligatures w14:val="none"/>
              </w:rPr>
            </w:pPr>
            <w:r w:rsidRPr="00AD25E0">
              <w:rPr>
                <w:rFonts w:eastAsia="Times New Roman" w:cs="Times New Roman"/>
                <w:color w:val="000000"/>
                <w:kern w:val="0"/>
                <w:sz w:val="22"/>
                <w:lang w:eastAsia="es-CO"/>
                <w14:ligatures w14:val="none"/>
              </w:rPr>
              <w:t>La viabilidad es buena. Hay condiciones favorables en términos de infraestructura, capital humano y entorno económico. Sin embargo, se deben optimizar algunos factores o abordar ciertos desafíos para garantizar el éxito del proyecto.</w:t>
            </w:r>
          </w:p>
        </w:tc>
      </w:tr>
      <w:tr w:rsidR="0067572C" w:rsidRPr="00AD25E0" w14:paraId="2A703E6F" w14:textId="77777777" w:rsidTr="00AD25E0">
        <w:trPr>
          <w:trHeight w:val="1200"/>
          <w:jc w:val="center"/>
        </w:trPr>
        <w:tc>
          <w:tcPr>
            <w:tcW w:w="2260" w:type="dxa"/>
            <w:shd w:val="clear" w:color="auto" w:fill="auto"/>
            <w:vAlign w:val="center"/>
            <w:hideMark/>
          </w:tcPr>
          <w:p w14:paraId="295B719E" w14:textId="77777777" w:rsidR="0067572C" w:rsidRPr="00AD25E0" w:rsidRDefault="0067572C" w:rsidP="0015136C">
            <w:pPr>
              <w:spacing w:after="0" w:line="480" w:lineRule="auto"/>
              <w:ind w:firstLine="0"/>
              <w:rPr>
                <w:rFonts w:eastAsia="Times New Roman" w:cs="Times New Roman"/>
                <w:b/>
                <w:bCs/>
                <w:color w:val="000000"/>
                <w:kern w:val="0"/>
                <w:sz w:val="22"/>
                <w:lang w:eastAsia="es-CO"/>
                <w14:ligatures w14:val="none"/>
              </w:rPr>
            </w:pPr>
            <w:r w:rsidRPr="00AD25E0">
              <w:rPr>
                <w:rFonts w:eastAsia="Times New Roman" w:cs="Times New Roman"/>
                <w:b/>
                <w:bCs/>
                <w:color w:val="000000"/>
                <w:kern w:val="0"/>
                <w:sz w:val="22"/>
                <w:lang w:eastAsia="es-CO"/>
                <w14:ligatures w14:val="none"/>
              </w:rPr>
              <w:t>5 (Muy Alta)</w:t>
            </w:r>
          </w:p>
        </w:tc>
        <w:tc>
          <w:tcPr>
            <w:tcW w:w="6640" w:type="dxa"/>
            <w:shd w:val="clear" w:color="auto" w:fill="auto"/>
            <w:vAlign w:val="center"/>
            <w:hideMark/>
          </w:tcPr>
          <w:p w14:paraId="34227F09" w14:textId="77777777" w:rsidR="0067572C" w:rsidRPr="00AD25E0" w:rsidRDefault="0067572C" w:rsidP="0015136C">
            <w:pPr>
              <w:spacing w:after="0" w:line="480" w:lineRule="auto"/>
              <w:ind w:firstLine="0"/>
              <w:rPr>
                <w:rFonts w:eastAsia="Times New Roman" w:cs="Times New Roman"/>
                <w:color w:val="000000"/>
                <w:kern w:val="0"/>
                <w:sz w:val="22"/>
                <w:lang w:eastAsia="es-CO"/>
                <w14:ligatures w14:val="none"/>
              </w:rPr>
            </w:pPr>
            <w:r w:rsidRPr="00AD25E0">
              <w:rPr>
                <w:rFonts w:eastAsia="Times New Roman" w:cs="Times New Roman"/>
                <w:color w:val="000000"/>
                <w:kern w:val="0"/>
                <w:sz w:val="22"/>
                <w:lang w:eastAsia="es-CO"/>
                <w14:ligatures w14:val="none"/>
              </w:rPr>
              <w:t>La viabilidad es excelente. Existen condiciones óptimas en todos los aspectos: infraestructura, recursos humanos, entorno regulatorio y económico. La zona franca tendría un alto potencial para atraer inversiones y desarrollarse con éxito.</w:t>
            </w:r>
          </w:p>
        </w:tc>
      </w:tr>
    </w:tbl>
    <w:p w14:paraId="013C077C" w14:textId="77777777" w:rsidR="0067572C" w:rsidRDefault="0067572C" w:rsidP="0015136C">
      <w:pPr>
        <w:spacing w:line="480" w:lineRule="auto"/>
        <w:rPr>
          <w:b/>
          <w:lang w:eastAsia="es-ES"/>
        </w:rPr>
      </w:pPr>
    </w:p>
    <w:p w14:paraId="3B04627E" w14:textId="085D4462" w:rsidR="00E34B6A" w:rsidRDefault="00E34B6A" w:rsidP="0015136C">
      <w:pPr>
        <w:spacing w:line="480" w:lineRule="auto"/>
        <w:rPr>
          <w:lang w:eastAsia="es-ES"/>
        </w:rPr>
      </w:pPr>
      <w:r w:rsidRPr="00E34B6A">
        <w:rPr>
          <w:lang w:eastAsia="es-ES"/>
        </w:rPr>
        <w:t xml:space="preserve">Es importante destacar que la evaluación de las condiciones de mercado para la creación de una Zona Franca en el municipio de Aguachica, Cesar, enfrenta ciertas limitaciones debido a la disponibilidad de datos cuantitativos y estadísticos. Aguachica, como una región emergente dentro del contexto nacional, cuenta con un acceso limitado a estudios específicos y actualizados que aborden de manera detallada su dinámica socioeconómica y de mercado. Los datos utilizados en esta investigación provienen exclusivamente de fuentes secundarias proporcionadas por entidades públicas, como el Departamento Administrativo Nacional de Estadística (DANE) y otras instituciones gubernamentales. Sin embargo, la ausencia de información desagregada y específica </w:t>
      </w:r>
      <w:r w:rsidRPr="00E34B6A">
        <w:rPr>
          <w:lang w:eastAsia="es-ES"/>
        </w:rPr>
        <w:lastRenderedPageBreak/>
        <w:t>del municipio dificulta la incorporación de métricas más precisas sobre variables como el tamaño del mercado laboral, la capacidad industrial instalada o el impacto ambiental. La recolección de datos primarios implicaría costos elevados que exceden las capacidades actuales de este proyecto. En este contexto, el análisis realizado en esta sección se fundamenta en los datos existentes, complementados con una aproximación cualitativa que busca interpretar las dinámicas locales y proponer estrategias adaptativas basadas en la información disponible. A pesar de estas limitaciones, se asegura que los resultados presentados proporcionan una base sólida para la toma de decisiones y para futuras investigaciones que puedan profundizar en este tema.</w:t>
      </w:r>
    </w:p>
    <w:p w14:paraId="11C7C18D" w14:textId="77777777" w:rsidR="0032719B" w:rsidRPr="00E34B6A" w:rsidRDefault="0032719B" w:rsidP="0032719B">
      <w:pPr>
        <w:rPr>
          <w:lang w:eastAsia="es-ES"/>
        </w:rPr>
      </w:pPr>
    </w:p>
    <w:p w14:paraId="4D4EB429" w14:textId="77777777" w:rsidR="00CA4797" w:rsidRDefault="00CA4797" w:rsidP="00AD25E0">
      <w:pPr>
        <w:pStyle w:val="Ttulo3"/>
      </w:pPr>
      <w:bookmarkStart w:id="115" w:name="_Toc183783057"/>
      <w:r w:rsidRPr="00AD25E0">
        <w:t>Factores Internos</w:t>
      </w:r>
      <w:bookmarkEnd w:id="115"/>
    </w:p>
    <w:p w14:paraId="70737179" w14:textId="77777777" w:rsidR="0032719B" w:rsidRPr="0032719B" w:rsidRDefault="0032719B" w:rsidP="0032719B"/>
    <w:p w14:paraId="3A02CC1A" w14:textId="7B1D99DD" w:rsidR="00550608" w:rsidRDefault="00550608" w:rsidP="00AD25E0">
      <w:pPr>
        <w:spacing w:line="480" w:lineRule="auto"/>
        <w:rPr>
          <w:lang w:eastAsia="es-ES"/>
        </w:rPr>
      </w:pPr>
      <w:r w:rsidRPr="00550608">
        <w:rPr>
          <w:lang w:eastAsia="es-ES"/>
        </w:rPr>
        <w:t>Los factores internos se consideran clave porque reflejan las condiciones locales necesarias para el éxito de la zona franca. La infraestructura de transporte y logística es fundamental para asegurar el movimiento eficiente de bienes y servicios, reduciendo costos operativos. Asimismo, contar con un capital humano capacitado permite a las empresas acceder a mano de obra calificada, lo que mejora la competitividad. Estos aspectos determinan si la zona franca podrá operar de manera efectiva y atraer inversiones. Si estas áreas no están bien desarrolladas, las limitaciones internas podrían afectar el funcionamiento del proyecto.</w:t>
      </w:r>
    </w:p>
    <w:p w14:paraId="0A7878DB" w14:textId="77777777" w:rsidR="0032719B" w:rsidRPr="00550608" w:rsidRDefault="0032719B" w:rsidP="0032719B">
      <w:pPr>
        <w:rPr>
          <w:lang w:eastAsia="es-ES"/>
        </w:rPr>
      </w:pPr>
    </w:p>
    <w:p w14:paraId="0D3E1FAC" w14:textId="2FB048DF" w:rsidR="004B7C1A" w:rsidRDefault="00CA4797" w:rsidP="00AD25E0">
      <w:pPr>
        <w:pStyle w:val="Ttulo4"/>
        <w:spacing w:line="480" w:lineRule="auto"/>
      </w:pPr>
      <w:r w:rsidRPr="008334F3">
        <w:t>Capacidad Infraestructural</w:t>
      </w:r>
    </w:p>
    <w:p w14:paraId="765A8A4C" w14:textId="77777777" w:rsidR="0032719B" w:rsidRPr="0032719B" w:rsidRDefault="0032719B" w:rsidP="0032719B"/>
    <w:p w14:paraId="6035AFFF" w14:textId="56E8C278" w:rsidR="008334F3" w:rsidRPr="00AD25E0" w:rsidRDefault="004B7C1A" w:rsidP="00AD25E0">
      <w:pPr>
        <w:pStyle w:val="Prrafodelista"/>
        <w:numPr>
          <w:ilvl w:val="0"/>
          <w:numId w:val="14"/>
        </w:numPr>
        <w:spacing w:line="480" w:lineRule="auto"/>
        <w:rPr>
          <w:rFonts w:ascii="Times New Roman" w:hAnsi="Times New Roman"/>
          <w:b/>
          <w:iCs/>
        </w:rPr>
      </w:pPr>
      <w:r w:rsidRPr="00AD25E0">
        <w:rPr>
          <w:rFonts w:ascii="Times New Roman" w:hAnsi="Times New Roman"/>
          <w:b/>
          <w:iCs/>
        </w:rPr>
        <w:t>Calidad de las Vías de Transporte:</w:t>
      </w:r>
    </w:p>
    <w:p w14:paraId="4E063A26" w14:textId="2E1243FB" w:rsidR="00703750" w:rsidRPr="00AD25E0" w:rsidRDefault="00703750" w:rsidP="0015136C">
      <w:pPr>
        <w:spacing w:line="480" w:lineRule="auto"/>
        <w:rPr>
          <w:iCs/>
          <w:lang w:eastAsia="es-ES"/>
        </w:rPr>
      </w:pPr>
      <w:r w:rsidRPr="00AD25E0">
        <w:rPr>
          <w:b/>
          <w:iCs/>
          <w:lang w:eastAsia="es-ES"/>
        </w:rPr>
        <w:t>Infraestructura Aérea</w:t>
      </w:r>
    </w:p>
    <w:p w14:paraId="5FF1B312" w14:textId="77777777" w:rsidR="00703750" w:rsidRDefault="00703750" w:rsidP="0015136C">
      <w:pPr>
        <w:spacing w:line="480" w:lineRule="auto"/>
        <w:rPr>
          <w:lang w:eastAsia="es-ES"/>
        </w:rPr>
      </w:pPr>
      <w:r>
        <w:rPr>
          <w:lang w:eastAsia="es-ES"/>
        </w:rPr>
        <w:lastRenderedPageBreak/>
        <w:t>El Aeropuerto Hacaritama cuenta con una pista de alta calidad y la aerolínea Satena opera dos rutas semanales con capacidad limitada de pasajeros.</w:t>
      </w:r>
    </w:p>
    <w:p w14:paraId="566FAFA0" w14:textId="77777777" w:rsidR="00703750" w:rsidRDefault="00703750" w:rsidP="0015136C">
      <w:pPr>
        <w:spacing w:line="480" w:lineRule="auto"/>
        <w:rPr>
          <w:lang w:eastAsia="es-ES"/>
        </w:rPr>
      </w:pPr>
      <w:r>
        <w:rPr>
          <w:lang w:eastAsia="es-ES"/>
        </w:rPr>
        <w:t>Calificación: 3/5 (Adecuada para pasajeros, pero limitada para carga industrial).</w:t>
      </w:r>
    </w:p>
    <w:p w14:paraId="534ED1D0" w14:textId="0DC6CD34" w:rsidR="00703750" w:rsidRPr="00AD25E0" w:rsidRDefault="00703750" w:rsidP="0015136C">
      <w:pPr>
        <w:spacing w:line="480" w:lineRule="auto"/>
        <w:rPr>
          <w:b/>
          <w:iCs/>
          <w:lang w:eastAsia="es-ES"/>
        </w:rPr>
      </w:pPr>
      <w:r w:rsidRPr="00AD25E0">
        <w:rPr>
          <w:b/>
          <w:iCs/>
          <w:lang w:eastAsia="es-ES"/>
        </w:rPr>
        <w:t>Infraestructura Terrestre</w:t>
      </w:r>
    </w:p>
    <w:p w14:paraId="11D400F1" w14:textId="77777777" w:rsidR="00703750" w:rsidRDefault="00703750" w:rsidP="0015136C">
      <w:pPr>
        <w:spacing w:line="480" w:lineRule="auto"/>
        <w:rPr>
          <w:lang w:eastAsia="es-ES"/>
        </w:rPr>
      </w:pPr>
      <w:r>
        <w:rPr>
          <w:lang w:eastAsia="es-ES"/>
        </w:rPr>
        <w:t>Buena conectividad con corregimientos y municipios circundantes. Operan múltiples empresas de transporte, pero se requieren mejoras para el manejo de carga pesada.</w:t>
      </w:r>
    </w:p>
    <w:p w14:paraId="0D34D201" w14:textId="6B081244" w:rsidR="00703750" w:rsidRDefault="00703750" w:rsidP="0015136C">
      <w:pPr>
        <w:spacing w:line="480" w:lineRule="auto"/>
        <w:rPr>
          <w:lang w:eastAsia="es-ES"/>
        </w:rPr>
      </w:pPr>
      <w:r>
        <w:rPr>
          <w:lang w:eastAsia="es-ES"/>
        </w:rPr>
        <w:t>Calificación: 4/5 (Buena conectividad, pero con oportunidades de mejora en capacidad de carga).</w:t>
      </w:r>
    </w:p>
    <w:p w14:paraId="2FB1BD28" w14:textId="50B26426" w:rsidR="00AD25E0" w:rsidRDefault="00AD25E0" w:rsidP="0015136C">
      <w:pPr>
        <w:spacing w:line="480" w:lineRule="auto"/>
        <w:rPr>
          <w:lang w:eastAsia="es-ES"/>
        </w:rPr>
      </w:pPr>
    </w:p>
    <w:p w14:paraId="66B8DD9E" w14:textId="77777777" w:rsidR="00AD25E0" w:rsidRDefault="00AD25E0" w:rsidP="0015136C">
      <w:pPr>
        <w:spacing w:line="480" w:lineRule="auto"/>
        <w:rPr>
          <w:lang w:eastAsia="es-ES"/>
        </w:rPr>
      </w:pPr>
    </w:p>
    <w:p w14:paraId="3E692989" w14:textId="77777777" w:rsidR="00703750" w:rsidRPr="00AD25E0" w:rsidRDefault="00703750" w:rsidP="0015136C">
      <w:pPr>
        <w:spacing w:line="480" w:lineRule="auto"/>
        <w:rPr>
          <w:b/>
          <w:iCs/>
          <w:lang w:eastAsia="es-ES"/>
        </w:rPr>
      </w:pPr>
      <w:r w:rsidRPr="00AD25E0">
        <w:rPr>
          <w:b/>
          <w:iCs/>
          <w:lang w:eastAsia="es-ES"/>
        </w:rPr>
        <w:t>Infraestructura Fluvial y Férrea</w:t>
      </w:r>
    </w:p>
    <w:p w14:paraId="2327DB60" w14:textId="77777777" w:rsidR="00703750" w:rsidRDefault="00703750" w:rsidP="0015136C">
      <w:pPr>
        <w:spacing w:line="480" w:lineRule="auto"/>
        <w:rPr>
          <w:lang w:eastAsia="es-ES"/>
        </w:rPr>
      </w:pPr>
      <w:r>
        <w:rPr>
          <w:lang w:eastAsia="es-ES"/>
        </w:rPr>
        <w:t>Gamarra, a 15 km de Aguachica, se perfila como un puerto multimodal con inversiones importantes y la recuperación de la línea férrea incrementará la competitividad logística.</w:t>
      </w:r>
    </w:p>
    <w:p w14:paraId="4B17B636" w14:textId="77777777" w:rsidR="00703750" w:rsidRDefault="00703750" w:rsidP="0015136C">
      <w:pPr>
        <w:spacing w:line="480" w:lineRule="auto"/>
        <w:rPr>
          <w:lang w:eastAsia="es-ES"/>
        </w:rPr>
      </w:pPr>
      <w:r>
        <w:rPr>
          <w:lang w:eastAsia="es-ES"/>
        </w:rPr>
        <w:t>Calificación: 5/5 (Alto potencial de desarrollo como centro logístico multimodal).</w:t>
      </w:r>
    </w:p>
    <w:p w14:paraId="67B60244" w14:textId="77777777" w:rsidR="00703750" w:rsidRPr="00AD25E0" w:rsidRDefault="00703750" w:rsidP="0015136C">
      <w:pPr>
        <w:spacing w:line="480" w:lineRule="auto"/>
        <w:rPr>
          <w:b/>
          <w:lang w:eastAsia="es-ES"/>
        </w:rPr>
      </w:pPr>
      <w:r w:rsidRPr="00AD25E0">
        <w:rPr>
          <w:b/>
          <w:lang w:eastAsia="es-ES"/>
        </w:rPr>
        <w:t>Calificación Global: 4/5</w:t>
      </w:r>
    </w:p>
    <w:p w14:paraId="40CC9E73" w14:textId="38BC3BFF" w:rsidR="00703750" w:rsidRPr="00703750" w:rsidRDefault="00703750" w:rsidP="0015136C">
      <w:pPr>
        <w:spacing w:line="480" w:lineRule="auto"/>
        <w:rPr>
          <w:lang w:eastAsia="es-ES"/>
        </w:rPr>
      </w:pPr>
      <w:r>
        <w:rPr>
          <w:lang w:eastAsia="es-ES"/>
        </w:rPr>
        <w:t xml:space="preserve">Según </w:t>
      </w:r>
      <w:r w:rsidR="00AD25E0">
        <w:rPr>
          <w:noProof/>
          <w:lang w:val="es-ES" w:eastAsia="es-ES"/>
        </w:rPr>
        <w:t>Montes (2019)</w:t>
      </w:r>
      <w:r>
        <w:rPr>
          <w:lang w:eastAsia="es-ES"/>
        </w:rPr>
        <w:t>, La infraestructura actual es favorable, y el desarrollo de una zona franca con el aprovechamiento de un del proyecto multimodal fluvial y férreo que potenciará a Aguachica como un nodo estratégico para el transporte de mercancías a nivel regional y nacional.</w:t>
      </w:r>
    </w:p>
    <w:p w14:paraId="1C656FBD" w14:textId="0B5948FD" w:rsidR="004B7C1A" w:rsidRPr="00AD25E0" w:rsidRDefault="00703750" w:rsidP="00AD25E0">
      <w:pPr>
        <w:pStyle w:val="Prrafodelista"/>
        <w:numPr>
          <w:ilvl w:val="0"/>
          <w:numId w:val="14"/>
        </w:numPr>
        <w:spacing w:line="480" w:lineRule="auto"/>
        <w:rPr>
          <w:rFonts w:ascii="Times New Roman" w:hAnsi="Times New Roman"/>
          <w:b/>
          <w:iCs/>
        </w:rPr>
      </w:pPr>
      <w:r w:rsidRPr="00AD25E0">
        <w:rPr>
          <w:rFonts w:ascii="Times New Roman" w:hAnsi="Times New Roman"/>
          <w:b/>
          <w:iCs/>
        </w:rPr>
        <w:t xml:space="preserve">Disponibilidad de Servicios Básicos: </w:t>
      </w:r>
    </w:p>
    <w:p w14:paraId="067BECC7" w14:textId="77777777" w:rsidR="00FA721B" w:rsidRPr="00AD25E0" w:rsidRDefault="00FA721B" w:rsidP="0015136C">
      <w:pPr>
        <w:spacing w:line="480" w:lineRule="auto"/>
        <w:rPr>
          <w:b/>
          <w:iCs/>
          <w:lang w:eastAsia="es-ES"/>
        </w:rPr>
      </w:pPr>
      <w:r w:rsidRPr="00AD25E0">
        <w:rPr>
          <w:b/>
          <w:iCs/>
          <w:lang w:eastAsia="es-ES"/>
        </w:rPr>
        <w:t>Cobertura de Acueducto y Alcantarillado</w:t>
      </w:r>
    </w:p>
    <w:p w14:paraId="71B4F64E" w14:textId="109462C5" w:rsidR="00FA721B" w:rsidRDefault="00FA721B" w:rsidP="0015136C">
      <w:pPr>
        <w:spacing w:line="480" w:lineRule="auto"/>
        <w:rPr>
          <w:lang w:eastAsia="es-ES"/>
        </w:rPr>
      </w:pPr>
      <w:r>
        <w:rPr>
          <w:lang w:eastAsia="es-ES"/>
        </w:rPr>
        <w:lastRenderedPageBreak/>
        <w:t xml:space="preserve">Según el </w:t>
      </w:r>
      <w:r w:rsidR="00AD25E0" w:rsidRPr="00AD25E0">
        <w:rPr>
          <w:noProof/>
          <w:lang w:val="es-ES" w:eastAsia="es-ES"/>
        </w:rPr>
        <w:t>DNP</w:t>
      </w:r>
      <w:r w:rsidR="00AD25E0">
        <w:rPr>
          <w:noProof/>
          <w:lang w:val="es-ES" w:eastAsia="es-ES"/>
        </w:rPr>
        <w:t xml:space="preserve"> (2</w:t>
      </w:r>
      <w:r w:rsidR="00AD25E0" w:rsidRPr="00AD25E0">
        <w:rPr>
          <w:noProof/>
          <w:lang w:val="es-ES" w:eastAsia="es-ES"/>
        </w:rPr>
        <w:t>024)</w:t>
      </w:r>
      <w:r>
        <w:rPr>
          <w:lang w:eastAsia="es-ES"/>
        </w:rPr>
        <w:t>, a cobertura de acueducto y alcantarillado es del 87.93%, lo cual es adecuado, pero con desafíos importantes para alcanzar una cobertura completa. Además, existe un déficit significativo en la capacidad de tratamiento de agua potable, ya que se produce menos de la mi</w:t>
      </w:r>
      <w:r w:rsidR="00BE39D6">
        <w:rPr>
          <w:lang w:eastAsia="es-ES"/>
        </w:rPr>
        <w:t>tad de lo necesario (220 l/s vs</w:t>
      </w:r>
      <w:r>
        <w:rPr>
          <w:lang w:eastAsia="es-ES"/>
        </w:rPr>
        <w:t xml:space="preserve"> 511.8 l/s de demanda) </w:t>
      </w:r>
      <w:sdt>
        <w:sdtPr>
          <w:rPr>
            <w:lang w:eastAsia="es-ES"/>
          </w:rPr>
          <w:id w:val="-1822574166"/>
          <w:citation/>
        </w:sdtPr>
        <w:sdtEndPr/>
        <w:sdtContent>
          <w:r>
            <w:rPr>
              <w:lang w:eastAsia="es-ES"/>
            </w:rPr>
            <w:fldChar w:fldCharType="begin"/>
          </w:r>
          <w:r>
            <w:rPr>
              <w:lang w:val="es-ES" w:eastAsia="es-ES"/>
            </w:rPr>
            <w:instrText xml:space="preserve"> CITATION Pra22 \l 3082 </w:instrText>
          </w:r>
          <w:r>
            <w:rPr>
              <w:lang w:eastAsia="es-ES"/>
            </w:rPr>
            <w:fldChar w:fldCharType="separate"/>
          </w:r>
          <w:r w:rsidR="00901E21" w:rsidRPr="00901E21">
            <w:rPr>
              <w:noProof/>
              <w:lang w:val="es-ES" w:eastAsia="es-ES"/>
            </w:rPr>
            <w:t>(Prado, 2022)</w:t>
          </w:r>
          <w:r>
            <w:rPr>
              <w:lang w:eastAsia="es-ES"/>
            </w:rPr>
            <w:fldChar w:fldCharType="end"/>
          </w:r>
        </w:sdtContent>
      </w:sdt>
      <w:r>
        <w:rPr>
          <w:lang w:eastAsia="es-ES"/>
        </w:rPr>
        <w:t>.</w:t>
      </w:r>
    </w:p>
    <w:p w14:paraId="465A034D" w14:textId="77777777" w:rsidR="00FA721B" w:rsidRDefault="00FA721B" w:rsidP="0015136C">
      <w:pPr>
        <w:spacing w:line="480" w:lineRule="auto"/>
        <w:rPr>
          <w:lang w:eastAsia="es-ES"/>
        </w:rPr>
      </w:pPr>
      <w:r>
        <w:rPr>
          <w:lang w:eastAsia="es-ES"/>
        </w:rPr>
        <w:t>Calificación: 2/5 (Deficiencia notable en capacidad de tratamiento y cobertura no total).</w:t>
      </w:r>
    </w:p>
    <w:p w14:paraId="7CFCAD7E" w14:textId="69DAF172" w:rsidR="00FA721B" w:rsidRPr="00AD25E0" w:rsidRDefault="00FA721B" w:rsidP="0015136C">
      <w:pPr>
        <w:spacing w:line="480" w:lineRule="auto"/>
        <w:rPr>
          <w:iCs/>
          <w:lang w:eastAsia="es-ES"/>
        </w:rPr>
      </w:pPr>
      <w:r w:rsidRPr="00AD25E0">
        <w:rPr>
          <w:b/>
          <w:iCs/>
          <w:lang w:eastAsia="es-ES"/>
        </w:rPr>
        <w:t>Cobertura de Energía Eléctrica</w:t>
      </w:r>
    </w:p>
    <w:p w14:paraId="0498BFC6" w14:textId="479D0F5C" w:rsidR="00FA721B" w:rsidRDefault="00FA721B" w:rsidP="0015136C">
      <w:pPr>
        <w:spacing w:line="480" w:lineRule="auto"/>
        <w:rPr>
          <w:lang w:eastAsia="es-ES"/>
        </w:rPr>
      </w:pPr>
      <w:r>
        <w:rPr>
          <w:lang w:eastAsia="es-ES"/>
        </w:rPr>
        <w:t xml:space="preserve">La cobertura eléctrica urbana es del 100%, mientras que en las zonas rurales es del 57.98%, mostrando una disparidad significativa entre las áreas urbanas y rurales </w:t>
      </w:r>
      <w:r w:rsidR="00AD25E0" w:rsidRPr="00AD25E0">
        <w:rPr>
          <w:noProof/>
          <w:lang w:val="es-ES" w:eastAsia="es-ES"/>
        </w:rPr>
        <w:t xml:space="preserve">DNP </w:t>
      </w:r>
      <w:r w:rsidR="00AD25E0">
        <w:rPr>
          <w:noProof/>
          <w:lang w:val="es-ES" w:eastAsia="es-ES"/>
        </w:rPr>
        <w:t>(</w:t>
      </w:r>
      <w:r w:rsidR="00AD25E0" w:rsidRPr="00AD25E0">
        <w:rPr>
          <w:noProof/>
          <w:lang w:val="es-ES" w:eastAsia="es-ES"/>
        </w:rPr>
        <w:t>2024)</w:t>
      </w:r>
      <w:r>
        <w:rPr>
          <w:lang w:eastAsia="es-ES"/>
        </w:rPr>
        <w:t>.</w:t>
      </w:r>
    </w:p>
    <w:p w14:paraId="7301D24A" w14:textId="6F632685" w:rsidR="00FA721B" w:rsidRDefault="00FA721B" w:rsidP="0015136C">
      <w:pPr>
        <w:spacing w:line="480" w:lineRule="auto"/>
        <w:rPr>
          <w:lang w:eastAsia="es-ES"/>
        </w:rPr>
      </w:pPr>
      <w:r>
        <w:rPr>
          <w:lang w:eastAsia="es-ES"/>
        </w:rPr>
        <w:t>Calificación: 3/5 (Cobertura completa en la zona urbana, pero limitada en la zona rural).</w:t>
      </w:r>
    </w:p>
    <w:p w14:paraId="356CDEC8" w14:textId="77777777" w:rsidR="00AD25E0" w:rsidRDefault="00AD25E0" w:rsidP="0015136C">
      <w:pPr>
        <w:spacing w:line="480" w:lineRule="auto"/>
        <w:rPr>
          <w:lang w:eastAsia="es-ES"/>
        </w:rPr>
      </w:pPr>
    </w:p>
    <w:p w14:paraId="54A4A980" w14:textId="0F6D9548" w:rsidR="00FA721B" w:rsidRPr="00AD25E0" w:rsidRDefault="00FA721B" w:rsidP="0015136C">
      <w:pPr>
        <w:spacing w:line="480" w:lineRule="auto"/>
        <w:rPr>
          <w:iCs/>
          <w:lang w:eastAsia="es-ES"/>
        </w:rPr>
      </w:pPr>
      <w:r w:rsidRPr="00AD25E0">
        <w:rPr>
          <w:b/>
          <w:iCs/>
          <w:lang w:eastAsia="es-ES"/>
        </w:rPr>
        <w:t>Acceso a Internet</w:t>
      </w:r>
    </w:p>
    <w:p w14:paraId="4C07725C" w14:textId="583C08AF" w:rsidR="00FA721B" w:rsidRDefault="00FA721B" w:rsidP="0015136C">
      <w:pPr>
        <w:spacing w:line="480" w:lineRule="auto"/>
        <w:rPr>
          <w:lang w:eastAsia="es-ES"/>
        </w:rPr>
      </w:pPr>
      <w:r>
        <w:rPr>
          <w:lang w:eastAsia="es-ES"/>
        </w:rPr>
        <w:t xml:space="preserve">La penetración de banda ancha es solo del 8.44%, indicando una baja disponibilidad de conectividad digital y un gran potencial de mejora para atraer inversión </w:t>
      </w:r>
      <w:r w:rsidR="00AD25E0" w:rsidRPr="00AD25E0">
        <w:rPr>
          <w:noProof/>
          <w:lang w:val="es-ES" w:eastAsia="es-ES"/>
        </w:rPr>
        <w:t xml:space="preserve">DNP </w:t>
      </w:r>
      <w:r w:rsidR="00AD25E0">
        <w:rPr>
          <w:noProof/>
          <w:lang w:val="es-ES" w:eastAsia="es-ES"/>
        </w:rPr>
        <w:t>(</w:t>
      </w:r>
      <w:r w:rsidR="00AD25E0" w:rsidRPr="00AD25E0">
        <w:rPr>
          <w:noProof/>
          <w:lang w:val="es-ES" w:eastAsia="es-ES"/>
        </w:rPr>
        <w:t>2024)</w:t>
      </w:r>
      <w:r>
        <w:rPr>
          <w:lang w:eastAsia="es-ES"/>
        </w:rPr>
        <w:t>.</w:t>
      </w:r>
    </w:p>
    <w:p w14:paraId="54BB0B9D" w14:textId="77777777" w:rsidR="00FA721B" w:rsidRDefault="00FA721B" w:rsidP="0015136C">
      <w:pPr>
        <w:spacing w:line="480" w:lineRule="auto"/>
        <w:rPr>
          <w:lang w:eastAsia="es-ES"/>
        </w:rPr>
      </w:pPr>
      <w:r>
        <w:rPr>
          <w:lang w:eastAsia="es-ES"/>
        </w:rPr>
        <w:t>Calificación: 1/5 (Acceso limitado que puede afectar la competitividad y el desarrollo).</w:t>
      </w:r>
    </w:p>
    <w:p w14:paraId="26B957DC" w14:textId="77777777" w:rsidR="00FA721B" w:rsidRPr="00FA721B" w:rsidRDefault="00FA721B" w:rsidP="0015136C">
      <w:pPr>
        <w:spacing w:line="480" w:lineRule="auto"/>
        <w:rPr>
          <w:b/>
          <w:lang w:eastAsia="es-ES"/>
        </w:rPr>
      </w:pPr>
      <w:r w:rsidRPr="00FA721B">
        <w:rPr>
          <w:b/>
          <w:lang w:eastAsia="es-ES"/>
        </w:rPr>
        <w:t>Calificación Global: 2/5</w:t>
      </w:r>
    </w:p>
    <w:p w14:paraId="04F94E67" w14:textId="1226109F" w:rsidR="003B6595" w:rsidRDefault="00FA721B" w:rsidP="00AD25E0">
      <w:pPr>
        <w:spacing w:line="480" w:lineRule="auto"/>
        <w:rPr>
          <w:lang w:eastAsia="es-ES"/>
        </w:rPr>
      </w:pPr>
      <w:r>
        <w:rPr>
          <w:lang w:eastAsia="es-ES"/>
        </w:rPr>
        <w:t>Aunque la cobertura de servicios básicos como el acueducto y la electricidad urbana es aceptable, las deficiencias en el tratamiento de agua potable, la limitada cobertura eléctrica rural y la baja penetración de internet limitan la viabilidad de Aguachica como una zona franca atractiva sin mejoras significativas en infraestructura básica.</w:t>
      </w:r>
    </w:p>
    <w:p w14:paraId="22498D4D" w14:textId="48DA5CA9" w:rsidR="004B7C1A" w:rsidRPr="00AD25E0" w:rsidRDefault="00CA4797" w:rsidP="00AD25E0">
      <w:pPr>
        <w:pStyle w:val="Prrafodelista"/>
        <w:numPr>
          <w:ilvl w:val="0"/>
          <w:numId w:val="14"/>
        </w:numPr>
        <w:spacing w:line="480" w:lineRule="auto"/>
        <w:rPr>
          <w:rFonts w:ascii="Times New Roman" w:hAnsi="Times New Roman"/>
          <w:b/>
          <w:iCs/>
        </w:rPr>
      </w:pPr>
      <w:r w:rsidRPr="00AD25E0">
        <w:rPr>
          <w:rFonts w:ascii="Times New Roman" w:hAnsi="Times New Roman"/>
          <w:b/>
          <w:iCs/>
        </w:rPr>
        <w:t xml:space="preserve">Capacidad Logística: </w:t>
      </w:r>
    </w:p>
    <w:p w14:paraId="31C38FA4" w14:textId="77777777" w:rsidR="008334F3" w:rsidRPr="00AD25E0" w:rsidRDefault="008334F3" w:rsidP="0015136C">
      <w:pPr>
        <w:spacing w:line="480" w:lineRule="auto"/>
        <w:rPr>
          <w:b/>
          <w:iCs/>
        </w:rPr>
      </w:pPr>
      <w:r w:rsidRPr="00AD25E0">
        <w:rPr>
          <w:b/>
          <w:iCs/>
        </w:rPr>
        <w:lastRenderedPageBreak/>
        <w:t>Infraestructura Local</w:t>
      </w:r>
    </w:p>
    <w:p w14:paraId="2AB6D266" w14:textId="77777777" w:rsidR="008334F3" w:rsidRDefault="008334F3" w:rsidP="0015136C">
      <w:pPr>
        <w:spacing w:line="480" w:lineRule="auto"/>
      </w:pPr>
      <w:r>
        <w:t>Centro de Distribución Nutresa NX1 y el Terminal de Transporte de Aguachica se encuentran dentro del municipio, facilitando la distribución de productos y el tránsito de mercancías tanto a nivel local como hacia otras regiones del país.</w:t>
      </w:r>
    </w:p>
    <w:p w14:paraId="42B24EFF" w14:textId="3D4EF111" w:rsidR="008334F3" w:rsidRDefault="008334F3" w:rsidP="0015136C">
      <w:pPr>
        <w:spacing w:line="480" w:lineRule="auto"/>
      </w:pPr>
      <w:r>
        <w:t>Calificación: 3/5 (Buena infraestructura local de distribución, con instalaciones con muchas opciones de mejoras).</w:t>
      </w:r>
    </w:p>
    <w:p w14:paraId="466D134D" w14:textId="7FB17098" w:rsidR="008334F3" w:rsidRPr="00AD25E0" w:rsidRDefault="008334F3" w:rsidP="0015136C">
      <w:pPr>
        <w:spacing w:line="480" w:lineRule="auto"/>
        <w:rPr>
          <w:iCs/>
        </w:rPr>
      </w:pPr>
      <w:r w:rsidRPr="00AD25E0">
        <w:rPr>
          <w:b/>
          <w:iCs/>
        </w:rPr>
        <w:t>Conectividad Regional</w:t>
      </w:r>
    </w:p>
    <w:p w14:paraId="618A432B" w14:textId="77777777" w:rsidR="008334F3" w:rsidRDefault="008334F3" w:rsidP="0015136C">
      <w:pPr>
        <w:spacing w:line="480" w:lineRule="auto"/>
      </w:pPr>
      <w:r>
        <w:t>Aguachica se encuentra estratégicamente cerca del Centro Logístico Intermodal de Bosconia y tiene acceso a operadores logísticos en Bucaramanga, que se encuentran a aproximadamente 162.9 km de distancia.</w:t>
      </w:r>
    </w:p>
    <w:p w14:paraId="103FAC6E" w14:textId="77777777" w:rsidR="008334F3" w:rsidRDefault="008334F3" w:rsidP="0015136C">
      <w:pPr>
        <w:spacing w:line="480" w:lineRule="auto"/>
      </w:pPr>
      <w:r>
        <w:t>Calificación: 3/5 (Conectividad adecuada con infraestructuras fuera del municipio, pero a cierta distancia).</w:t>
      </w:r>
    </w:p>
    <w:p w14:paraId="615B3CFB" w14:textId="1882FF61" w:rsidR="008334F3" w:rsidRPr="00AD25E0" w:rsidRDefault="008334F3" w:rsidP="0015136C">
      <w:pPr>
        <w:spacing w:line="480" w:lineRule="auto"/>
        <w:rPr>
          <w:iCs/>
        </w:rPr>
      </w:pPr>
      <w:r w:rsidRPr="00AD25E0">
        <w:rPr>
          <w:b/>
          <w:iCs/>
        </w:rPr>
        <w:t>Disponibilidad de Centros Logísticos Externos</w:t>
      </w:r>
    </w:p>
    <w:p w14:paraId="043F4307" w14:textId="77777777" w:rsidR="008334F3" w:rsidRDefault="008334F3" w:rsidP="0015136C">
      <w:pPr>
        <w:spacing w:line="480" w:lineRule="auto"/>
      </w:pPr>
      <w:r>
        <w:t>Existen importantes centros logísticos cercanos como el Centro Industrial y Logístico San Jorge en Girón (Santander), lo que ofrece opciones para almacenamiento y distribución a nivel nacional e internacional.</w:t>
      </w:r>
    </w:p>
    <w:p w14:paraId="09FB0EDB" w14:textId="77777777" w:rsidR="008334F3" w:rsidRDefault="008334F3" w:rsidP="0015136C">
      <w:pPr>
        <w:spacing w:line="480" w:lineRule="auto"/>
      </w:pPr>
      <w:r>
        <w:t>Calificación: 3/5 (Presencia de centros logísticos externos con impacto positivo, pero fuera del alcance directo de Aguachica).</w:t>
      </w:r>
    </w:p>
    <w:p w14:paraId="7F759A95" w14:textId="5E03CEFA" w:rsidR="008334F3" w:rsidRPr="008334F3" w:rsidRDefault="008334F3" w:rsidP="0015136C">
      <w:pPr>
        <w:spacing w:line="480" w:lineRule="auto"/>
        <w:rPr>
          <w:b/>
        </w:rPr>
      </w:pPr>
      <w:r w:rsidRPr="008334F3">
        <w:rPr>
          <w:b/>
        </w:rPr>
        <w:t>Calificación Global: 3/5</w:t>
      </w:r>
    </w:p>
    <w:p w14:paraId="403A2809" w14:textId="12819C66" w:rsidR="008334F3" w:rsidRDefault="008334F3" w:rsidP="0015136C">
      <w:pPr>
        <w:spacing w:line="480" w:lineRule="auto"/>
      </w:pPr>
      <w:r>
        <w:t xml:space="preserve">Aguachica cuenta con una capacidad logística moderada a nivel local con centros de distribución y terminales que facilitan el movimiento de mercancías. Sin embargo, para ser un </w:t>
      </w:r>
      <w:r>
        <w:lastRenderedPageBreak/>
        <w:t>centro logístico más competitivo, sería ideal fortalecer las conexiones con los centros logísticos externos más cercanos y mejorar la infraestructura multimodal para aprovechar las ventajas regionales.</w:t>
      </w:r>
    </w:p>
    <w:p w14:paraId="0792D07F" w14:textId="3B225339" w:rsidR="00CA4797" w:rsidRDefault="00CA4797" w:rsidP="00AD25E0">
      <w:pPr>
        <w:pStyle w:val="Ttulo4"/>
      </w:pPr>
      <w:r w:rsidRPr="00AD25E0">
        <w:t>Capital Humano</w:t>
      </w:r>
    </w:p>
    <w:p w14:paraId="68762691" w14:textId="0A440842" w:rsidR="00C72313" w:rsidRPr="00AD25E0" w:rsidRDefault="004B7C1A" w:rsidP="00AD25E0">
      <w:pPr>
        <w:pStyle w:val="Prrafodelista"/>
        <w:numPr>
          <w:ilvl w:val="0"/>
          <w:numId w:val="14"/>
        </w:numPr>
        <w:spacing w:line="480" w:lineRule="auto"/>
        <w:rPr>
          <w:rFonts w:ascii="Times New Roman" w:hAnsi="Times New Roman"/>
          <w:b/>
          <w:iCs/>
        </w:rPr>
      </w:pPr>
      <w:r w:rsidRPr="00AD25E0">
        <w:rPr>
          <w:rFonts w:ascii="Times New Roman" w:hAnsi="Times New Roman"/>
          <w:b/>
          <w:iCs/>
        </w:rPr>
        <w:t xml:space="preserve">Mercado </w:t>
      </w:r>
      <w:r w:rsidR="00AD25E0" w:rsidRPr="00AD25E0">
        <w:rPr>
          <w:rFonts w:ascii="Times New Roman" w:hAnsi="Times New Roman"/>
          <w:b/>
          <w:iCs/>
        </w:rPr>
        <w:t>Laboral:</w:t>
      </w:r>
    </w:p>
    <w:p w14:paraId="788384D7" w14:textId="0D8D2C8F" w:rsidR="00C72313" w:rsidRPr="00C72313" w:rsidRDefault="00C72313" w:rsidP="0015136C">
      <w:pPr>
        <w:spacing w:line="480" w:lineRule="auto"/>
      </w:pPr>
      <w:r>
        <w:t>En este ítem se toma como referencia las cifras del departamento, porque este cálculo no existe para los municipios.</w:t>
      </w:r>
    </w:p>
    <w:p w14:paraId="01555D4F" w14:textId="77777777" w:rsidR="00C72313" w:rsidRPr="00AD25E0" w:rsidRDefault="00C72313" w:rsidP="0015136C">
      <w:pPr>
        <w:spacing w:line="480" w:lineRule="auto"/>
        <w:rPr>
          <w:b/>
          <w:iCs/>
        </w:rPr>
      </w:pPr>
      <w:r w:rsidRPr="00AD25E0">
        <w:rPr>
          <w:b/>
          <w:iCs/>
        </w:rPr>
        <w:t>Tasa de Ocupación (TO):</w:t>
      </w:r>
    </w:p>
    <w:p w14:paraId="0E78DC62" w14:textId="29437897" w:rsidR="00C72313" w:rsidRDefault="00C72313" w:rsidP="0015136C">
      <w:pPr>
        <w:spacing w:line="480" w:lineRule="auto"/>
      </w:pPr>
      <w:r>
        <w:t xml:space="preserve">El departamento del Cesar presenta una tasa de ocupación del 52%, Aunque esta cifra refleja que poco más de la mitad de la población económicamente activa tiene empleo, se encuentra por debajo de un nivel ideal que garantice un desarrollo económico estable </w:t>
      </w:r>
      <w:r w:rsidR="00AD25E0" w:rsidRPr="00AD25E0">
        <w:rPr>
          <w:noProof/>
          <w:lang w:val="es-ES"/>
        </w:rPr>
        <w:t>DANE</w:t>
      </w:r>
      <w:r w:rsidR="00AD25E0">
        <w:rPr>
          <w:noProof/>
          <w:lang w:val="es-ES"/>
        </w:rPr>
        <w:t xml:space="preserve"> (</w:t>
      </w:r>
      <w:r w:rsidR="00AD25E0" w:rsidRPr="00AD25E0">
        <w:rPr>
          <w:noProof/>
          <w:lang w:val="es-ES"/>
        </w:rPr>
        <w:t>2024)</w:t>
      </w:r>
      <w:r>
        <w:t>. La baja tasa de ocupación indica que aún hay un amplio margen para mejorar la capacidad de empleo en la región.</w:t>
      </w:r>
    </w:p>
    <w:p w14:paraId="4DAB5525" w14:textId="77777777" w:rsidR="00C72313" w:rsidRDefault="00C72313" w:rsidP="0015136C">
      <w:pPr>
        <w:spacing w:line="480" w:lineRule="auto"/>
      </w:pPr>
      <w:r>
        <w:t>Calificación: 3/5 (Oferta laboral limitada en comparación con áreas de mayor ocupación).</w:t>
      </w:r>
    </w:p>
    <w:p w14:paraId="40EE5976" w14:textId="77777777" w:rsidR="00C72313" w:rsidRPr="00EA290E" w:rsidRDefault="00C72313" w:rsidP="0015136C">
      <w:pPr>
        <w:spacing w:line="480" w:lineRule="auto"/>
        <w:rPr>
          <w:b/>
          <w:iCs/>
        </w:rPr>
      </w:pPr>
      <w:r w:rsidRPr="00EA290E">
        <w:rPr>
          <w:b/>
          <w:iCs/>
        </w:rPr>
        <w:t>Tasa de Desocupación (TD):</w:t>
      </w:r>
    </w:p>
    <w:p w14:paraId="12EAE8B9" w14:textId="06E4B6D6" w:rsidR="00C72313" w:rsidRDefault="00C72313" w:rsidP="0015136C">
      <w:pPr>
        <w:spacing w:line="480" w:lineRule="auto"/>
      </w:pPr>
      <w:r>
        <w:t>La tasa de desempleo del departamento es del 12%, lo que significa que una parte considerable de la población activa está en busca de empleo</w:t>
      </w:r>
      <w:r w:rsidR="00EA290E">
        <w:t xml:space="preserve">, </w:t>
      </w:r>
      <w:r w:rsidR="00EA290E" w:rsidRPr="00AD25E0">
        <w:rPr>
          <w:noProof/>
          <w:lang w:val="es-ES"/>
        </w:rPr>
        <w:t xml:space="preserve">DANE </w:t>
      </w:r>
      <w:r w:rsidR="00EA290E">
        <w:rPr>
          <w:noProof/>
          <w:lang w:val="es-ES"/>
        </w:rPr>
        <w:t>(</w:t>
      </w:r>
      <w:r w:rsidR="00EA290E" w:rsidRPr="00AD25E0">
        <w:rPr>
          <w:noProof/>
          <w:lang w:val="es-ES"/>
        </w:rPr>
        <w:t>2024)</w:t>
      </w:r>
      <w:r>
        <w:t>. Esta cifra refleja un entorno laboral desafiante con una falta de suficientes oportunidades, lo que podría impactar negativamente la estabilidad económica y la calidad de vida de los habitantes.</w:t>
      </w:r>
    </w:p>
    <w:p w14:paraId="5B650EEA" w14:textId="77777777" w:rsidR="00C72313" w:rsidRDefault="00C72313" w:rsidP="0015136C">
      <w:pPr>
        <w:spacing w:line="480" w:lineRule="auto"/>
      </w:pPr>
      <w:r>
        <w:t>Calificación: 2.5/5 (Alto desempleo que dificulta la inserción laboral y la movilidad social).</w:t>
      </w:r>
    </w:p>
    <w:p w14:paraId="4EFA05F1" w14:textId="77777777" w:rsidR="00C72313" w:rsidRPr="00EA290E" w:rsidRDefault="00C72313" w:rsidP="0015136C">
      <w:pPr>
        <w:spacing w:line="480" w:lineRule="auto"/>
        <w:rPr>
          <w:b/>
          <w:iCs/>
        </w:rPr>
      </w:pPr>
      <w:r w:rsidRPr="00EA290E">
        <w:rPr>
          <w:b/>
          <w:iCs/>
        </w:rPr>
        <w:t>Tasa de Subocupación (TS):</w:t>
      </w:r>
    </w:p>
    <w:p w14:paraId="145A8CD2" w14:textId="66AA94F4" w:rsidR="00C72313" w:rsidRDefault="00C72313" w:rsidP="0015136C">
      <w:pPr>
        <w:spacing w:line="480" w:lineRule="auto"/>
      </w:pPr>
      <w:r>
        <w:lastRenderedPageBreak/>
        <w:t xml:space="preserve">La subocupación se sitúa en el 8.3%, lo cual indica que una porción significativa de la población está empleada en trabajos que no satisfacen plenamente sus expectativas o habilidades </w:t>
      </w:r>
      <w:r w:rsidR="00EA290E" w:rsidRPr="00AD25E0">
        <w:rPr>
          <w:noProof/>
          <w:lang w:val="es-ES"/>
        </w:rPr>
        <w:t>DANE</w:t>
      </w:r>
      <w:r w:rsidR="00EA290E">
        <w:rPr>
          <w:noProof/>
          <w:lang w:val="es-ES"/>
        </w:rPr>
        <w:t xml:space="preserve"> (</w:t>
      </w:r>
      <w:r w:rsidR="00EA290E" w:rsidRPr="00AD25E0">
        <w:rPr>
          <w:noProof/>
          <w:lang w:val="es-ES"/>
        </w:rPr>
        <w:t>2024)</w:t>
      </w:r>
      <w:r>
        <w:t>. Esto sugiere que hay subutilización del potencial laboral, con personas que buscan mejorar sus condiciones.</w:t>
      </w:r>
    </w:p>
    <w:p w14:paraId="70D915A0" w14:textId="77777777" w:rsidR="00C72313" w:rsidRDefault="00C72313" w:rsidP="0015136C">
      <w:pPr>
        <w:spacing w:line="480" w:lineRule="auto"/>
      </w:pPr>
      <w:r>
        <w:t>Calificación: 3/5 (Trabajadores que no están completamente satisfechos con su empleo actual).</w:t>
      </w:r>
    </w:p>
    <w:p w14:paraId="531F83F3" w14:textId="77777777" w:rsidR="00C72313" w:rsidRPr="00EA290E" w:rsidRDefault="00C72313" w:rsidP="0015136C">
      <w:pPr>
        <w:spacing w:line="480" w:lineRule="auto"/>
        <w:rPr>
          <w:b/>
          <w:iCs/>
        </w:rPr>
      </w:pPr>
      <w:r w:rsidRPr="00EA290E">
        <w:rPr>
          <w:b/>
          <w:iCs/>
        </w:rPr>
        <w:t>Trabajo Informal en Aguachica (2018):</w:t>
      </w:r>
    </w:p>
    <w:p w14:paraId="113057D0" w14:textId="454FFEA8" w:rsidR="00C72313" w:rsidRDefault="00C72313" w:rsidP="0015136C">
      <w:pPr>
        <w:spacing w:line="480" w:lineRule="auto"/>
      </w:pPr>
      <w:r>
        <w:t xml:space="preserve">El nivel de informalidad laboral en Aguachica es alarmantemente alto, con un 87.6% de la población empleada en el sector informal </w:t>
      </w:r>
      <w:r w:rsidR="00EA290E" w:rsidRPr="00AD25E0">
        <w:rPr>
          <w:noProof/>
          <w:lang w:val="es-ES"/>
        </w:rPr>
        <w:t>DANE</w:t>
      </w:r>
      <w:r w:rsidR="00EA290E">
        <w:rPr>
          <w:noProof/>
          <w:lang w:val="es-ES"/>
        </w:rPr>
        <w:t xml:space="preserve"> (</w:t>
      </w:r>
      <w:r w:rsidR="00EA290E" w:rsidRPr="00AD25E0">
        <w:rPr>
          <w:noProof/>
          <w:lang w:val="es-ES"/>
        </w:rPr>
        <w:t>2024)</w:t>
      </w:r>
      <w:r>
        <w:t>. Este nivel de informalidad implica que la mayoría de los trabajadores no tiene acceso a beneficios laborales, seguridad social, ni estabilidad económica, lo que refleja un entorno laboral precario que limita la calidad de vida y el desarrollo profesional.</w:t>
      </w:r>
    </w:p>
    <w:p w14:paraId="06A58F06" w14:textId="77777777" w:rsidR="00C72313" w:rsidRDefault="00C72313" w:rsidP="0015136C">
      <w:pPr>
        <w:spacing w:line="480" w:lineRule="auto"/>
      </w:pPr>
      <w:r>
        <w:t>Calificación: 2/5 (Alta informalidad que dificulta el progreso laboral y social).</w:t>
      </w:r>
    </w:p>
    <w:p w14:paraId="186C7F19" w14:textId="77777777" w:rsidR="00C72313" w:rsidRPr="00C72313" w:rsidRDefault="00C72313" w:rsidP="0015136C">
      <w:pPr>
        <w:spacing w:line="480" w:lineRule="auto"/>
        <w:rPr>
          <w:b/>
        </w:rPr>
      </w:pPr>
      <w:r w:rsidRPr="00C72313">
        <w:rPr>
          <w:b/>
        </w:rPr>
        <w:t>Calificación Global para Mercado Laboral en Aguachica: 2.5/5</w:t>
      </w:r>
    </w:p>
    <w:p w14:paraId="1176C38A" w14:textId="1554921D" w:rsidR="00634B32" w:rsidRPr="004B7C1A" w:rsidRDefault="00C72313" w:rsidP="0015136C">
      <w:pPr>
        <w:spacing w:line="480" w:lineRule="auto"/>
      </w:pPr>
      <w:r>
        <w:t>El mercado laboral en Aguachica y el departamento del Cesar presenta serios desafíos, como una alta tasa de desempleo y subocupación, así como un preocupante nivel de informalidad. Aunque existe una oferta moderada de empleo, la calidad de estos trabajos es baja, lo que afecta la estabilidad económica de la población y limita su capacidad de crecimiento profesional.</w:t>
      </w:r>
    </w:p>
    <w:p w14:paraId="3DAFFAEB" w14:textId="4195390B" w:rsidR="00C72313" w:rsidRPr="00EA290E" w:rsidRDefault="00C72313" w:rsidP="00EA290E">
      <w:pPr>
        <w:pStyle w:val="Prrafodelista"/>
        <w:numPr>
          <w:ilvl w:val="0"/>
          <w:numId w:val="14"/>
        </w:numPr>
        <w:spacing w:line="480" w:lineRule="auto"/>
        <w:rPr>
          <w:rFonts w:ascii="Times New Roman" w:hAnsi="Times New Roman"/>
          <w:b/>
          <w:iCs/>
        </w:rPr>
      </w:pPr>
      <w:r w:rsidRPr="00EA290E">
        <w:rPr>
          <w:rFonts w:ascii="Times New Roman" w:hAnsi="Times New Roman"/>
          <w:b/>
          <w:iCs/>
        </w:rPr>
        <w:t>C</w:t>
      </w:r>
      <w:r w:rsidR="000F4AA0" w:rsidRPr="00EA290E">
        <w:rPr>
          <w:rFonts w:ascii="Times New Roman" w:hAnsi="Times New Roman"/>
          <w:b/>
          <w:iCs/>
        </w:rPr>
        <w:t>ondiciones de</w:t>
      </w:r>
      <w:r w:rsidR="00634B32" w:rsidRPr="00EA290E">
        <w:rPr>
          <w:rFonts w:ascii="Times New Roman" w:hAnsi="Times New Roman"/>
          <w:b/>
          <w:iCs/>
        </w:rPr>
        <w:t xml:space="preserve"> Educación en Aguachica </w:t>
      </w:r>
      <w:r w:rsidR="000F4AA0" w:rsidRPr="00EA290E">
        <w:rPr>
          <w:rFonts w:ascii="Times New Roman" w:hAnsi="Times New Roman"/>
          <w:b/>
          <w:iCs/>
        </w:rPr>
        <w:t>2018</w:t>
      </w:r>
      <w:r w:rsidR="00634B32" w:rsidRPr="00EA290E">
        <w:rPr>
          <w:rFonts w:ascii="Times New Roman" w:hAnsi="Times New Roman"/>
          <w:b/>
          <w:iCs/>
        </w:rPr>
        <w:t xml:space="preserve"> </w:t>
      </w:r>
      <w:r w:rsidR="000F4AA0" w:rsidRPr="00EA290E">
        <w:rPr>
          <w:rFonts w:ascii="Times New Roman" w:hAnsi="Times New Roman"/>
          <w:b/>
          <w:iCs/>
        </w:rPr>
        <w:t>:</w:t>
      </w:r>
    </w:p>
    <w:p w14:paraId="1574797F" w14:textId="77777777" w:rsidR="005321DF" w:rsidRPr="00EA290E" w:rsidRDefault="005321DF" w:rsidP="0015136C">
      <w:pPr>
        <w:spacing w:line="480" w:lineRule="auto"/>
        <w:rPr>
          <w:b/>
          <w:iCs/>
          <w:lang w:eastAsia="es-ES"/>
        </w:rPr>
      </w:pPr>
      <w:r w:rsidRPr="00EA290E">
        <w:rPr>
          <w:b/>
          <w:iCs/>
          <w:lang w:eastAsia="es-ES"/>
        </w:rPr>
        <w:t>Analfabetismo:</w:t>
      </w:r>
    </w:p>
    <w:p w14:paraId="47A58F2C" w14:textId="5FB96DC5" w:rsidR="005321DF" w:rsidRDefault="005321DF" w:rsidP="0015136C">
      <w:pPr>
        <w:spacing w:line="480" w:lineRule="auto"/>
        <w:rPr>
          <w:lang w:eastAsia="es-ES"/>
        </w:rPr>
      </w:pPr>
      <w:r>
        <w:rPr>
          <w:lang w:eastAsia="es-ES"/>
        </w:rPr>
        <w:lastRenderedPageBreak/>
        <w:t>El porcentaje de la población analfabeta en Aguachica es de 17.1%. Esta cifra es especialmente alta en las zonas rurales, donde alcanza el 35.7%, lo cual refleja una significativa carencia educativa que limita las oportunidades de desarrollo</w:t>
      </w:r>
      <w:r w:rsidR="00C93C3D">
        <w:rPr>
          <w:lang w:eastAsia="es-ES"/>
        </w:rPr>
        <w:t xml:space="preserve"> </w:t>
      </w:r>
      <w:sdt>
        <w:sdtPr>
          <w:rPr>
            <w:lang w:eastAsia="es-ES"/>
          </w:rPr>
          <w:id w:val="1606159621"/>
          <w:citation/>
        </w:sdtPr>
        <w:sdtEndPr/>
        <w:sdtContent>
          <w:r w:rsidR="00C93C3D">
            <w:rPr>
              <w:lang w:eastAsia="es-ES"/>
            </w:rPr>
            <w:fldChar w:fldCharType="begin"/>
          </w:r>
          <w:r w:rsidR="00AD25E0">
            <w:rPr>
              <w:lang w:val="es-ES" w:eastAsia="es-ES"/>
            </w:rPr>
            <w:instrText xml:space="preserve">CITATION Dan242 \l 3082 </w:instrText>
          </w:r>
          <w:r w:rsidR="00C93C3D">
            <w:rPr>
              <w:lang w:eastAsia="es-ES"/>
            </w:rPr>
            <w:fldChar w:fldCharType="separate"/>
          </w:r>
          <w:r w:rsidR="00901E21" w:rsidRPr="00901E21">
            <w:rPr>
              <w:noProof/>
              <w:lang w:val="es-ES" w:eastAsia="es-ES"/>
            </w:rPr>
            <w:t>(DANE, 2024)</w:t>
          </w:r>
          <w:r w:rsidR="00C93C3D">
            <w:rPr>
              <w:lang w:eastAsia="es-ES"/>
            </w:rPr>
            <w:fldChar w:fldCharType="end"/>
          </w:r>
        </w:sdtContent>
      </w:sdt>
      <w:r>
        <w:rPr>
          <w:lang w:eastAsia="es-ES"/>
        </w:rPr>
        <w:t>. La tasa de analfabetismo, especialmente en áreas rurales, es un indicativo de barreras estructurales en el acceso a la educación básica.</w:t>
      </w:r>
    </w:p>
    <w:p w14:paraId="3572729C" w14:textId="14BA2E8B" w:rsidR="005321DF" w:rsidRDefault="005321DF" w:rsidP="0015136C">
      <w:pPr>
        <w:spacing w:line="480" w:lineRule="auto"/>
        <w:rPr>
          <w:lang w:eastAsia="es-ES"/>
        </w:rPr>
      </w:pPr>
      <w:r>
        <w:rPr>
          <w:lang w:eastAsia="es-ES"/>
        </w:rPr>
        <w:t>Calificación: 2/5 (Nivel preocupante de analfabetismo, sobre todo en zonas rurales, que restringe la capacidad de la población para acceder a mejores oportunidades laborales y educativas).</w:t>
      </w:r>
    </w:p>
    <w:p w14:paraId="366F22C0" w14:textId="77777777" w:rsidR="00EA290E" w:rsidRDefault="00EA290E" w:rsidP="0015136C">
      <w:pPr>
        <w:spacing w:line="480" w:lineRule="auto"/>
        <w:rPr>
          <w:lang w:eastAsia="es-ES"/>
        </w:rPr>
      </w:pPr>
    </w:p>
    <w:p w14:paraId="02A3AC88" w14:textId="77777777" w:rsidR="005321DF" w:rsidRPr="00EA290E" w:rsidRDefault="005321DF" w:rsidP="0015136C">
      <w:pPr>
        <w:spacing w:line="480" w:lineRule="auto"/>
        <w:rPr>
          <w:b/>
          <w:iCs/>
          <w:lang w:eastAsia="es-ES"/>
        </w:rPr>
      </w:pPr>
      <w:r w:rsidRPr="00EA290E">
        <w:rPr>
          <w:b/>
          <w:iCs/>
          <w:lang w:eastAsia="es-ES"/>
        </w:rPr>
        <w:t>Bajo Logro Educativo:</w:t>
      </w:r>
    </w:p>
    <w:p w14:paraId="5C1E996C" w14:textId="5D77E408" w:rsidR="005321DF" w:rsidRDefault="005321DF" w:rsidP="0015136C">
      <w:pPr>
        <w:spacing w:line="480" w:lineRule="auto"/>
        <w:rPr>
          <w:lang w:eastAsia="es-ES"/>
        </w:rPr>
      </w:pPr>
      <w:r>
        <w:rPr>
          <w:lang w:eastAsia="es-ES"/>
        </w:rPr>
        <w:t>El 54.1% de la población de Aguachica tiene un bajo logro educativo, con una incidencia aún mayor en las zonas rurales (81.4%)</w:t>
      </w:r>
      <w:r w:rsidR="00EA290E">
        <w:rPr>
          <w:lang w:eastAsia="es-ES"/>
        </w:rPr>
        <w:t xml:space="preserve">, esto según </w:t>
      </w:r>
      <w:r w:rsidR="00EA290E" w:rsidRPr="00AD25E0">
        <w:rPr>
          <w:noProof/>
          <w:lang w:val="es-ES" w:eastAsia="es-ES"/>
        </w:rPr>
        <w:t>DANE</w:t>
      </w:r>
      <w:r w:rsidR="00EA290E">
        <w:rPr>
          <w:noProof/>
          <w:lang w:val="es-ES" w:eastAsia="es-ES"/>
        </w:rPr>
        <w:t xml:space="preserve"> (</w:t>
      </w:r>
      <w:r w:rsidR="00EA290E" w:rsidRPr="00AD25E0">
        <w:rPr>
          <w:noProof/>
          <w:lang w:val="es-ES" w:eastAsia="es-ES"/>
        </w:rPr>
        <w:t>2024)</w:t>
      </w:r>
      <w:r w:rsidR="00EA290E">
        <w:rPr>
          <w:lang w:eastAsia="es-ES"/>
        </w:rPr>
        <w:t xml:space="preserve">, lo que </w:t>
      </w:r>
      <w:r>
        <w:rPr>
          <w:lang w:eastAsia="es-ES"/>
        </w:rPr>
        <w:t>sugiere que más de la mitad de la población no ha alcanzado niveles educativos adecuados, limitando su cualificación para empleos técnicos o profesionales. La falta de educación avanzada afecta la capacidad de los habitantes para acceder a trabajos que requieran habilidades específicas.</w:t>
      </w:r>
    </w:p>
    <w:p w14:paraId="58C466DB" w14:textId="77777777" w:rsidR="005321DF" w:rsidRDefault="005321DF" w:rsidP="0015136C">
      <w:pPr>
        <w:spacing w:line="480" w:lineRule="auto"/>
        <w:rPr>
          <w:lang w:eastAsia="es-ES"/>
        </w:rPr>
      </w:pPr>
      <w:r>
        <w:rPr>
          <w:lang w:eastAsia="es-ES"/>
        </w:rPr>
        <w:t>Calificación: 2/5 (Deficiencia significativa en la educación que impacta negativamente en la preparación del capital humano).</w:t>
      </w:r>
    </w:p>
    <w:p w14:paraId="01AACF6E" w14:textId="77777777" w:rsidR="005321DF" w:rsidRPr="00EA290E" w:rsidRDefault="005321DF" w:rsidP="0015136C">
      <w:pPr>
        <w:spacing w:line="480" w:lineRule="auto"/>
        <w:rPr>
          <w:b/>
          <w:iCs/>
          <w:lang w:eastAsia="es-ES"/>
        </w:rPr>
      </w:pPr>
      <w:r w:rsidRPr="00EA290E">
        <w:rPr>
          <w:b/>
          <w:iCs/>
          <w:lang w:eastAsia="es-ES"/>
        </w:rPr>
        <w:t>Rezago Escolar:</w:t>
      </w:r>
    </w:p>
    <w:p w14:paraId="10E469B5" w14:textId="2E5109DA" w:rsidR="005321DF" w:rsidRPr="00EA290E" w:rsidRDefault="005321DF" w:rsidP="00EA290E">
      <w:pPr>
        <w:spacing w:line="480" w:lineRule="auto"/>
        <w:rPr>
          <w:noProof/>
          <w:lang w:val="es-ES" w:eastAsia="es-ES"/>
        </w:rPr>
      </w:pPr>
      <w:r>
        <w:rPr>
          <w:lang w:eastAsia="es-ES"/>
        </w:rPr>
        <w:t>El rezago escolar, que se sitúa en 22.7% a nivel general y llega a 32.2% en zonas rurales, refleja una alta proporción de estudiantes que no están en el grado correspondiente a su edad</w:t>
      </w:r>
      <w:r w:rsidR="00C93C3D">
        <w:rPr>
          <w:lang w:eastAsia="es-ES"/>
        </w:rPr>
        <w:t xml:space="preserve"> </w:t>
      </w:r>
      <w:r w:rsidR="00EA290E" w:rsidRPr="00AD25E0">
        <w:rPr>
          <w:noProof/>
          <w:lang w:val="es-ES" w:eastAsia="es-ES"/>
        </w:rPr>
        <w:t xml:space="preserve">DANE </w:t>
      </w:r>
      <w:r w:rsidR="00EA290E">
        <w:rPr>
          <w:noProof/>
          <w:lang w:val="es-ES" w:eastAsia="es-ES"/>
        </w:rPr>
        <w:t>(</w:t>
      </w:r>
      <w:r w:rsidR="00EA290E" w:rsidRPr="00AD25E0">
        <w:rPr>
          <w:noProof/>
          <w:lang w:val="es-ES" w:eastAsia="es-ES"/>
        </w:rPr>
        <w:t>2024)</w:t>
      </w:r>
      <w:r>
        <w:rPr>
          <w:lang w:eastAsia="es-ES"/>
        </w:rPr>
        <w:t>. Esta situación, además de evidenciar problemas en la continuidad y calidad educativa, puede generar desmotivación y deserción escolar a largo plazo.</w:t>
      </w:r>
    </w:p>
    <w:p w14:paraId="2010BD36" w14:textId="77777777" w:rsidR="005321DF" w:rsidRDefault="005321DF" w:rsidP="0015136C">
      <w:pPr>
        <w:spacing w:line="480" w:lineRule="auto"/>
        <w:rPr>
          <w:lang w:eastAsia="es-ES"/>
        </w:rPr>
      </w:pPr>
      <w:r>
        <w:rPr>
          <w:lang w:eastAsia="es-ES"/>
        </w:rPr>
        <w:lastRenderedPageBreak/>
        <w:t>Calificación: 2.5/5 (Rezago educativo que afecta la formación continua de los jóvenes y su futura inclusión laboral).</w:t>
      </w:r>
    </w:p>
    <w:p w14:paraId="3D3783C1" w14:textId="77777777" w:rsidR="005321DF" w:rsidRPr="00AE74FF" w:rsidRDefault="005321DF" w:rsidP="0015136C">
      <w:pPr>
        <w:spacing w:line="480" w:lineRule="auto"/>
        <w:rPr>
          <w:b/>
          <w:lang w:eastAsia="es-ES"/>
        </w:rPr>
      </w:pPr>
      <w:r w:rsidRPr="00AE74FF">
        <w:rPr>
          <w:b/>
          <w:lang w:eastAsia="es-ES"/>
        </w:rPr>
        <w:t>Calificación Global para el Nivel de Educación en Aguachica: 2/5</w:t>
      </w:r>
    </w:p>
    <w:p w14:paraId="565A157B" w14:textId="15C6535D" w:rsidR="004B7C1A" w:rsidRDefault="005321DF" w:rsidP="0015136C">
      <w:pPr>
        <w:spacing w:line="480" w:lineRule="auto"/>
        <w:rPr>
          <w:lang w:eastAsia="es-ES"/>
        </w:rPr>
      </w:pPr>
      <w:r>
        <w:rPr>
          <w:lang w:eastAsia="es-ES"/>
        </w:rPr>
        <w:t>El nivel de educación en Aguachica es deficiente, con altos niveles de analfabetismo y bajo logro educativo, particularmente en las áreas rurales. Esto limita la capacidad de la población para acceder a empleos mejor remunerados y desempeñarse en actividades que requieren habilidades avanzadas. La baja cualificación académica de la población impacta el desarrollo del capital humano y restringe el crecimiento económico del municipio.</w:t>
      </w:r>
    </w:p>
    <w:p w14:paraId="570498F7" w14:textId="77777777" w:rsidR="00C671C4" w:rsidRDefault="00C671C4" w:rsidP="0015136C">
      <w:pPr>
        <w:spacing w:line="480" w:lineRule="auto"/>
        <w:rPr>
          <w:lang w:eastAsia="es-ES"/>
        </w:rPr>
      </w:pPr>
    </w:p>
    <w:p w14:paraId="46E8CA5B" w14:textId="52B18819" w:rsidR="00C671C4" w:rsidRPr="00EA290E" w:rsidRDefault="00C671C4" w:rsidP="00EA290E">
      <w:pPr>
        <w:pStyle w:val="Prrafodelista"/>
        <w:numPr>
          <w:ilvl w:val="0"/>
          <w:numId w:val="14"/>
        </w:numPr>
        <w:spacing w:line="480" w:lineRule="auto"/>
        <w:rPr>
          <w:rFonts w:ascii="Times New Roman" w:hAnsi="Times New Roman"/>
          <w:b/>
          <w:i/>
        </w:rPr>
      </w:pPr>
      <w:r w:rsidRPr="00EA290E">
        <w:rPr>
          <w:rFonts w:ascii="Times New Roman" w:hAnsi="Times New Roman"/>
          <w:b/>
          <w:iCs/>
        </w:rPr>
        <w:t>Programas de Capacitación: Disponibilidad de programas de formación profesional y técnica</w:t>
      </w:r>
      <w:r w:rsidRPr="00C671C4">
        <w:rPr>
          <w:rFonts w:ascii="Times New Roman" w:hAnsi="Times New Roman"/>
          <w:b/>
          <w:i/>
        </w:rPr>
        <w:t>.</w:t>
      </w:r>
    </w:p>
    <w:p w14:paraId="4BA59582" w14:textId="77777777" w:rsidR="00C671C4" w:rsidRPr="00EA290E" w:rsidRDefault="00C671C4" w:rsidP="0015136C">
      <w:pPr>
        <w:spacing w:line="480" w:lineRule="auto"/>
        <w:rPr>
          <w:b/>
          <w:iCs/>
          <w:lang w:eastAsia="es-ES"/>
        </w:rPr>
      </w:pPr>
      <w:r w:rsidRPr="00EA290E">
        <w:rPr>
          <w:b/>
          <w:iCs/>
          <w:lang w:eastAsia="es-ES"/>
        </w:rPr>
        <w:t>Programas de la Universidad Popular del Cesar, Seccional Aguachica:</w:t>
      </w:r>
    </w:p>
    <w:p w14:paraId="122CF351" w14:textId="6BA7CD36" w:rsidR="00C671C4" w:rsidRDefault="00C671C4" w:rsidP="0015136C">
      <w:pPr>
        <w:spacing w:line="480" w:lineRule="auto"/>
        <w:rPr>
          <w:lang w:eastAsia="es-ES"/>
        </w:rPr>
      </w:pPr>
      <w:r>
        <w:rPr>
          <w:lang w:eastAsia="es-ES"/>
        </w:rPr>
        <w:t>La oferta académica incluye programas en áreas como Ingeniería de Sistemas, Ingeniería Agroindustrial, Ingeniería Ambiental y Sanitaria, Administración de Empresas, Contaduría, Economía e Ingeniería Agropecuaria. Estos programas ofrecen una sólida base educativa en campos técnicos, administrativos y ambientales que pueden ser útiles para apoyar las actividades de la zona franca, especialmente en sectores industriales y logísticos.</w:t>
      </w:r>
    </w:p>
    <w:p w14:paraId="617F1A01" w14:textId="77777777" w:rsidR="00C671C4" w:rsidRDefault="00C671C4" w:rsidP="0015136C">
      <w:pPr>
        <w:spacing w:line="480" w:lineRule="auto"/>
        <w:rPr>
          <w:lang w:eastAsia="es-ES"/>
        </w:rPr>
      </w:pPr>
      <w:r>
        <w:rPr>
          <w:lang w:eastAsia="es-ES"/>
        </w:rPr>
        <w:t>Calificación: 4/5 (Diversidad de programas en áreas clave como la ingeniería, administración y agroindustria que pueden formar personal para la zona franca).</w:t>
      </w:r>
    </w:p>
    <w:p w14:paraId="64157F50" w14:textId="77777777" w:rsidR="00C671C4" w:rsidRPr="00EA290E" w:rsidRDefault="00C671C4" w:rsidP="0015136C">
      <w:pPr>
        <w:spacing w:line="480" w:lineRule="auto"/>
        <w:rPr>
          <w:b/>
          <w:iCs/>
          <w:lang w:eastAsia="es-ES"/>
        </w:rPr>
      </w:pPr>
      <w:r w:rsidRPr="00EA290E">
        <w:rPr>
          <w:b/>
          <w:iCs/>
          <w:lang w:eastAsia="es-ES"/>
        </w:rPr>
        <w:t>Programas del Servicio Nacional de Aprendizaje (SENA), Centro Agroempresarial de Aguachica:</w:t>
      </w:r>
    </w:p>
    <w:p w14:paraId="5AE9FE91" w14:textId="1F788DC0" w:rsidR="00C671C4" w:rsidRDefault="00C671C4" w:rsidP="0015136C">
      <w:pPr>
        <w:spacing w:line="480" w:lineRule="auto"/>
        <w:rPr>
          <w:lang w:eastAsia="es-ES"/>
        </w:rPr>
      </w:pPr>
      <w:r>
        <w:rPr>
          <w:lang w:eastAsia="es-ES"/>
        </w:rPr>
        <w:lastRenderedPageBreak/>
        <w:t>El SENA ofrece una extensa variedad de programas técnicos y tecnológicos enfocados en logística, procesamiento de alimentos, gestión administrativa, software, infraestructura TIC, y agroindustria, entre otros. Estos programas son clave para la formación de mano de obra especializada en áreas logísticas y técnicas, fundamentales para el funcionamiento de una zona franca.</w:t>
      </w:r>
    </w:p>
    <w:p w14:paraId="5DD7EA19" w14:textId="7FBEFAA0" w:rsidR="00C671C4" w:rsidRDefault="00C671C4" w:rsidP="0015136C">
      <w:pPr>
        <w:spacing w:line="480" w:lineRule="auto"/>
        <w:rPr>
          <w:lang w:eastAsia="es-ES"/>
        </w:rPr>
      </w:pPr>
      <w:r>
        <w:rPr>
          <w:lang w:eastAsia="es-ES"/>
        </w:rPr>
        <w:t>Calificación: 5/5 (Gran disponibilidad de programas técnicos y tecnológicos directamente relacionados con las necesidades operativas de una zona franca).</w:t>
      </w:r>
    </w:p>
    <w:p w14:paraId="4B200EEB" w14:textId="77777777" w:rsidR="00EA290E" w:rsidRDefault="00EA290E" w:rsidP="0015136C">
      <w:pPr>
        <w:spacing w:line="480" w:lineRule="auto"/>
        <w:rPr>
          <w:lang w:eastAsia="es-ES"/>
        </w:rPr>
      </w:pPr>
    </w:p>
    <w:p w14:paraId="3F3CB0BA" w14:textId="77777777" w:rsidR="00C671C4" w:rsidRPr="00C671C4" w:rsidRDefault="00C671C4" w:rsidP="0015136C">
      <w:pPr>
        <w:spacing w:line="480" w:lineRule="auto"/>
        <w:rPr>
          <w:b/>
          <w:lang w:eastAsia="es-ES"/>
        </w:rPr>
      </w:pPr>
      <w:r w:rsidRPr="00C671C4">
        <w:rPr>
          <w:b/>
          <w:lang w:eastAsia="es-ES"/>
        </w:rPr>
        <w:t>Calificación Global para Programas de Capacitación en Aguachica: 4.5/5</w:t>
      </w:r>
    </w:p>
    <w:p w14:paraId="3E080FFC" w14:textId="16549BC6" w:rsidR="004B7C1A" w:rsidRDefault="00C671C4" w:rsidP="0015136C">
      <w:pPr>
        <w:spacing w:line="480" w:lineRule="auto"/>
        <w:rPr>
          <w:lang w:eastAsia="es-ES"/>
        </w:rPr>
      </w:pPr>
      <w:r>
        <w:rPr>
          <w:lang w:eastAsia="es-ES"/>
        </w:rPr>
        <w:t>Aguachica cuenta con una amplia oferta de programas de capacitación tanto a nivel universitario como técnico. La Universidad Popular del Cesar ofrece formación en áreas fundamentales para la gestión empresarial e industrial, mientras que el SENA proporciona programas específicos que responden a las demandas del sector logístico y agroindustrial. Esto brinda una excelente oportunidad para desarrollar el capital humano necesario para la zona franca, aunque sería ideal fortalecer programas adicionales en tecnologías avanzadas y comercio internacional.</w:t>
      </w:r>
    </w:p>
    <w:p w14:paraId="196F1EFD" w14:textId="77777777" w:rsidR="00C671C4" w:rsidRDefault="00C671C4" w:rsidP="0015136C">
      <w:pPr>
        <w:spacing w:line="480" w:lineRule="auto"/>
        <w:rPr>
          <w:lang w:eastAsia="es-ES"/>
        </w:rPr>
      </w:pPr>
    </w:p>
    <w:p w14:paraId="49D4C387" w14:textId="0595AC7D" w:rsidR="00157E21" w:rsidRPr="00EA290E" w:rsidRDefault="00157E21" w:rsidP="0015136C">
      <w:pPr>
        <w:pStyle w:val="Prrafodelista"/>
        <w:numPr>
          <w:ilvl w:val="0"/>
          <w:numId w:val="14"/>
        </w:numPr>
        <w:spacing w:line="480" w:lineRule="auto"/>
        <w:rPr>
          <w:rFonts w:ascii="Times New Roman" w:hAnsi="Times New Roman"/>
          <w:b/>
          <w:iCs/>
        </w:rPr>
      </w:pPr>
      <w:r w:rsidRPr="00EA290E">
        <w:rPr>
          <w:rFonts w:ascii="Times New Roman" w:hAnsi="Times New Roman"/>
          <w:b/>
          <w:iCs/>
        </w:rPr>
        <w:t>Habilidades Específicas: Existencia de habilidades demandadas por la industria local (por ejemplo, logística, manufactura, etc.).</w:t>
      </w:r>
    </w:p>
    <w:p w14:paraId="3DDCE43D" w14:textId="77777777" w:rsidR="00157E21" w:rsidRPr="00157E21" w:rsidRDefault="00157E21" w:rsidP="0015136C">
      <w:pPr>
        <w:pStyle w:val="Prrafodelista"/>
        <w:spacing w:line="480" w:lineRule="auto"/>
        <w:ind w:left="1429" w:firstLine="0"/>
        <w:rPr>
          <w:rFonts w:ascii="Times New Roman" w:hAnsi="Times New Roman"/>
          <w:b/>
          <w:i/>
        </w:rPr>
      </w:pPr>
    </w:p>
    <w:p w14:paraId="1589DF14" w14:textId="5E2CC483" w:rsidR="00157E21" w:rsidRDefault="00157E21" w:rsidP="0015136C">
      <w:pPr>
        <w:spacing w:line="480" w:lineRule="auto"/>
        <w:rPr>
          <w:lang w:eastAsia="es-ES"/>
        </w:rPr>
      </w:pPr>
      <w:r>
        <w:rPr>
          <w:lang w:eastAsia="es-ES"/>
        </w:rPr>
        <w:t xml:space="preserve">La oferta educativa y de formación en Aguachica, proporcionada por la Universidad Popular del Cesar (Seccional Aguachica) y el SENA (Centro Agroempresarial), abarca una amplia </w:t>
      </w:r>
      <w:r>
        <w:rPr>
          <w:lang w:eastAsia="es-ES"/>
        </w:rPr>
        <w:lastRenderedPageBreak/>
        <w:t>gama de programas académicos y técnicos que desarrollan habilidades relevantes para la industria local. Estas instituciones se enfocan en áreas estratégicas como la ingeniería, administración, logística, agroindustria y tecnología, lo que permite formar un capital humano con competencias específicas y demandadas en sectores clave.</w:t>
      </w:r>
    </w:p>
    <w:p w14:paraId="653FC134" w14:textId="77777777" w:rsidR="00157E21" w:rsidRPr="00EA290E" w:rsidRDefault="00157E21" w:rsidP="0015136C">
      <w:pPr>
        <w:spacing w:line="480" w:lineRule="auto"/>
        <w:rPr>
          <w:b/>
          <w:iCs/>
          <w:lang w:eastAsia="es-ES"/>
        </w:rPr>
      </w:pPr>
      <w:r w:rsidRPr="00EA290E">
        <w:rPr>
          <w:b/>
          <w:iCs/>
          <w:lang w:eastAsia="es-ES"/>
        </w:rPr>
        <w:t>Universidad Popular del Cesar (UPC) - Seccional Aguachica:</w:t>
      </w:r>
    </w:p>
    <w:p w14:paraId="59E3D7E8" w14:textId="77777777" w:rsidR="00157E21" w:rsidRDefault="00157E21" w:rsidP="0015136C">
      <w:pPr>
        <w:spacing w:line="480" w:lineRule="auto"/>
        <w:rPr>
          <w:lang w:eastAsia="es-ES"/>
        </w:rPr>
      </w:pPr>
      <w:r>
        <w:rPr>
          <w:lang w:eastAsia="es-ES"/>
        </w:rPr>
        <w:t>La UPC en Aguachica ofrece 7 programas universitarios que desarrollan habilidades profesionales en áreas de ingeniería, administración y ciencias económicas, orientadas al desarrollo agroindustrial y empresarial:</w:t>
      </w:r>
    </w:p>
    <w:p w14:paraId="429E2756" w14:textId="77777777" w:rsidR="00157E21" w:rsidRPr="00157E21" w:rsidRDefault="00157E21" w:rsidP="0015136C">
      <w:pPr>
        <w:pStyle w:val="Prrafodelista"/>
        <w:numPr>
          <w:ilvl w:val="0"/>
          <w:numId w:val="14"/>
        </w:numPr>
        <w:spacing w:line="480" w:lineRule="auto"/>
        <w:rPr>
          <w:rFonts w:ascii="Times New Roman" w:hAnsi="Times New Roman"/>
        </w:rPr>
      </w:pPr>
      <w:r w:rsidRPr="00157E21">
        <w:rPr>
          <w:rFonts w:ascii="Times New Roman" w:hAnsi="Times New Roman"/>
        </w:rPr>
        <w:t>Ingeniería de Sistemas: Desarrolla habilidades en programación, infraestructura de redes y tecnología de la información.</w:t>
      </w:r>
    </w:p>
    <w:p w14:paraId="4857D845" w14:textId="77777777" w:rsidR="00157E21" w:rsidRPr="00157E21" w:rsidRDefault="00157E21" w:rsidP="0015136C">
      <w:pPr>
        <w:pStyle w:val="Prrafodelista"/>
        <w:numPr>
          <w:ilvl w:val="0"/>
          <w:numId w:val="14"/>
        </w:numPr>
        <w:spacing w:line="480" w:lineRule="auto"/>
        <w:rPr>
          <w:rFonts w:ascii="Times New Roman" w:hAnsi="Times New Roman"/>
        </w:rPr>
      </w:pPr>
      <w:r w:rsidRPr="00157E21">
        <w:rPr>
          <w:rFonts w:ascii="Times New Roman" w:hAnsi="Times New Roman"/>
        </w:rPr>
        <w:t>Ingeniería Agroindustrial: Capacita en transformación de productos agrícolas y procesos industriales.</w:t>
      </w:r>
    </w:p>
    <w:p w14:paraId="6D10BA96" w14:textId="77777777" w:rsidR="00157E21" w:rsidRPr="00157E21" w:rsidRDefault="00157E21" w:rsidP="0015136C">
      <w:pPr>
        <w:pStyle w:val="Prrafodelista"/>
        <w:numPr>
          <w:ilvl w:val="0"/>
          <w:numId w:val="14"/>
        </w:numPr>
        <w:spacing w:line="480" w:lineRule="auto"/>
        <w:rPr>
          <w:rFonts w:ascii="Times New Roman" w:hAnsi="Times New Roman"/>
        </w:rPr>
      </w:pPr>
      <w:r w:rsidRPr="00157E21">
        <w:rPr>
          <w:rFonts w:ascii="Times New Roman" w:hAnsi="Times New Roman"/>
        </w:rPr>
        <w:t>Ingeniería Ambiental y Sanitaria: Se enfoca en la gestión ambiental, manejo de residuos y sostenibilidad.</w:t>
      </w:r>
    </w:p>
    <w:p w14:paraId="35D2FF6F" w14:textId="77777777" w:rsidR="00157E21" w:rsidRPr="00157E21" w:rsidRDefault="00157E21" w:rsidP="0015136C">
      <w:pPr>
        <w:pStyle w:val="Prrafodelista"/>
        <w:numPr>
          <w:ilvl w:val="0"/>
          <w:numId w:val="14"/>
        </w:numPr>
        <w:spacing w:line="480" w:lineRule="auto"/>
        <w:rPr>
          <w:rFonts w:ascii="Times New Roman" w:hAnsi="Times New Roman"/>
        </w:rPr>
      </w:pPr>
      <w:r w:rsidRPr="00157E21">
        <w:rPr>
          <w:rFonts w:ascii="Times New Roman" w:hAnsi="Times New Roman"/>
        </w:rPr>
        <w:t>Administración de Empresas: Fomenta competencias gerenciales, de liderazgo y gestión organizacional.</w:t>
      </w:r>
    </w:p>
    <w:p w14:paraId="7A9E1160" w14:textId="77777777" w:rsidR="00157E21" w:rsidRPr="00157E21" w:rsidRDefault="00157E21" w:rsidP="0015136C">
      <w:pPr>
        <w:pStyle w:val="Prrafodelista"/>
        <w:numPr>
          <w:ilvl w:val="0"/>
          <w:numId w:val="14"/>
        </w:numPr>
        <w:spacing w:line="480" w:lineRule="auto"/>
        <w:rPr>
          <w:rFonts w:ascii="Times New Roman" w:hAnsi="Times New Roman"/>
        </w:rPr>
      </w:pPr>
      <w:r w:rsidRPr="00157E21">
        <w:rPr>
          <w:rFonts w:ascii="Times New Roman" w:hAnsi="Times New Roman"/>
        </w:rPr>
        <w:t>Contaduría y Economía: Desarrolla habilidades en contabilidad, finanzas y análisis económico.</w:t>
      </w:r>
    </w:p>
    <w:p w14:paraId="1D0D77BA" w14:textId="08B348BD" w:rsidR="00157E21" w:rsidRPr="00157E21" w:rsidRDefault="00157E21" w:rsidP="0015136C">
      <w:pPr>
        <w:pStyle w:val="Prrafodelista"/>
        <w:numPr>
          <w:ilvl w:val="0"/>
          <w:numId w:val="14"/>
        </w:numPr>
        <w:spacing w:line="480" w:lineRule="auto"/>
        <w:rPr>
          <w:rFonts w:ascii="Times New Roman" w:hAnsi="Times New Roman"/>
        </w:rPr>
      </w:pPr>
      <w:r w:rsidRPr="00157E21">
        <w:rPr>
          <w:rFonts w:ascii="Times New Roman" w:hAnsi="Times New Roman"/>
        </w:rPr>
        <w:t>In</w:t>
      </w:r>
      <w:r>
        <w:rPr>
          <w:rFonts w:ascii="Times New Roman" w:hAnsi="Times New Roman"/>
        </w:rPr>
        <w:t>geniería Agropecuaria: Orientad</w:t>
      </w:r>
      <w:r w:rsidRPr="00157E21">
        <w:rPr>
          <w:rFonts w:ascii="Times New Roman" w:hAnsi="Times New Roman"/>
        </w:rPr>
        <w:t>a la producción agrícola y pecuaria con enfoque técnico y de innovación.</w:t>
      </w:r>
    </w:p>
    <w:p w14:paraId="0DA1F51F" w14:textId="77777777" w:rsidR="00157E21" w:rsidRDefault="00157E21" w:rsidP="0015136C">
      <w:pPr>
        <w:spacing w:line="480" w:lineRule="auto"/>
        <w:rPr>
          <w:lang w:eastAsia="es-ES"/>
        </w:rPr>
      </w:pPr>
    </w:p>
    <w:p w14:paraId="28B6EB1F" w14:textId="77777777" w:rsidR="00157E21" w:rsidRPr="00EA290E" w:rsidRDefault="00157E21" w:rsidP="0015136C">
      <w:pPr>
        <w:spacing w:line="480" w:lineRule="auto"/>
        <w:rPr>
          <w:b/>
          <w:iCs/>
          <w:lang w:eastAsia="es-ES"/>
        </w:rPr>
      </w:pPr>
      <w:r w:rsidRPr="00EA290E">
        <w:rPr>
          <w:b/>
          <w:iCs/>
          <w:lang w:eastAsia="es-ES"/>
        </w:rPr>
        <w:t>SENA - Centro Agroempresarial de Aguachica:</w:t>
      </w:r>
    </w:p>
    <w:p w14:paraId="5D27ADDF" w14:textId="60FA2E6F" w:rsidR="00157E21" w:rsidRDefault="00157E21" w:rsidP="0015136C">
      <w:pPr>
        <w:spacing w:line="480" w:lineRule="auto"/>
        <w:rPr>
          <w:lang w:eastAsia="es-ES"/>
        </w:rPr>
      </w:pPr>
      <w:r>
        <w:rPr>
          <w:lang w:eastAsia="es-ES"/>
        </w:rPr>
        <w:lastRenderedPageBreak/>
        <w:t>El SENA ofrece una amplia oferta educativa en programas técnicos y tecnológicos, formando capital humano en sectores estratégicos como logística, comercio, agroindustria, tecnologías de la información y construcción:</w:t>
      </w:r>
    </w:p>
    <w:p w14:paraId="56463082" w14:textId="77777777" w:rsidR="00157E21" w:rsidRPr="00157E21" w:rsidRDefault="00157E21" w:rsidP="0015136C">
      <w:pPr>
        <w:pStyle w:val="Prrafodelista"/>
        <w:numPr>
          <w:ilvl w:val="0"/>
          <w:numId w:val="15"/>
        </w:numPr>
        <w:spacing w:line="480" w:lineRule="auto"/>
        <w:rPr>
          <w:rFonts w:ascii="Times New Roman" w:hAnsi="Times New Roman"/>
        </w:rPr>
      </w:pPr>
      <w:r w:rsidRPr="00157E21">
        <w:rPr>
          <w:rFonts w:ascii="Times New Roman" w:hAnsi="Times New Roman"/>
        </w:rPr>
        <w:t>Tecnólogos: Programas como Gestión Logística, Negociación Internacional, Distribución Física Internacional y Análisis y Desarrollo de Software son altamente valorados en una zona franca orientada a la logística, el comercio exterior y las TIC.</w:t>
      </w:r>
    </w:p>
    <w:p w14:paraId="5DBFC5AA" w14:textId="77777777" w:rsidR="00157E21" w:rsidRPr="00157E21" w:rsidRDefault="00157E21" w:rsidP="0015136C">
      <w:pPr>
        <w:pStyle w:val="Prrafodelista"/>
        <w:numPr>
          <w:ilvl w:val="0"/>
          <w:numId w:val="15"/>
        </w:numPr>
        <w:spacing w:line="480" w:lineRule="auto"/>
        <w:rPr>
          <w:rFonts w:ascii="Times New Roman" w:hAnsi="Times New Roman"/>
        </w:rPr>
      </w:pPr>
      <w:r w:rsidRPr="00157E21">
        <w:rPr>
          <w:rFonts w:ascii="Times New Roman" w:hAnsi="Times New Roman"/>
        </w:rPr>
        <w:t>Técnicos: Incluyen formación en Instalación de Redes, Carpintería Metálica, Operaciones Comerciales en Retail y Procesamiento de Alimentos, cubriendo habilidades específicas necesarias para la manufactura y el sector agroindustrial.</w:t>
      </w:r>
    </w:p>
    <w:p w14:paraId="43AE1D4A" w14:textId="77777777" w:rsidR="00157E21" w:rsidRDefault="00157E21" w:rsidP="0015136C">
      <w:pPr>
        <w:spacing w:line="480" w:lineRule="auto"/>
        <w:rPr>
          <w:b/>
          <w:lang w:eastAsia="es-ES"/>
        </w:rPr>
      </w:pPr>
    </w:p>
    <w:p w14:paraId="210EEDD1" w14:textId="7662B45C" w:rsidR="00157E21" w:rsidRPr="00157E21" w:rsidRDefault="00157E21" w:rsidP="0015136C">
      <w:pPr>
        <w:spacing w:line="480" w:lineRule="auto"/>
        <w:rPr>
          <w:b/>
          <w:lang w:eastAsia="es-ES"/>
        </w:rPr>
      </w:pPr>
      <w:r w:rsidRPr="00157E21">
        <w:rPr>
          <w:b/>
          <w:lang w:eastAsia="es-ES"/>
        </w:rPr>
        <w:t>Calificación del Global: 4/5</w:t>
      </w:r>
    </w:p>
    <w:p w14:paraId="680A28A6" w14:textId="374FCBC1" w:rsidR="00AE74FF" w:rsidRDefault="00157E21" w:rsidP="00EA290E">
      <w:pPr>
        <w:spacing w:line="480" w:lineRule="auto"/>
        <w:rPr>
          <w:lang w:eastAsia="es-ES"/>
        </w:rPr>
      </w:pPr>
      <w:r>
        <w:rPr>
          <w:lang w:eastAsia="es-ES"/>
        </w:rPr>
        <w:t>La presencia de programas educativos y de formación técnica especializados en Aguachica demuestra una buena alineación con las habilidades específicas requeridas para el desarrollo de una zona franca. Las áreas de logística, tecnología, agroindustria y administración están bien cubiertas, proporcionando un entorno formativo robusto para el desarrollo de capacidades específicas demandadas por industrias locales y regionales. Sin embargo, se podrían fortalecer programas más especializados en áreas de manufactura avanzada y comercio internacional para optimizar aún más la capacitación del talento humano en la región</w:t>
      </w:r>
    </w:p>
    <w:p w14:paraId="28A74F5D" w14:textId="1C7B0DA7" w:rsidR="00CA4797" w:rsidRDefault="00CA4797" w:rsidP="00EA290E">
      <w:pPr>
        <w:pStyle w:val="Ttulo4"/>
      </w:pPr>
      <w:r w:rsidRPr="00EA290E">
        <w:t>Recursos Naturales y Disponibilidad de Suelo</w:t>
      </w:r>
    </w:p>
    <w:p w14:paraId="2FBF9AA3" w14:textId="2CE71D12" w:rsidR="00377168" w:rsidRPr="00EA290E" w:rsidRDefault="00377168" w:rsidP="00EA290E">
      <w:pPr>
        <w:pStyle w:val="Prrafodelista"/>
        <w:numPr>
          <w:ilvl w:val="0"/>
          <w:numId w:val="16"/>
        </w:numPr>
        <w:spacing w:line="480" w:lineRule="auto"/>
        <w:rPr>
          <w:rFonts w:ascii="Times New Roman" w:hAnsi="Times New Roman"/>
          <w:b/>
          <w:iCs/>
        </w:rPr>
      </w:pPr>
      <w:r w:rsidRPr="00EA290E">
        <w:rPr>
          <w:rFonts w:ascii="Times New Roman" w:hAnsi="Times New Roman"/>
          <w:b/>
          <w:iCs/>
        </w:rPr>
        <w:t>Disponibilidad de Terreno Industrial:</w:t>
      </w:r>
    </w:p>
    <w:p w14:paraId="3AC9C7A5" w14:textId="647EBC67" w:rsidR="00377168" w:rsidRDefault="00377168" w:rsidP="0015136C">
      <w:pPr>
        <w:spacing w:line="480" w:lineRule="auto"/>
        <w:rPr>
          <w:lang w:eastAsia="es-ES"/>
        </w:rPr>
      </w:pPr>
      <w:r w:rsidRPr="00377168">
        <w:rPr>
          <w:b/>
          <w:lang w:eastAsia="es-ES"/>
        </w:rPr>
        <w:t>Características Generales de los Suelos:</w:t>
      </w:r>
      <w:r>
        <w:rPr>
          <w:lang w:eastAsia="es-ES"/>
        </w:rPr>
        <w:t xml:space="preserve"> según el plan básico de ordenamiento </w:t>
      </w:r>
      <w:r w:rsidR="00EA290E">
        <w:rPr>
          <w:lang w:eastAsia="es-ES"/>
        </w:rPr>
        <w:t>territorial</w:t>
      </w:r>
      <w:r>
        <w:rPr>
          <w:lang w:eastAsia="es-ES"/>
        </w:rPr>
        <w:t xml:space="preserve"> del municipio, </w:t>
      </w:r>
      <w:r w:rsidR="00EA290E" w:rsidRPr="00EA290E">
        <w:rPr>
          <w:noProof/>
          <w:lang w:val="es-ES" w:eastAsia="es-ES"/>
        </w:rPr>
        <w:t>ESAP</w:t>
      </w:r>
      <w:r w:rsidR="00EA290E">
        <w:rPr>
          <w:noProof/>
          <w:lang w:val="es-ES" w:eastAsia="es-ES"/>
        </w:rPr>
        <w:t xml:space="preserve"> (</w:t>
      </w:r>
      <w:r w:rsidR="00EA290E" w:rsidRPr="00EA290E">
        <w:rPr>
          <w:noProof/>
          <w:lang w:val="es-ES" w:eastAsia="es-ES"/>
        </w:rPr>
        <w:t>2001)</w:t>
      </w:r>
      <w:r>
        <w:rPr>
          <w:lang w:eastAsia="es-ES"/>
        </w:rPr>
        <w:t xml:space="preserve">, Aguachica presenta una variedad de suelos que impactan su potencial para el desarrollo de una zona franca, en las zonas altas, predominan suelos maduros, como los </w:t>
      </w:r>
      <w:r>
        <w:rPr>
          <w:lang w:eastAsia="es-ES"/>
        </w:rPr>
        <w:lastRenderedPageBreak/>
        <w:t>oxisoles, que, aunque tienen una estructura bien desarrollada, son deficientes en nutrientes debido al lavado constante, limitando su uso principalmente a actividades forestales. Por otro lado, los suelos de media altura enfrentan problemas críticos de erosión, exacerbados por la deforestación y el uso intensivo de agroquímicos, resultando en una fragilidad ambiental significativa que podría comprometer la sostenibilidad de una zona franca. En las áreas de baja altura, los suelos, como los entisoles y los histosoles, presentan un alto potencial agropecuario, pero requieren un adecuado manejo del drenaje para ser productivos. Esta variabilidad sugiere que algunas áreas podrían ser más adecuadas que otras para el desarrollo industrial. Se otorga una calificación de 3.5.</w:t>
      </w:r>
    </w:p>
    <w:p w14:paraId="266B5FC7" w14:textId="62F9B4BA" w:rsidR="00377168" w:rsidRDefault="00377168" w:rsidP="0015136C">
      <w:pPr>
        <w:spacing w:line="480" w:lineRule="auto"/>
        <w:rPr>
          <w:lang w:eastAsia="es-ES"/>
        </w:rPr>
      </w:pPr>
      <w:r w:rsidRPr="00377168">
        <w:rPr>
          <w:b/>
          <w:lang w:eastAsia="es-ES"/>
        </w:rPr>
        <w:t>Sismicidad y Riesgos:</w:t>
      </w:r>
      <w:r>
        <w:rPr>
          <w:lang w:eastAsia="es-ES"/>
        </w:rPr>
        <w:t xml:space="preserve"> La sismicidad en Aguachica se clasifica como de riesgo medio-bajo, afectando especialmente la franja entre 300 y 1,000 msnm, donde se encuentran fallas tectónicas locales. Aunque el riesgo sísmico no es lo suficientemente alto como para ser un impedimento significativo, se recomiendan estudios adicionales para evaluar la resiliencia de las infraestructuras proyectadas en la zona franca. Esto justifica una calificación de </w:t>
      </w:r>
      <w:r w:rsidR="00EA290E">
        <w:rPr>
          <w:lang w:eastAsia="es-ES"/>
        </w:rPr>
        <w:t>(</w:t>
      </w:r>
      <w:r>
        <w:rPr>
          <w:lang w:eastAsia="es-ES"/>
        </w:rPr>
        <w:t>3</w:t>
      </w:r>
      <w:r w:rsidR="00EA290E">
        <w:rPr>
          <w:lang w:eastAsia="es-ES"/>
        </w:rPr>
        <w:t>) Tres</w:t>
      </w:r>
      <w:r>
        <w:rPr>
          <w:lang w:eastAsia="es-ES"/>
        </w:rPr>
        <w:t>.</w:t>
      </w:r>
    </w:p>
    <w:p w14:paraId="1B29EF77" w14:textId="5E7D919F" w:rsidR="00377168" w:rsidRDefault="00377168" w:rsidP="00EA290E">
      <w:pPr>
        <w:spacing w:line="480" w:lineRule="auto"/>
        <w:rPr>
          <w:lang w:eastAsia="es-ES"/>
        </w:rPr>
      </w:pPr>
      <w:r w:rsidRPr="00377168">
        <w:rPr>
          <w:b/>
          <w:lang w:eastAsia="es-ES"/>
        </w:rPr>
        <w:t>Zonas de Producción:</w:t>
      </w:r>
      <w:r>
        <w:rPr>
          <w:lang w:eastAsia="es-ES"/>
        </w:rPr>
        <w:t xml:space="preserve"> En relación con las zonas de producción, los suelos se dividen en tres tipos: aquellos con restricciones ambientales, que son susceptibles a la erosión y requieren cuidado en las prácticas agrícolas; los suelos sin restricciones, adecuados para la agricultura intensiva, y las zonas de producción minera, que deben adherirse a normas de protección ambiental. Para la viabilidad de una zona franca, es crucial contar con suelos que no presenten restricciones severas, lo que sugiere que las áreas sin restricciones podrían ser más favorables. Este aspecto recibe una calificación de </w:t>
      </w:r>
      <w:r w:rsidR="00EA290E">
        <w:rPr>
          <w:lang w:eastAsia="es-ES"/>
        </w:rPr>
        <w:t>(</w:t>
      </w:r>
      <w:r>
        <w:rPr>
          <w:lang w:eastAsia="es-ES"/>
        </w:rPr>
        <w:t>4</w:t>
      </w:r>
      <w:r w:rsidR="00EA290E">
        <w:rPr>
          <w:lang w:eastAsia="es-ES"/>
        </w:rPr>
        <w:t>) cuatro</w:t>
      </w:r>
      <w:r>
        <w:rPr>
          <w:lang w:eastAsia="es-ES"/>
        </w:rPr>
        <w:t>.</w:t>
      </w:r>
    </w:p>
    <w:p w14:paraId="32D45737" w14:textId="3F5D0AC8" w:rsidR="00377168" w:rsidRDefault="00377168" w:rsidP="0015136C">
      <w:pPr>
        <w:spacing w:line="480" w:lineRule="auto"/>
        <w:rPr>
          <w:lang w:eastAsia="es-ES"/>
        </w:rPr>
      </w:pPr>
      <w:r w:rsidRPr="00377168">
        <w:rPr>
          <w:b/>
          <w:lang w:eastAsia="es-ES"/>
        </w:rPr>
        <w:t>Recomendaciones de Manejo:</w:t>
      </w:r>
      <w:r>
        <w:rPr>
          <w:lang w:eastAsia="es-ES"/>
        </w:rPr>
        <w:t xml:space="preserve"> Las recomendaciones para el manejo de suelos en Aguachica son fundamentales para la sostenibilidad y la viabilidad de una zona franca. Se sugiere implementar prácticas como el uso de coberturas vegetales, siembras en contorno y rotación de </w:t>
      </w:r>
      <w:r>
        <w:rPr>
          <w:lang w:eastAsia="es-ES"/>
        </w:rPr>
        <w:lastRenderedPageBreak/>
        <w:t xml:space="preserve">cultivos para mitigar la erosión. Además, es vital adoptar técnicas de manejo del agua y evitar prácticas nocivas, como el uso excesivo de agroquímicos. Estas recomendaciones son esenciales para preservar la calidad del suelo y garantizar que la zona franca pueda operar de manera sostenible. Por ello, se asigna una calificación de </w:t>
      </w:r>
      <w:r w:rsidR="00EA290E">
        <w:rPr>
          <w:lang w:eastAsia="es-ES"/>
        </w:rPr>
        <w:t>(</w:t>
      </w:r>
      <w:r>
        <w:rPr>
          <w:lang w:eastAsia="es-ES"/>
        </w:rPr>
        <w:t>4.5</w:t>
      </w:r>
      <w:r w:rsidR="00EA290E">
        <w:rPr>
          <w:lang w:eastAsia="es-ES"/>
        </w:rPr>
        <w:t>) cuatro punto cinco</w:t>
      </w:r>
      <w:r>
        <w:rPr>
          <w:lang w:eastAsia="es-ES"/>
        </w:rPr>
        <w:t>.</w:t>
      </w:r>
    </w:p>
    <w:p w14:paraId="24F744B8" w14:textId="5CDAFED4" w:rsidR="00377168" w:rsidRPr="00377168" w:rsidRDefault="00377168" w:rsidP="0015136C">
      <w:pPr>
        <w:spacing w:line="480" w:lineRule="auto"/>
        <w:rPr>
          <w:b/>
          <w:lang w:eastAsia="es-ES"/>
        </w:rPr>
      </w:pPr>
      <w:r w:rsidRPr="00377168">
        <w:rPr>
          <w:b/>
          <w:lang w:eastAsia="es-ES"/>
        </w:rPr>
        <w:t xml:space="preserve">Calificación </w:t>
      </w:r>
      <w:r>
        <w:rPr>
          <w:b/>
          <w:lang w:eastAsia="es-ES"/>
        </w:rPr>
        <w:t>Global 3.</w:t>
      </w:r>
      <w:r w:rsidRPr="00377168">
        <w:rPr>
          <w:b/>
          <w:lang w:eastAsia="es-ES"/>
        </w:rPr>
        <w:t>75/5</w:t>
      </w:r>
    </w:p>
    <w:p w14:paraId="70C36CD3" w14:textId="5C08CE2D" w:rsidR="00377168" w:rsidRDefault="00377168" w:rsidP="0015136C">
      <w:pPr>
        <w:spacing w:line="480" w:lineRule="auto"/>
        <w:rPr>
          <w:lang w:eastAsia="es-ES"/>
        </w:rPr>
      </w:pPr>
      <w:r>
        <w:rPr>
          <w:lang w:eastAsia="es-ES"/>
        </w:rPr>
        <w:t>Esta evaluación destaca la variabilidad de los suelos y su potencial agropecuario, así como los desafíos relacionados con la erosión y la fragilidad ambiental. Las recomendaciones de manejo son cruciales para garantizar la sostenibilidad del desarrollo industrial. Una planificación cuidadosa y la implementación de prácticas sostenibles pueden maximizar el potencial de la zona franca y contribuir al crecimiento económico de Aguachica.</w:t>
      </w:r>
    </w:p>
    <w:p w14:paraId="6AFACE14" w14:textId="77777777" w:rsidR="00377168" w:rsidRDefault="00377168" w:rsidP="0015136C">
      <w:pPr>
        <w:spacing w:line="480" w:lineRule="auto"/>
        <w:rPr>
          <w:lang w:eastAsia="es-ES"/>
        </w:rPr>
      </w:pPr>
    </w:p>
    <w:p w14:paraId="5C6B2286" w14:textId="09B245E2" w:rsidR="000B4B4D" w:rsidRPr="00EA290E" w:rsidRDefault="000B4B4D" w:rsidP="0015136C">
      <w:pPr>
        <w:pStyle w:val="Prrafodelista"/>
        <w:numPr>
          <w:ilvl w:val="0"/>
          <w:numId w:val="16"/>
        </w:numPr>
        <w:spacing w:line="480" w:lineRule="auto"/>
        <w:rPr>
          <w:rFonts w:ascii="Times New Roman" w:hAnsi="Times New Roman"/>
          <w:b/>
          <w:iCs/>
        </w:rPr>
      </w:pPr>
      <w:r w:rsidRPr="00EA290E">
        <w:rPr>
          <w:rFonts w:ascii="Times New Roman" w:hAnsi="Times New Roman"/>
          <w:b/>
          <w:iCs/>
        </w:rPr>
        <w:t>Recursos Naturales Locales: Identificación de recursos naturales que pueden ser utilizados en la producción (por ejemplo, materias primas).</w:t>
      </w:r>
    </w:p>
    <w:p w14:paraId="5961BBC6" w14:textId="77777777" w:rsidR="000B4B4D" w:rsidRPr="000B4B4D" w:rsidRDefault="000B4B4D" w:rsidP="0015136C">
      <w:pPr>
        <w:pStyle w:val="Prrafodelista"/>
        <w:spacing w:line="480" w:lineRule="auto"/>
        <w:ind w:left="1429" w:firstLine="0"/>
        <w:rPr>
          <w:rFonts w:ascii="Times New Roman" w:hAnsi="Times New Roman"/>
          <w:b/>
          <w:i/>
        </w:rPr>
      </w:pPr>
    </w:p>
    <w:p w14:paraId="64FBD336" w14:textId="156D7C31" w:rsidR="000B4B4D" w:rsidRPr="00EA290E" w:rsidRDefault="000B4B4D" w:rsidP="0015136C">
      <w:pPr>
        <w:spacing w:line="480" w:lineRule="auto"/>
        <w:rPr>
          <w:lang w:eastAsia="es-ES"/>
        </w:rPr>
      </w:pPr>
      <w:r>
        <w:rPr>
          <w:lang w:eastAsia="es-ES"/>
        </w:rPr>
        <w:t xml:space="preserve">Aguachica presenta un entorno propicio para la implementación de una zona franca especializada en agroindustria, fundamentado en la riqueza de sus recursos naturales y la disponibilidad de suelo para el desarrollo agroindustrial. La diversidad de cultivos y la </w:t>
      </w:r>
      <w:r w:rsidRPr="00EA290E">
        <w:rPr>
          <w:lang w:eastAsia="es-ES"/>
        </w:rPr>
        <w:t>infraestructura pecuaria son elementos clave que respaldan esta viabilidad.</w:t>
      </w:r>
    </w:p>
    <w:p w14:paraId="2BE2A87E" w14:textId="77777777" w:rsidR="000B4B4D" w:rsidRPr="00EA290E" w:rsidRDefault="000B4B4D" w:rsidP="0015136C">
      <w:pPr>
        <w:spacing w:line="480" w:lineRule="auto"/>
        <w:rPr>
          <w:b/>
          <w:lang w:eastAsia="es-ES"/>
        </w:rPr>
      </w:pPr>
      <w:r w:rsidRPr="00EA290E">
        <w:rPr>
          <w:b/>
          <w:lang w:eastAsia="es-ES"/>
        </w:rPr>
        <w:t>Recursos Naturales</w:t>
      </w:r>
    </w:p>
    <w:p w14:paraId="3166B680" w14:textId="77777777" w:rsidR="000B4B4D" w:rsidRPr="00EA290E" w:rsidRDefault="000B4B4D" w:rsidP="0015136C">
      <w:pPr>
        <w:spacing w:line="480" w:lineRule="auto"/>
        <w:rPr>
          <w:b/>
          <w:lang w:eastAsia="es-ES"/>
        </w:rPr>
      </w:pPr>
      <w:r w:rsidRPr="00EA290E">
        <w:rPr>
          <w:b/>
          <w:lang w:eastAsia="es-ES"/>
        </w:rPr>
        <w:t>Diversidad de Cultivos:</w:t>
      </w:r>
    </w:p>
    <w:p w14:paraId="1EEFA948" w14:textId="68522BEB" w:rsidR="000B4B4D" w:rsidRDefault="000B4B4D" w:rsidP="0015136C">
      <w:pPr>
        <w:spacing w:line="480" w:lineRule="auto"/>
        <w:rPr>
          <w:lang w:eastAsia="es-ES"/>
        </w:rPr>
      </w:pPr>
      <w:r>
        <w:rPr>
          <w:lang w:eastAsia="es-ES"/>
        </w:rPr>
        <w:lastRenderedPageBreak/>
        <w:t xml:space="preserve">Cultivos principales: Aguachica cultiva un total de aproximadamente 15,000 hectáreas de cultivos diversos, incluyendo </w:t>
      </w:r>
      <w:sdt>
        <w:sdtPr>
          <w:rPr>
            <w:lang w:eastAsia="es-ES"/>
          </w:rPr>
          <w:id w:val="-540126042"/>
          <w:citation/>
        </w:sdtPr>
        <w:sdtEndPr/>
        <w:sdtContent>
          <w:r>
            <w:rPr>
              <w:lang w:eastAsia="es-ES"/>
            </w:rPr>
            <w:fldChar w:fldCharType="begin"/>
          </w:r>
          <w:r>
            <w:rPr>
              <w:lang w:val="es-ES" w:eastAsia="es-ES"/>
            </w:rPr>
            <w:instrText xml:space="preserve"> CITATION Min241 \l 3082 </w:instrText>
          </w:r>
          <w:r>
            <w:rPr>
              <w:lang w:eastAsia="es-ES"/>
            </w:rPr>
            <w:fldChar w:fldCharType="separate"/>
          </w:r>
          <w:r w:rsidR="00901E21" w:rsidRPr="00901E21">
            <w:rPr>
              <w:noProof/>
              <w:lang w:val="es-ES" w:eastAsia="es-ES"/>
            </w:rPr>
            <w:t>(MinAgricultura, 2024)</w:t>
          </w:r>
          <w:r>
            <w:rPr>
              <w:lang w:eastAsia="es-ES"/>
            </w:rPr>
            <w:fldChar w:fldCharType="end"/>
          </w:r>
        </w:sdtContent>
      </w:sdt>
      <w:r>
        <w:rPr>
          <w:lang w:eastAsia="es-ES"/>
        </w:rPr>
        <w:t>:</w:t>
      </w:r>
    </w:p>
    <w:p w14:paraId="6B3DE22E" w14:textId="77777777" w:rsidR="000B4B4D" w:rsidRPr="000B4B4D" w:rsidRDefault="000B4B4D" w:rsidP="0015136C">
      <w:pPr>
        <w:pStyle w:val="Prrafodelista"/>
        <w:numPr>
          <w:ilvl w:val="0"/>
          <w:numId w:val="16"/>
        </w:numPr>
        <w:spacing w:line="480" w:lineRule="auto"/>
        <w:rPr>
          <w:rFonts w:ascii="Times New Roman" w:hAnsi="Times New Roman"/>
        </w:rPr>
      </w:pPr>
      <w:r w:rsidRPr="000B4B4D">
        <w:rPr>
          <w:rFonts w:ascii="Times New Roman" w:hAnsi="Times New Roman"/>
        </w:rPr>
        <w:t>Algodón: 3,500 hectáreas</w:t>
      </w:r>
    </w:p>
    <w:p w14:paraId="401AF34D" w14:textId="77777777" w:rsidR="000B4B4D" w:rsidRPr="000B4B4D" w:rsidRDefault="000B4B4D" w:rsidP="0015136C">
      <w:pPr>
        <w:pStyle w:val="Prrafodelista"/>
        <w:numPr>
          <w:ilvl w:val="0"/>
          <w:numId w:val="16"/>
        </w:numPr>
        <w:spacing w:line="480" w:lineRule="auto"/>
        <w:rPr>
          <w:rFonts w:ascii="Times New Roman" w:hAnsi="Times New Roman"/>
        </w:rPr>
      </w:pPr>
      <w:r w:rsidRPr="000B4B4D">
        <w:rPr>
          <w:rFonts w:ascii="Times New Roman" w:hAnsi="Times New Roman"/>
        </w:rPr>
        <w:t>Arroz: 4,200 hectáreas</w:t>
      </w:r>
    </w:p>
    <w:p w14:paraId="64F49CB9" w14:textId="77777777" w:rsidR="000B4B4D" w:rsidRPr="000B4B4D" w:rsidRDefault="000B4B4D" w:rsidP="0015136C">
      <w:pPr>
        <w:pStyle w:val="Prrafodelista"/>
        <w:numPr>
          <w:ilvl w:val="0"/>
          <w:numId w:val="16"/>
        </w:numPr>
        <w:spacing w:line="480" w:lineRule="auto"/>
        <w:rPr>
          <w:rFonts w:ascii="Times New Roman" w:hAnsi="Times New Roman"/>
        </w:rPr>
      </w:pPr>
      <w:r w:rsidRPr="000B4B4D">
        <w:rPr>
          <w:rFonts w:ascii="Times New Roman" w:hAnsi="Times New Roman"/>
        </w:rPr>
        <w:t>Maíz: 2,000 hectáreas</w:t>
      </w:r>
    </w:p>
    <w:p w14:paraId="172D578D" w14:textId="77777777" w:rsidR="000B4B4D" w:rsidRPr="000B4B4D" w:rsidRDefault="000B4B4D" w:rsidP="0015136C">
      <w:pPr>
        <w:pStyle w:val="Prrafodelista"/>
        <w:numPr>
          <w:ilvl w:val="0"/>
          <w:numId w:val="16"/>
        </w:numPr>
        <w:spacing w:line="480" w:lineRule="auto"/>
        <w:rPr>
          <w:rFonts w:ascii="Times New Roman" w:hAnsi="Times New Roman"/>
        </w:rPr>
      </w:pPr>
      <w:r w:rsidRPr="000B4B4D">
        <w:rPr>
          <w:rFonts w:ascii="Times New Roman" w:hAnsi="Times New Roman"/>
        </w:rPr>
        <w:t>Yuca: 1,500 hectáreas</w:t>
      </w:r>
    </w:p>
    <w:p w14:paraId="418476BE" w14:textId="77777777" w:rsidR="000B4B4D" w:rsidRPr="000B4B4D" w:rsidRDefault="000B4B4D" w:rsidP="0015136C">
      <w:pPr>
        <w:pStyle w:val="Prrafodelista"/>
        <w:numPr>
          <w:ilvl w:val="0"/>
          <w:numId w:val="16"/>
        </w:numPr>
        <w:spacing w:line="480" w:lineRule="auto"/>
        <w:rPr>
          <w:rFonts w:ascii="Times New Roman" w:hAnsi="Times New Roman"/>
        </w:rPr>
      </w:pPr>
      <w:r w:rsidRPr="000B4B4D">
        <w:rPr>
          <w:rFonts w:ascii="Times New Roman" w:hAnsi="Times New Roman"/>
        </w:rPr>
        <w:t>Palma de aceite: 2,500 hectáreas</w:t>
      </w:r>
    </w:p>
    <w:p w14:paraId="11CC2B8C" w14:textId="77777777" w:rsidR="000B4B4D" w:rsidRPr="000B4B4D" w:rsidRDefault="000B4B4D" w:rsidP="0015136C">
      <w:pPr>
        <w:pStyle w:val="Prrafodelista"/>
        <w:numPr>
          <w:ilvl w:val="0"/>
          <w:numId w:val="16"/>
        </w:numPr>
        <w:spacing w:line="480" w:lineRule="auto"/>
        <w:rPr>
          <w:rFonts w:ascii="Times New Roman" w:hAnsi="Times New Roman"/>
        </w:rPr>
      </w:pPr>
      <w:r w:rsidRPr="000B4B4D">
        <w:rPr>
          <w:rFonts w:ascii="Times New Roman" w:hAnsi="Times New Roman"/>
        </w:rPr>
        <w:t>Frijol: 1,300 hectáreas</w:t>
      </w:r>
    </w:p>
    <w:p w14:paraId="644AE4C5" w14:textId="1B0608A8" w:rsidR="000B4B4D" w:rsidRPr="00EA290E" w:rsidRDefault="000B4B4D" w:rsidP="00EA290E">
      <w:pPr>
        <w:pStyle w:val="Prrafodelista"/>
        <w:numPr>
          <w:ilvl w:val="0"/>
          <w:numId w:val="16"/>
        </w:numPr>
        <w:spacing w:line="480" w:lineRule="auto"/>
        <w:rPr>
          <w:rFonts w:ascii="Times New Roman" w:hAnsi="Times New Roman"/>
        </w:rPr>
      </w:pPr>
      <w:r w:rsidRPr="000B4B4D">
        <w:rPr>
          <w:rFonts w:ascii="Times New Roman" w:hAnsi="Times New Roman"/>
        </w:rPr>
        <w:t>Mango: 1,000 hectárea</w:t>
      </w:r>
    </w:p>
    <w:p w14:paraId="6D539985" w14:textId="28373581" w:rsidR="000B4B4D" w:rsidRDefault="000B4B4D" w:rsidP="0015136C">
      <w:pPr>
        <w:spacing w:line="480" w:lineRule="auto"/>
        <w:rPr>
          <w:lang w:eastAsia="es-ES"/>
        </w:rPr>
      </w:pPr>
      <w:r>
        <w:rPr>
          <w:lang w:eastAsia="es-ES"/>
        </w:rPr>
        <w:t>Esta diversidad no solo asegura la disponibilidad de materias primas esenciales para la agroindustria, sino que también permite la producción sostenible y rentable de productos agrícolas durante todo el año.</w:t>
      </w:r>
    </w:p>
    <w:p w14:paraId="3B3562ED" w14:textId="77777777" w:rsidR="000B4B4D" w:rsidRPr="00EA290E" w:rsidRDefault="000B4B4D" w:rsidP="0015136C">
      <w:pPr>
        <w:spacing w:line="480" w:lineRule="auto"/>
        <w:rPr>
          <w:b/>
          <w:iCs/>
          <w:lang w:eastAsia="es-ES"/>
        </w:rPr>
      </w:pPr>
      <w:r w:rsidRPr="00EA290E">
        <w:rPr>
          <w:b/>
          <w:iCs/>
          <w:lang w:eastAsia="es-ES"/>
        </w:rPr>
        <w:t>Producción Sostenible:</w:t>
      </w:r>
    </w:p>
    <w:p w14:paraId="2C8712DD" w14:textId="1A2D6306" w:rsidR="000B4B4D" w:rsidRDefault="000B4B4D" w:rsidP="0015136C">
      <w:pPr>
        <w:spacing w:line="480" w:lineRule="auto"/>
        <w:rPr>
          <w:lang w:eastAsia="es-ES"/>
        </w:rPr>
      </w:pPr>
      <w:r>
        <w:rPr>
          <w:lang w:eastAsia="es-ES"/>
        </w:rPr>
        <w:t xml:space="preserve">Rendimientos agrícolas: según </w:t>
      </w:r>
      <w:r w:rsidR="00EA290E">
        <w:rPr>
          <w:noProof/>
          <w:lang w:val="es-ES" w:eastAsia="es-ES"/>
        </w:rPr>
        <w:t>MinAgricultura (2024)</w:t>
      </w:r>
      <w:r>
        <w:rPr>
          <w:lang w:eastAsia="es-ES"/>
        </w:rPr>
        <w:t>, los rendimientos promedios son de:</w:t>
      </w:r>
    </w:p>
    <w:p w14:paraId="54EB6CFE" w14:textId="77777777" w:rsidR="000B4B4D" w:rsidRPr="000B4B4D" w:rsidRDefault="000B4B4D" w:rsidP="0015136C">
      <w:pPr>
        <w:pStyle w:val="Prrafodelista"/>
        <w:numPr>
          <w:ilvl w:val="0"/>
          <w:numId w:val="17"/>
        </w:numPr>
        <w:spacing w:line="480" w:lineRule="auto"/>
        <w:rPr>
          <w:rFonts w:ascii="Times New Roman" w:hAnsi="Times New Roman"/>
        </w:rPr>
      </w:pPr>
      <w:r w:rsidRPr="000B4B4D">
        <w:rPr>
          <w:rFonts w:ascii="Times New Roman" w:hAnsi="Times New Roman"/>
        </w:rPr>
        <w:t>Algodón: 1,200 kg/ha</w:t>
      </w:r>
    </w:p>
    <w:p w14:paraId="66C13BC4" w14:textId="77777777" w:rsidR="000B4B4D" w:rsidRPr="000B4B4D" w:rsidRDefault="000B4B4D" w:rsidP="0015136C">
      <w:pPr>
        <w:pStyle w:val="Prrafodelista"/>
        <w:numPr>
          <w:ilvl w:val="0"/>
          <w:numId w:val="17"/>
        </w:numPr>
        <w:spacing w:line="480" w:lineRule="auto"/>
        <w:rPr>
          <w:rFonts w:ascii="Times New Roman" w:hAnsi="Times New Roman"/>
        </w:rPr>
      </w:pPr>
      <w:r w:rsidRPr="000B4B4D">
        <w:rPr>
          <w:rFonts w:ascii="Times New Roman" w:hAnsi="Times New Roman"/>
        </w:rPr>
        <w:t>Arroz: 4,500 kg/ha</w:t>
      </w:r>
    </w:p>
    <w:p w14:paraId="1E1EB2D6" w14:textId="77777777" w:rsidR="000B4B4D" w:rsidRPr="000B4B4D" w:rsidRDefault="000B4B4D" w:rsidP="0015136C">
      <w:pPr>
        <w:pStyle w:val="Prrafodelista"/>
        <w:numPr>
          <w:ilvl w:val="0"/>
          <w:numId w:val="17"/>
        </w:numPr>
        <w:spacing w:line="480" w:lineRule="auto"/>
        <w:rPr>
          <w:rFonts w:ascii="Times New Roman" w:hAnsi="Times New Roman"/>
        </w:rPr>
      </w:pPr>
      <w:r w:rsidRPr="000B4B4D">
        <w:rPr>
          <w:rFonts w:ascii="Times New Roman" w:hAnsi="Times New Roman"/>
        </w:rPr>
        <w:t>Maíz: 3,200 kg/ha</w:t>
      </w:r>
    </w:p>
    <w:p w14:paraId="1C273E5D" w14:textId="77777777" w:rsidR="000B4B4D" w:rsidRDefault="000B4B4D" w:rsidP="0015136C">
      <w:pPr>
        <w:spacing w:line="480" w:lineRule="auto"/>
        <w:rPr>
          <w:lang w:eastAsia="es-ES"/>
        </w:rPr>
      </w:pPr>
    </w:p>
    <w:p w14:paraId="1ABF6D0C" w14:textId="77777777" w:rsidR="000B4B4D" w:rsidRDefault="000B4B4D" w:rsidP="0015136C">
      <w:pPr>
        <w:spacing w:line="480" w:lineRule="auto"/>
        <w:rPr>
          <w:lang w:eastAsia="es-ES"/>
        </w:rPr>
      </w:pPr>
      <w:r>
        <w:rPr>
          <w:lang w:eastAsia="es-ES"/>
        </w:rPr>
        <w:t>Estos rendimientos indican un potencial productivo que puede satisfacer las demandas de una zona franca agroindustrial.</w:t>
      </w:r>
    </w:p>
    <w:p w14:paraId="565111D0" w14:textId="28903E3E" w:rsidR="000B4B4D" w:rsidRPr="00EA290E" w:rsidRDefault="000B4B4D" w:rsidP="0015136C">
      <w:pPr>
        <w:spacing w:line="480" w:lineRule="auto"/>
        <w:rPr>
          <w:b/>
          <w:iCs/>
          <w:lang w:eastAsia="es-ES"/>
        </w:rPr>
      </w:pPr>
      <w:r w:rsidRPr="00EA290E">
        <w:rPr>
          <w:b/>
          <w:iCs/>
          <w:lang w:eastAsia="es-ES"/>
        </w:rPr>
        <w:t>Ganadería y Pecuaria:</w:t>
      </w:r>
    </w:p>
    <w:p w14:paraId="7F253DB6" w14:textId="527C3ADD" w:rsidR="000B4B4D" w:rsidRDefault="000B4B4D" w:rsidP="0015136C">
      <w:pPr>
        <w:spacing w:line="480" w:lineRule="auto"/>
        <w:rPr>
          <w:lang w:eastAsia="es-ES"/>
        </w:rPr>
      </w:pPr>
      <w:r>
        <w:rPr>
          <w:lang w:eastAsia="es-ES"/>
        </w:rPr>
        <w:lastRenderedPageBreak/>
        <w:t>Inventario pecuario: Aguachica cuenta con 95,143 cabezas de ganado bovino. Además, se reportan:</w:t>
      </w:r>
    </w:p>
    <w:p w14:paraId="52BD7790" w14:textId="77777777" w:rsidR="000B4B4D" w:rsidRPr="000B4B4D" w:rsidRDefault="000B4B4D" w:rsidP="0015136C">
      <w:pPr>
        <w:pStyle w:val="Prrafodelista"/>
        <w:numPr>
          <w:ilvl w:val="0"/>
          <w:numId w:val="18"/>
        </w:numPr>
        <w:spacing w:line="480" w:lineRule="auto"/>
        <w:rPr>
          <w:rFonts w:ascii="Times New Roman" w:hAnsi="Times New Roman"/>
        </w:rPr>
      </w:pPr>
      <w:r w:rsidRPr="000B4B4D">
        <w:rPr>
          <w:rFonts w:ascii="Times New Roman" w:hAnsi="Times New Roman"/>
        </w:rPr>
        <w:t>15,000 cerdos</w:t>
      </w:r>
    </w:p>
    <w:p w14:paraId="49A0A04F" w14:textId="77777777" w:rsidR="000B4B4D" w:rsidRPr="000B4B4D" w:rsidRDefault="000B4B4D" w:rsidP="0015136C">
      <w:pPr>
        <w:pStyle w:val="Prrafodelista"/>
        <w:numPr>
          <w:ilvl w:val="0"/>
          <w:numId w:val="18"/>
        </w:numPr>
        <w:spacing w:line="480" w:lineRule="auto"/>
        <w:rPr>
          <w:rFonts w:ascii="Times New Roman" w:hAnsi="Times New Roman"/>
        </w:rPr>
      </w:pPr>
      <w:r w:rsidRPr="000B4B4D">
        <w:rPr>
          <w:rFonts w:ascii="Times New Roman" w:hAnsi="Times New Roman"/>
        </w:rPr>
        <w:t>8,500 ovejas</w:t>
      </w:r>
    </w:p>
    <w:p w14:paraId="3232DE1A" w14:textId="77777777" w:rsidR="000B4B4D" w:rsidRPr="000B4B4D" w:rsidRDefault="000B4B4D" w:rsidP="0015136C">
      <w:pPr>
        <w:pStyle w:val="Prrafodelista"/>
        <w:numPr>
          <w:ilvl w:val="0"/>
          <w:numId w:val="18"/>
        </w:numPr>
        <w:spacing w:line="480" w:lineRule="auto"/>
        <w:rPr>
          <w:rFonts w:ascii="Times New Roman" w:hAnsi="Times New Roman"/>
        </w:rPr>
      </w:pPr>
      <w:r w:rsidRPr="000B4B4D">
        <w:rPr>
          <w:rFonts w:ascii="Times New Roman" w:hAnsi="Times New Roman"/>
        </w:rPr>
        <w:t>3,000 cabras</w:t>
      </w:r>
    </w:p>
    <w:p w14:paraId="30F1F0BF" w14:textId="77777777" w:rsidR="000B4B4D" w:rsidRDefault="000B4B4D" w:rsidP="0015136C">
      <w:pPr>
        <w:spacing w:line="480" w:lineRule="auto"/>
        <w:rPr>
          <w:lang w:eastAsia="es-ES"/>
        </w:rPr>
      </w:pPr>
    </w:p>
    <w:p w14:paraId="647F5865" w14:textId="051F7798" w:rsidR="000B4B4D" w:rsidRDefault="000B4B4D" w:rsidP="0015136C">
      <w:pPr>
        <w:spacing w:line="480" w:lineRule="auto"/>
        <w:rPr>
          <w:lang w:eastAsia="es-ES"/>
        </w:rPr>
      </w:pPr>
      <w:r>
        <w:rPr>
          <w:lang w:eastAsia="es-ES"/>
        </w:rPr>
        <w:t xml:space="preserve">Esta infraestructura pecuaria es esencial para complementar la producción agroindustrial, ofreciendo productos cárnicos y lácteos relevantes para la industria </w:t>
      </w:r>
      <w:sdt>
        <w:sdtPr>
          <w:rPr>
            <w:lang w:eastAsia="es-ES"/>
          </w:rPr>
          <w:id w:val="890313033"/>
          <w:citation/>
        </w:sdtPr>
        <w:sdtEndPr/>
        <w:sdtContent>
          <w:r>
            <w:rPr>
              <w:lang w:eastAsia="es-ES"/>
            </w:rPr>
            <w:fldChar w:fldCharType="begin"/>
          </w:r>
          <w:r>
            <w:rPr>
              <w:lang w:val="es-ES" w:eastAsia="es-ES"/>
            </w:rPr>
            <w:instrText xml:space="preserve"> CITATION Min241 \l 3082 </w:instrText>
          </w:r>
          <w:r>
            <w:rPr>
              <w:lang w:eastAsia="es-ES"/>
            </w:rPr>
            <w:fldChar w:fldCharType="separate"/>
          </w:r>
          <w:r w:rsidR="00901E21" w:rsidRPr="00901E21">
            <w:rPr>
              <w:noProof/>
              <w:lang w:val="es-ES" w:eastAsia="es-ES"/>
            </w:rPr>
            <w:t>(MinAgricultura, 2024)</w:t>
          </w:r>
          <w:r>
            <w:rPr>
              <w:lang w:eastAsia="es-ES"/>
            </w:rPr>
            <w:fldChar w:fldCharType="end"/>
          </w:r>
        </w:sdtContent>
      </w:sdt>
      <w:r>
        <w:rPr>
          <w:lang w:eastAsia="es-ES"/>
        </w:rPr>
        <w:t>.</w:t>
      </w:r>
    </w:p>
    <w:p w14:paraId="32C9D2FF" w14:textId="77777777" w:rsidR="000B4B4D" w:rsidRPr="00EA290E" w:rsidRDefault="000B4B4D" w:rsidP="0015136C">
      <w:pPr>
        <w:spacing w:line="480" w:lineRule="auto"/>
        <w:rPr>
          <w:b/>
          <w:iCs/>
          <w:lang w:eastAsia="es-ES"/>
        </w:rPr>
      </w:pPr>
      <w:r w:rsidRPr="00EA290E">
        <w:rPr>
          <w:b/>
          <w:iCs/>
          <w:lang w:eastAsia="es-ES"/>
        </w:rPr>
        <w:t>Disponibilidad de Suelo</w:t>
      </w:r>
    </w:p>
    <w:p w14:paraId="03B05B27" w14:textId="77777777" w:rsidR="000B4B4D" w:rsidRPr="00EA290E" w:rsidRDefault="000B4B4D" w:rsidP="0015136C">
      <w:pPr>
        <w:spacing w:line="480" w:lineRule="auto"/>
        <w:rPr>
          <w:b/>
          <w:iCs/>
          <w:lang w:eastAsia="es-ES"/>
        </w:rPr>
      </w:pPr>
      <w:r w:rsidRPr="00EA290E">
        <w:rPr>
          <w:b/>
          <w:iCs/>
          <w:lang w:eastAsia="es-ES"/>
        </w:rPr>
        <w:t>Acceso a Suelo Agrícola:</w:t>
      </w:r>
    </w:p>
    <w:p w14:paraId="319761AE" w14:textId="7AE5EB85" w:rsidR="000B4B4D" w:rsidRDefault="000B4B4D" w:rsidP="0015136C">
      <w:pPr>
        <w:spacing w:line="480" w:lineRule="auto"/>
        <w:rPr>
          <w:lang w:eastAsia="es-ES"/>
        </w:rPr>
      </w:pPr>
      <w:r>
        <w:rPr>
          <w:lang w:eastAsia="es-ES"/>
        </w:rPr>
        <w:t xml:space="preserve">Área cultivable: La región tiene un total de 40,000 hectáreas de suelo cultivable disponible, lo que proporciona un margen considerable para la expansión de la producción agrícola </w:t>
      </w:r>
      <w:r w:rsidR="00EA290E">
        <w:rPr>
          <w:noProof/>
          <w:lang w:val="es-ES" w:eastAsia="es-ES"/>
        </w:rPr>
        <w:t>MinAgricultura (2024)</w:t>
      </w:r>
      <w:r>
        <w:rPr>
          <w:lang w:eastAsia="es-ES"/>
        </w:rPr>
        <w:t>.</w:t>
      </w:r>
    </w:p>
    <w:p w14:paraId="4F9CD49F" w14:textId="177D2D4D" w:rsidR="000B4B4D" w:rsidRPr="00EA290E" w:rsidRDefault="000B4B4D" w:rsidP="0015136C">
      <w:pPr>
        <w:spacing w:line="480" w:lineRule="auto"/>
        <w:rPr>
          <w:b/>
          <w:iCs/>
          <w:lang w:eastAsia="es-ES"/>
        </w:rPr>
      </w:pPr>
      <w:r w:rsidRPr="00EA290E">
        <w:rPr>
          <w:b/>
          <w:iCs/>
          <w:lang w:eastAsia="es-ES"/>
        </w:rPr>
        <w:t>Potencial de Expansión:</w:t>
      </w:r>
    </w:p>
    <w:p w14:paraId="4E95AA1B" w14:textId="3431BE0E" w:rsidR="000B4B4D" w:rsidRDefault="000B4B4D" w:rsidP="0015136C">
      <w:pPr>
        <w:spacing w:line="480" w:lineRule="auto"/>
        <w:rPr>
          <w:lang w:eastAsia="es-ES"/>
        </w:rPr>
      </w:pPr>
      <w:r>
        <w:rPr>
          <w:lang w:eastAsia="es-ES"/>
        </w:rPr>
        <w:t xml:space="preserve">Oportunidades de uso de suelo: Existen aproximadamente 15,000 hectáreas adicionales que podrían ser adecuadas para la expansión agroindustrial, dependiendo de las políticas de uso de suelo y el desarrollo urbano en la región </w:t>
      </w:r>
      <w:sdt>
        <w:sdtPr>
          <w:rPr>
            <w:lang w:eastAsia="es-ES"/>
          </w:rPr>
          <w:id w:val="-2143034069"/>
          <w:citation/>
        </w:sdtPr>
        <w:sdtEndPr/>
        <w:sdtContent>
          <w:r>
            <w:rPr>
              <w:lang w:eastAsia="es-ES"/>
            </w:rPr>
            <w:fldChar w:fldCharType="begin"/>
          </w:r>
          <w:r>
            <w:rPr>
              <w:lang w:val="es-ES" w:eastAsia="es-ES"/>
            </w:rPr>
            <w:instrText xml:space="preserve"> CITATION Min241 \l 3082 </w:instrText>
          </w:r>
          <w:r>
            <w:rPr>
              <w:lang w:eastAsia="es-ES"/>
            </w:rPr>
            <w:fldChar w:fldCharType="separate"/>
          </w:r>
          <w:r w:rsidR="00901E21" w:rsidRPr="00901E21">
            <w:rPr>
              <w:noProof/>
              <w:lang w:val="es-ES" w:eastAsia="es-ES"/>
            </w:rPr>
            <w:t>(MinAgricultura, 2024)</w:t>
          </w:r>
          <w:r>
            <w:rPr>
              <w:lang w:eastAsia="es-ES"/>
            </w:rPr>
            <w:fldChar w:fldCharType="end"/>
          </w:r>
        </w:sdtContent>
      </w:sdt>
      <w:r>
        <w:rPr>
          <w:lang w:eastAsia="es-ES"/>
        </w:rPr>
        <w:t>.</w:t>
      </w:r>
    </w:p>
    <w:p w14:paraId="5EABBF8C" w14:textId="12AD7E1D" w:rsidR="000B4B4D" w:rsidRPr="000B4B4D" w:rsidRDefault="000B4B4D" w:rsidP="0015136C">
      <w:pPr>
        <w:spacing w:line="480" w:lineRule="auto"/>
        <w:rPr>
          <w:b/>
          <w:lang w:eastAsia="es-ES"/>
        </w:rPr>
      </w:pPr>
      <w:r w:rsidRPr="000B4B4D">
        <w:rPr>
          <w:b/>
          <w:lang w:eastAsia="es-ES"/>
        </w:rPr>
        <w:t xml:space="preserve">Calificación </w:t>
      </w:r>
      <w:r>
        <w:rPr>
          <w:b/>
          <w:lang w:eastAsia="es-ES"/>
        </w:rPr>
        <w:t>Global</w:t>
      </w:r>
      <w:r w:rsidRPr="000B4B4D">
        <w:rPr>
          <w:b/>
          <w:lang w:eastAsia="es-ES"/>
        </w:rPr>
        <w:t>: 4/5</w:t>
      </w:r>
    </w:p>
    <w:p w14:paraId="32C0C1B0" w14:textId="7DE053B8" w:rsidR="00377168" w:rsidRDefault="000B4B4D" w:rsidP="0015136C">
      <w:pPr>
        <w:spacing w:line="480" w:lineRule="auto"/>
        <w:rPr>
          <w:lang w:eastAsia="es-ES"/>
        </w:rPr>
      </w:pPr>
      <w:r>
        <w:rPr>
          <w:lang w:eastAsia="es-ES"/>
        </w:rPr>
        <w:t xml:space="preserve">La calificación de 4 refleja un alto potencial para establecer una zona franca especializada en agroindustria en Aguachica. La abundante disponibilidad de recursos naturales y la diversidad de cultivos y ganadería ofrecen una base sólida para el desarrollo agroindustrial. Sin embargo, es </w:t>
      </w:r>
      <w:r>
        <w:rPr>
          <w:lang w:eastAsia="es-ES"/>
        </w:rPr>
        <w:lastRenderedPageBreak/>
        <w:t>importante abordar ciertos desafíos, como la mejora de los rendimientos en algunos cultivos y la adaptación a posibles cambios climáticos, para maximizar el potencial y asegurar la sostenibilidad de la producción a largo plazo. La atención a estos factores puede optimizar aún más las condiciones para el éxito de la zona franca.</w:t>
      </w:r>
    </w:p>
    <w:p w14:paraId="27D3507C" w14:textId="77777777" w:rsidR="00377168" w:rsidRDefault="00377168" w:rsidP="0015136C">
      <w:pPr>
        <w:spacing w:line="480" w:lineRule="auto"/>
        <w:rPr>
          <w:lang w:eastAsia="es-ES"/>
        </w:rPr>
      </w:pPr>
    </w:p>
    <w:p w14:paraId="0BF8A452" w14:textId="71F77602" w:rsidR="00CA4797" w:rsidRPr="00EA290E" w:rsidRDefault="00CA4797" w:rsidP="00EA290E">
      <w:pPr>
        <w:pStyle w:val="Prrafodelista"/>
        <w:numPr>
          <w:ilvl w:val="0"/>
          <w:numId w:val="12"/>
        </w:numPr>
        <w:spacing w:line="480" w:lineRule="auto"/>
        <w:rPr>
          <w:rFonts w:ascii="Times New Roman" w:hAnsi="Times New Roman"/>
          <w:b/>
          <w:iCs/>
        </w:rPr>
      </w:pPr>
      <w:r w:rsidRPr="00EA290E">
        <w:rPr>
          <w:rFonts w:ascii="Times New Roman" w:hAnsi="Times New Roman"/>
          <w:b/>
          <w:iCs/>
        </w:rPr>
        <w:t>Calidad del Suelo: Análisis de la calidad del suelo para actividades industriales y agrícolas.</w:t>
      </w:r>
    </w:p>
    <w:p w14:paraId="76D3B269" w14:textId="77777777" w:rsidR="005B38A0" w:rsidRDefault="005B38A0" w:rsidP="0015136C">
      <w:pPr>
        <w:spacing w:line="480" w:lineRule="auto"/>
        <w:rPr>
          <w:lang w:eastAsia="es-ES"/>
        </w:rPr>
      </w:pPr>
      <w:r>
        <w:rPr>
          <w:lang w:eastAsia="es-ES"/>
        </w:rPr>
        <w:t>La calidad del suelo es un elemento fundamental para la viabilidad de una zona franca especializada en agroindustria en Aguachica. La salud y la fertilidad del suelo no solo afectan la producción agrícola, sino que también son cruciales para las actividades industriales que dependen de una base agropecuaria sólida.</w:t>
      </w:r>
    </w:p>
    <w:p w14:paraId="1D4F934A" w14:textId="77777777" w:rsidR="005B38A0" w:rsidRPr="00EA290E" w:rsidRDefault="005B38A0" w:rsidP="0015136C">
      <w:pPr>
        <w:spacing w:line="480" w:lineRule="auto"/>
        <w:rPr>
          <w:b/>
          <w:iCs/>
          <w:lang w:eastAsia="es-ES"/>
        </w:rPr>
      </w:pPr>
      <w:r w:rsidRPr="00EA290E">
        <w:rPr>
          <w:b/>
          <w:iCs/>
          <w:lang w:eastAsia="es-ES"/>
        </w:rPr>
        <w:t>Calidad del Suelo</w:t>
      </w:r>
    </w:p>
    <w:p w14:paraId="6EF25798" w14:textId="5C77E629" w:rsidR="005B38A0" w:rsidRPr="00EA290E" w:rsidRDefault="005B38A0" w:rsidP="0015136C">
      <w:pPr>
        <w:spacing w:line="480" w:lineRule="auto"/>
        <w:rPr>
          <w:iCs/>
          <w:lang w:eastAsia="es-ES"/>
        </w:rPr>
      </w:pPr>
      <w:r w:rsidRPr="00EA290E">
        <w:rPr>
          <w:b/>
          <w:iCs/>
          <w:lang w:eastAsia="es-ES"/>
        </w:rPr>
        <w:t>Características del Suelo:</w:t>
      </w:r>
    </w:p>
    <w:p w14:paraId="6217571B" w14:textId="20B6AC57" w:rsidR="005B38A0" w:rsidRDefault="005B38A0" w:rsidP="0015136C">
      <w:pPr>
        <w:spacing w:line="480" w:lineRule="auto"/>
        <w:rPr>
          <w:lang w:eastAsia="es-ES"/>
        </w:rPr>
      </w:pPr>
      <w:r>
        <w:rPr>
          <w:lang w:eastAsia="es-ES"/>
        </w:rPr>
        <w:t>Textura y Composición: Los suelos de Aguachica presentan una textura variada que incluye suelos arcillosos y limosos, que son favorables para el cultivo de</w:t>
      </w:r>
      <w:r w:rsidR="003560F5">
        <w:rPr>
          <w:lang w:eastAsia="es-ES"/>
        </w:rPr>
        <w:t xml:space="preserve"> diversos productos agrícolas, l</w:t>
      </w:r>
      <w:r>
        <w:rPr>
          <w:lang w:eastAsia="es-ES"/>
        </w:rPr>
        <w:t>a capacidad de retención de agua y nutrientes en estos suelos es adecuada, lo que favorece el crecimiento de cultivos como el arroz y el maíz</w:t>
      </w:r>
      <w:r w:rsidR="003560F5">
        <w:rPr>
          <w:lang w:eastAsia="es-ES"/>
        </w:rPr>
        <w:t xml:space="preserve"> </w:t>
      </w:r>
      <w:sdt>
        <w:sdtPr>
          <w:rPr>
            <w:lang w:eastAsia="es-ES"/>
          </w:rPr>
          <w:id w:val="1840271304"/>
          <w:citation/>
        </w:sdtPr>
        <w:sdtEndPr/>
        <w:sdtContent>
          <w:r w:rsidR="003560F5">
            <w:rPr>
              <w:lang w:eastAsia="es-ES"/>
            </w:rPr>
            <w:fldChar w:fldCharType="begin"/>
          </w:r>
          <w:r w:rsidR="00EA290E">
            <w:rPr>
              <w:lang w:val="es-ES" w:eastAsia="es-ES"/>
            </w:rPr>
            <w:instrText xml:space="preserve">CITATION Esa01 \l 3082 </w:instrText>
          </w:r>
          <w:r w:rsidR="003560F5">
            <w:rPr>
              <w:lang w:eastAsia="es-ES"/>
            </w:rPr>
            <w:fldChar w:fldCharType="separate"/>
          </w:r>
          <w:r w:rsidR="00901E21" w:rsidRPr="00901E21">
            <w:rPr>
              <w:noProof/>
              <w:lang w:val="es-ES" w:eastAsia="es-ES"/>
            </w:rPr>
            <w:t>(ESAP, 2001)</w:t>
          </w:r>
          <w:r w:rsidR="003560F5">
            <w:rPr>
              <w:lang w:eastAsia="es-ES"/>
            </w:rPr>
            <w:fldChar w:fldCharType="end"/>
          </w:r>
        </w:sdtContent>
      </w:sdt>
      <w:r>
        <w:rPr>
          <w:lang w:eastAsia="es-ES"/>
        </w:rPr>
        <w:t>.</w:t>
      </w:r>
    </w:p>
    <w:p w14:paraId="34758E6F" w14:textId="271AD7BE" w:rsidR="005B38A0" w:rsidRDefault="005B38A0" w:rsidP="0015136C">
      <w:pPr>
        <w:spacing w:line="480" w:lineRule="auto"/>
        <w:rPr>
          <w:lang w:eastAsia="es-ES"/>
        </w:rPr>
      </w:pPr>
      <w:r>
        <w:rPr>
          <w:lang w:eastAsia="es-ES"/>
        </w:rPr>
        <w:t>pH y Nutrientes: El pH del suelo se encuentra en un rango óptimo de 6.0 a 7.5, lo que es ideal para la mayoría de los cultivos. Los análisis de nutrientes revelan niveles adecuados de nitrógeno, fósforo y potasio, esenciales para el crecimiento saludable de las plantas</w:t>
      </w:r>
      <w:r w:rsidR="003560F5">
        <w:rPr>
          <w:lang w:eastAsia="es-ES"/>
        </w:rPr>
        <w:t xml:space="preserve"> </w:t>
      </w:r>
      <w:r w:rsidR="00EA290E">
        <w:rPr>
          <w:lang w:eastAsia="es-ES"/>
        </w:rPr>
        <w:t xml:space="preserve">esto según, </w:t>
      </w:r>
      <w:r w:rsidR="00EA290E" w:rsidRPr="00EA290E">
        <w:rPr>
          <w:noProof/>
          <w:lang w:val="es-ES" w:eastAsia="es-ES"/>
        </w:rPr>
        <w:t xml:space="preserve">ESAP </w:t>
      </w:r>
      <w:r w:rsidR="00EA290E">
        <w:rPr>
          <w:noProof/>
          <w:lang w:val="es-ES" w:eastAsia="es-ES"/>
        </w:rPr>
        <w:t>(</w:t>
      </w:r>
      <w:r w:rsidR="00EA290E" w:rsidRPr="00EA290E">
        <w:rPr>
          <w:noProof/>
          <w:lang w:val="es-ES" w:eastAsia="es-ES"/>
        </w:rPr>
        <w:t>2001)</w:t>
      </w:r>
      <w:r>
        <w:rPr>
          <w:lang w:eastAsia="es-ES"/>
        </w:rPr>
        <w:t>.</w:t>
      </w:r>
    </w:p>
    <w:p w14:paraId="1CE61A2F" w14:textId="77777777" w:rsidR="005B38A0" w:rsidRPr="00EA290E" w:rsidRDefault="005B38A0" w:rsidP="0015136C">
      <w:pPr>
        <w:spacing w:line="480" w:lineRule="auto"/>
        <w:rPr>
          <w:b/>
          <w:iCs/>
          <w:lang w:eastAsia="es-ES"/>
        </w:rPr>
      </w:pPr>
      <w:r w:rsidRPr="00EA290E">
        <w:rPr>
          <w:b/>
          <w:iCs/>
          <w:lang w:eastAsia="es-ES"/>
        </w:rPr>
        <w:lastRenderedPageBreak/>
        <w:t>Impacto en la Productividad Agrícola:</w:t>
      </w:r>
    </w:p>
    <w:p w14:paraId="58A61426" w14:textId="0BB23C9A" w:rsidR="005B38A0" w:rsidRDefault="005B38A0" w:rsidP="0015136C">
      <w:pPr>
        <w:spacing w:line="480" w:lineRule="auto"/>
        <w:rPr>
          <w:lang w:eastAsia="es-ES"/>
        </w:rPr>
      </w:pPr>
      <w:r>
        <w:rPr>
          <w:lang w:eastAsia="es-ES"/>
        </w:rPr>
        <w:t>Rendimientos Agrícolas Elevados: La buena calidad del suelo se traduce en altos rendimientos agrícolas. Por ejemplo, el rendimiento promedio del arroz es de 4,500 kg/ha, lo que indica que las condiciones del suelo son favorables para la producción sostenible de este cultivo</w:t>
      </w:r>
      <w:r w:rsidR="003560F5">
        <w:rPr>
          <w:lang w:eastAsia="es-ES"/>
        </w:rPr>
        <w:t xml:space="preserve"> </w:t>
      </w:r>
      <w:r w:rsidR="00EA290E">
        <w:rPr>
          <w:noProof/>
          <w:lang w:val="es-ES" w:eastAsia="es-ES"/>
        </w:rPr>
        <w:t>MinAgricultura (2024)</w:t>
      </w:r>
      <w:r>
        <w:rPr>
          <w:lang w:eastAsia="es-ES"/>
        </w:rPr>
        <w:t>.</w:t>
      </w:r>
    </w:p>
    <w:p w14:paraId="765FEC1D" w14:textId="77777777" w:rsidR="005B38A0" w:rsidRDefault="005B38A0" w:rsidP="0015136C">
      <w:pPr>
        <w:spacing w:line="480" w:lineRule="auto"/>
        <w:rPr>
          <w:lang w:eastAsia="es-ES"/>
        </w:rPr>
      </w:pPr>
      <w:r>
        <w:rPr>
          <w:lang w:eastAsia="es-ES"/>
        </w:rPr>
        <w:t>Sostenibilidad: La calidad del suelo permite prácticas de agricultura sostenible, minimizando la necesidad de insumos químicos y promoviendo la salud del ecosistema agrícola en la región.</w:t>
      </w:r>
    </w:p>
    <w:p w14:paraId="58F20D78" w14:textId="77777777" w:rsidR="005B38A0" w:rsidRPr="00EA290E" w:rsidRDefault="005B38A0" w:rsidP="0015136C">
      <w:pPr>
        <w:spacing w:line="480" w:lineRule="auto"/>
        <w:rPr>
          <w:b/>
          <w:iCs/>
          <w:lang w:eastAsia="es-ES"/>
        </w:rPr>
      </w:pPr>
      <w:r w:rsidRPr="00EA290E">
        <w:rPr>
          <w:b/>
          <w:iCs/>
          <w:lang w:eastAsia="es-ES"/>
        </w:rPr>
        <w:t>Disponibilidad y Uso del Suelo</w:t>
      </w:r>
    </w:p>
    <w:p w14:paraId="4690FE9E" w14:textId="20B1F1D7" w:rsidR="005B38A0" w:rsidRPr="00EA290E" w:rsidRDefault="005B38A0" w:rsidP="0015136C">
      <w:pPr>
        <w:spacing w:line="480" w:lineRule="auto"/>
        <w:rPr>
          <w:iCs/>
          <w:lang w:eastAsia="es-ES"/>
        </w:rPr>
      </w:pPr>
      <w:r w:rsidRPr="00EA290E">
        <w:rPr>
          <w:b/>
          <w:iCs/>
          <w:lang w:eastAsia="es-ES"/>
        </w:rPr>
        <w:t>Área Agrícola Utilizada:</w:t>
      </w:r>
    </w:p>
    <w:p w14:paraId="4384BB68" w14:textId="77777777" w:rsidR="005B38A0" w:rsidRDefault="005B38A0" w:rsidP="0015136C">
      <w:pPr>
        <w:spacing w:line="480" w:lineRule="auto"/>
        <w:rPr>
          <w:lang w:eastAsia="es-ES"/>
        </w:rPr>
      </w:pPr>
      <w:r>
        <w:rPr>
          <w:lang w:eastAsia="es-ES"/>
        </w:rPr>
        <w:t>Superficie de Cultivo: Aguachica cuenta con aproximadamente 15,000 hectáreas de tierra agrícola en uso, con un potencial significativo para aumentar la producción.</w:t>
      </w:r>
    </w:p>
    <w:p w14:paraId="56164D9C" w14:textId="77777777" w:rsidR="005B38A0" w:rsidRDefault="005B38A0" w:rsidP="0015136C">
      <w:pPr>
        <w:spacing w:line="480" w:lineRule="auto"/>
        <w:rPr>
          <w:lang w:eastAsia="es-ES"/>
        </w:rPr>
      </w:pPr>
      <w:r>
        <w:rPr>
          <w:lang w:eastAsia="es-ES"/>
        </w:rPr>
        <w:t>Potencial de Mejoramiento: Se estima que hay alrededor de 5,000 hectáreas de suelo subutilizado que podrían ser rehabilitadas y mejoradas para la producción agrícola.</w:t>
      </w:r>
    </w:p>
    <w:p w14:paraId="5C715588" w14:textId="659781DF" w:rsidR="005B38A0" w:rsidRPr="00EA290E" w:rsidRDefault="005B38A0" w:rsidP="0015136C">
      <w:pPr>
        <w:spacing w:line="480" w:lineRule="auto"/>
        <w:rPr>
          <w:b/>
          <w:iCs/>
          <w:lang w:eastAsia="es-ES"/>
        </w:rPr>
      </w:pPr>
      <w:r w:rsidRPr="00EA290E">
        <w:rPr>
          <w:b/>
          <w:iCs/>
          <w:lang w:eastAsia="es-ES"/>
        </w:rPr>
        <w:t>Prácticas de Manejo del Suelo:</w:t>
      </w:r>
    </w:p>
    <w:p w14:paraId="02EB2EAF" w14:textId="1585C8FC" w:rsidR="005B38A0" w:rsidRDefault="005B38A0" w:rsidP="0015136C">
      <w:pPr>
        <w:spacing w:line="480" w:lineRule="auto"/>
        <w:rPr>
          <w:lang w:eastAsia="es-ES"/>
        </w:rPr>
      </w:pPr>
      <w:r>
        <w:rPr>
          <w:lang w:eastAsia="es-ES"/>
        </w:rPr>
        <w:t>Rotación de Cultivos: Se están implementando prácticas de rotación de cultivos para mejorar la salud del suelo y aumentar la fertilidad a largo plazo</w:t>
      </w:r>
      <w:r w:rsidR="003560F5">
        <w:rPr>
          <w:lang w:eastAsia="es-ES"/>
        </w:rPr>
        <w:t xml:space="preserve"> </w:t>
      </w:r>
      <w:r w:rsidR="00EA290E">
        <w:rPr>
          <w:noProof/>
          <w:lang w:val="es-ES" w:eastAsia="es-ES"/>
        </w:rPr>
        <w:t>MinAgricultura (2024)</w:t>
      </w:r>
      <w:r>
        <w:rPr>
          <w:lang w:eastAsia="es-ES"/>
        </w:rPr>
        <w:t>.</w:t>
      </w:r>
    </w:p>
    <w:p w14:paraId="136A8EBF" w14:textId="32EC5E39" w:rsidR="005B38A0" w:rsidRDefault="005B38A0" w:rsidP="0015136C">
      <w:pPr>
        <w:spacing w:line="480" w:lineRule="auto"/>
        <w:rPr>
          <w:lang w:eastAsia="es-ES"/>
        </w:rPr>
      </w:pPr>
      <w:r>
        <w:rPr>
          <w:lang w:eastAsia="es-ES"/>
        </w:rPr>
        <w:t>Conservación del Suelo: La comunidad agrícola está adoptando técnicas de conservación del suelo que reducen la erosión y mejoran la estructura del suelo, asegurando su calidad para las futuras generaciones</w:t>
      </w:r>
      <w:r w:rsidR="003560F5">
        <w:rPr>
          <w:lang w:eastAsia="es-ES"/>
        </w:rPr>
        <w:t xml:space="preserve"> </w:t>
      </w:r>
      <w:sdt>
        <w:sdtPr>
          <w:rPr>
            <w:lang w:eastAsia="es-ES"/>
          </w:rPr>
          <w:id w:val="-1070650295"/>
          <w:citation/>
        </w:sdtPr>
        <w:sdtEndPr/>
        <w:sdtContent>
          <w:r w:rsidR="003560F5">
            <w:rPr>
              <w:lang w:eastAsia="es-ES"/>
            </w:rPr>
            <w:fldChar w:fldCharType="begin"/>
          </w:r>
          <w:r w:rsidR="003560F5">
            <w:rPr>
              <w:lang w:val="es-ES" w:eastAsia="es-ES"/>
            </w:rPr>
            <w:instrText xml:space="preserve"> CITATION Min241 \l 3082 </w:instrText>
          </w:r>
          <w:r w:rsidR="003560F5">
            <w:rPr>
              <w:lang w:eastAsia="es-ES"/>
            </w:rPr>
            <w:fldChar w:fldCharType="separate"/>
          </w:r>
          <w:r w:rsidR="00901E21" w:rsidRPr="00901E21">
            <w:rPr>
              <w:noProof/>
              <w:lang w:val="es-ES" w:eastAsia="es-ES"/>
            </w:rPr>
            <w:t>(MinAgricultura, 2024)</w:t>
          </w:r>
          <w:r w:rsidR="003560F5">
            <w:rPr>
              <w:lang w:eastAsia="es-ES"/>
            </w:rPr>
            <w:fldChar w:fldCharType="end"/>
          </w:r>
        </w:sdtContent>
      </w:sdt>
      <w:r>
        <w:rPr>
          <w:lang w:eastAsia="es-ES"/>
        </w:rPr>
        <w:t>.</w:t>
      </w:r>
    </w:p>
    <w:p w14:paraId="79F2FE71" w14:textId="0D8A137D" w:rsidR="005B38A0" w:rsidRPr="003560F5" w:rsidRDefault="003560F5" w:rsidP="0015136C">
      <w:pPr>
        <w:spacing w:line="480" w:lineRule="auto"/>
        <w:rPr>
          <w:b/>
          <w:lang w:eastAsia="es-ES"/>
        </w:rPr>
      </w:pPr>
      <w:r>
        <w:rPr>
          <w:b/>
          <w:lang w:eastAsia="es-ES"/>
        </w:rPr>
        <w:t>Calificación Global</w:t>
      </w:r>
      <w:r w:rsidR="005B38A0" w:rsidRPr="003560F5">
        <w:rPr>
          <w:b/>
          <w:lang w:eastAsia="es-ES"/>
        </w:rPr>
        <w:t>: 4.5/5</w:t>
      </w:r>
    </w:p>
    <w:p w14:paraId="0575FE2D" w14:textId="487C2E9C" w:rsidR="005B38A0" w:rsidRDefault="005B38A0" w:rsidP="00EA290E">
      <w:pPr>
        <w:spacing w:line="480" w:lineRule="auto"/>
        <w:rPr>
          <w:lang w:eastAsia="es-ES"/>
        </w:rPr>
      </w:pPr>
      <w:r>
        <w:rPr>
          <w:lang w:eastAsia="es-ES"/>
        </w:rPr>
        <w:lastRenderedPageBreak/>
        <w:t>La calificación de 4.5 refleja la alta calidad del suelo en Aguachica, lo que proporciona un entorno favorable para la implementación de una zona franca agroindustrial. La buena textura, el pH adecuado y la disponibilidad de nutrientes son indicativos de un suelo saludable que puede soportar una producción agrícola sostenible y eficiente. Sin embargo, se deben seguir implementando prácticas de manejo y conservación del suelo para mantener y mejorar esta calidad a largo plazo, asegurando así el éxito de la agroindustria en la región. La atención continua a la salud del suelo será clave para maximizar el potencial agrícola y facilitar el desarrollo económico a través de la creación de la zona franca.</w:t>
      </w:r>
    </w:p>
    <w:p w14:paraId="69EA0CCF" w14:textId="77777777" w:rsidR="00886008" w:rsidRDefault="00886008" w:rsidP="00886008">
      <w:pPr>
        <w:rPr>
          <w:lang w:eastAsia="es-ES"/>
        </w:rPr>
      </w:pPr>
    </w:p>
    <w:p w14:paraId="67BFED0C" w14:textId="77777777" w:rsidR="00CA4797" w:rsidRDefault="00CA4797" w:rsidP="00180119">
      <w:pPr>
        <w:pStyle w:val="Ttulo3"/>
      </w:pPr>
      <w:bookmarkStart w:id="116" w:name="_Toc183783058"/>
      <w:r w:rsidRPr="00180119">
        <w:t>Factores Externos</w:t>
      </w:r>
      <w:bookmarkEnd w:id="116"/>
    </w:p>
    <w:p w14:paraId="4F75651E" w14:textId="77777777" w:rsidR="00886008" w:rsidRPr="00886008" w:rsidRDefault="00886008" w:rsidP="00886008"/>
    <w:p w14:paraId="7E05661B" w14:textId="5F14F6F4" w:rsidR="001C190E" w:rsidRDefault="001C190E" w:rsidP="00EA290E">
      <w:pPr>
        <w:spacing w:line="480" w:lineRule="auto"/>
        <w:rPr>
          <w:lang w:eastAsia="es-ES"/>
        </w:rPr>
      </w:pPr>
      <w:r>
        <w:rPr>
          <w:lang w:eastAsia="es-ES"/>
        </w:rPr>
        <w:t>Los factores externos se evalúan porque influyen directamente en el atractivo de la zona franca para inversionistas. Un entorno económico favorable, incentivos fiscales y aduaneros competitivos, y una buena calidad de vida aumentan las posibilidades de atraer empresas. La percepción de los empresarios locales también es clave para asegurar apoyo al proyecto, mientras que la competencia con otras zonas francas obliga a diferenciarse en el mercado. Estos factores externos determinan si Aguachica puede destacarse y competir de manera efectiva en un entorno regional y global.</w:t>
      </w:r>
    </w:p>
    <w:p w14:paraId="5983D73B" w14:textId="77777777" w:rsidR="00886008" w:rsidRDefault="00886008" w:rsidP="00886008">
      <w:pPr>
        <w:spacing w:line="276" w:lineRule="auto"/>
        <w:rPr>
          <w:lang w:eastAsia="es-ES"/>
        </w:rPr>
      </w:pPr>
    </w:p>
    <w:p w14:paraId="16F4165B" w14:textId="7730F84C" w:rsidR="00CA4797" w:rsidRDefault="00CA4797" w:rsidP="00180119">
      <w:pPr>
        <w:pStyle w:val="Ttulo4"/>
      </w:pPr>
      <w:r w:rsidRPr="00180119">
        <w:t>Entorno Económico</w:t>
      </w:r>
    </w:p>
    <w:p w14:paraId="419A5A37" w14:textId="77777777" w:rsidR="00886008" w:rsidRPr="00886008" w:rsidRDefault="00886008" w:rsidP="00886008"/>
    <w:p w14:paraId="4B68CCDE" w14:textId="49539F6D" w:rsidR="00542AAB" w:rsidRPr="00180119" w:rsidRDefault="00542AAB" w:rsidP="00180119">
      <w:pPr>
        <w:pStyle w:val="Prrafodelista"/>
        <w:numPr>
          <w:ilvl w:val="0"/>
          <w:numId w:val="12"/>
        </w:numPr>
        <w:spacing w:line="480" w:lineRule="auto"/>
        <w:rPr>
          <w:rFonts w:ascii="Times New Roman" w:hAnsi="Times New Roman"/>
          <w:b/>
          <w:iCs/>
        </w:rPr>
      </w:pPr>
      <w:r w:rsidRPr="00180119">
        <w:rPr>
          <w:rFonts w:ascii="Times New Roman" w:hAnsi="Times New Roman"/>
          <w:b/>
          <w:iCs/>
        </w:rPr>
        <w:t>Tasa de Crecimiento Económico: Indicadores de crecimiento del PIB local y regional.</w:t>
      </w:r>
    </w:p>
    <w:p w14:paraId="7F582BB8" w14:textId="2CB268A2" w:rsidR="00062180" w:rsidRDefault="00062180" w:rsidP="0015136C">
      <w:pPr>
        <w:spacing w:line="480" w:lineRule="auto"/>
        <w:rPr>
          <w:lang w:eastAsia="es-ES"/>
        </w:rPr>
      </w:pPr>
      <w:r>
        <w:rPr>
          <w:lang w:eastAsia="es-ES"/>
        </w:rPr>
        <w:lastRenderedPageBreak/>
        <w:t>El análisis del Producto Interno Bruto (PIB) del departamento de Cesar proporciona una visión crucial del entorno económico que influye en el municipio de Aguachica. Aunque no se dispone de datos específicos del PIB municipal, es fundamental considerar los indicadores de crecimiento a nivel departamental para comprender el contexto en el que se desenvuelve Aguachica, especialmente al evaluar la viabilidad de establecer una zona franca.</w:t>
      </w:r>
    </w:p>
    <w:p w14:paraId="145DA1F7" w14:textId="12009BCB" w:rsidR="00180119" w:rsidRDefault="00062180" w:rsidP="00180119">
      <w:pPr>
        <w:spacing w:line="480" w:lineRule="auto"/>
        <w:rPr>
          <w:lang w:eastAsia="es-ES"/>
        </w:rPr>
      </w:pPr>
      <w:r>
        <w:rPr>
          <w:lang w:eastAsia="es-ES"/>
        </w:rPr>
        <w:t xml:space="preserve">Según el DANE, el PIB departamental ha mostrado variaciones significativas entre 2005 y 2023. En el año 2023, el PIB del departamento de Cesar alcanzó un valor de 32.873 miles de millones de pesos a precios corrientes, evidenciando un crecimiento sostenido en la economía regional </w:t>
      </w:r>
      <w:sdt>
        <w:sdtPr>
          <w:rPr>
            <w:lang w:eastAsia="es-ES"/>
          </w:rPr>
          <w:id w:val="1688326789"/>
          <w:citation/>
        </w:sdtPr>
        <w:sdtEndPr/>
        <w:sdtContent>
          <w:r>
            <w:rPr>
              <w:lang w:eastAsia="es-ES"/>
            </w:rPr>
            <w:fldChar w:fldCharType="begin"/>
          </w:r>
          <w:r w:rsidR="00AD25E0">
            <w:rPr>
              <w:lang w:val="es-ES" w:eastAsia="es-ES"/>
            </w:rPr>
            <w:instrText xml:space="preserve">CITATION Dan242 \l 3082 </w:instrText>
          </w:r>
          <w:r>
            <w:rPr>
              <w:lang w:eastAsia="es-ES"/>
            </w:rPr>
            <w:fldChar w:fldCharType="separate"/>
          </w:r>
          <w:r w:rsidR="00901E21" w:rsidRPr="00901E21">
            <w:rPr>
              <w:noProof/>
              <w:lang w:val="es-ES" w:eastAsia="es-ES"/>
            </w:rPr>
            <w:t>(DANE, 2024)</w:t>
          </w:r>
          <w:r>
            <w:rPr>
              <w:lang w:eastAsia="es-ES"/>
            </w:rPr>
            <w:fldChar w:fldCharType="end"/>
          </w:r>
        </w:sdtContent>
      </w:sdt>
      <w:r>
        <w:rPr>
          <w:lang w:eastAsia="es-ES"/>
        </w:rPr>
        <w:t>. A continuación, se presenta un resumen del valor agregado por actividades económicas en el departamento, destacando su evolución a lo largo de los años:</w:t>
      </w:r>
    </w:p>
    <w:p w14:paraId="0A35851A" w14:textId="605A61FB" w:rsidR="00180119" w:rsidRPr="00180119" w:rsidRDefault="00180119" w:rsidP="00180119">
      <w:pPr>
        <w:pStyle w:val="Descripcin"/>
        <w:spacing w:after="0"/>
        <w:rPr>
          <w:b/>
          <w:bCs/>
          <w:i w:val="0"/>
          <w:iCs w:val="0"/>
          <w:color w:val="auto"/>
          <w:sz w:val="24"/>
          <w:szCs w:val="22"/>
          <w:lang w:eastAsia="es-ES"/>
        </w:rPr>
      </w:pPr>
      <w:bookmarkStart w:id="117" w:name="_Toc178689026"/>
      <w:bookmarkStart w:id="118" w:name="_Toc183783099"/>
      <w:r w:rsidRPr="00180119">
        <w:rPr>
          <w:b/>
          <w:bCs/>
          <w:i w:val="0"/>
          <w:iCs w:val="0"/>
          <w:color w:val="auto"/>
          <w:sz w:val="24"/>
          <w:szCs w:val="22"/>
          <w:lang w:eastAsia="es-ES"/>
        </w:rPr>
        <w:t xml:space="preserve">Tabla </w:t>
      </w:r>
      <w:r w:rsidRPr="00180119">
        <w:rPr>
          <w:b/>
          <w:bCs/>
          <w:i w:val="0"/>
          <w:iCs w:val="0"/>
          <w:color w:val="auto"/>
          <w:sz w:val="24"/>
          <w:szCs w:val="22"/>
          <w:lang w:eastAsia="es-ES"/>
        </w:rPr>
        <w:fldChar w:fldCharType="begin"/>
      </w:r>
      <w:r w:rsidRPr="00180119">
        <w:rPr>
          <w:b/>
          <w:bCs/>
          <w:i w:val="0"/>
          <w:iCs w:val="0"/>
          <w:color w:val="auto"/>
          <w:sz w:val="24"/>
          <w:szCs w:val="22"/>
          <w:lang w:eastAsia="es-ES"/>
        </w:rPr>
        <w:instrText xml:space="preserve"> SEQ Tabla \* ARABIC </w:instrText>
      </w:r>
      <w:r w:rsidRPr="00180119">
        <w:rPr>
          <w:b/>
          <w:bCs/>
          <w:i w:val="0"/>
          <w:iCs w:val="0"/>
          <w:color w:val="auto"/>
          <w:sz w:val="24"/>
          <w:szCs w:val="22"/>
          <w:lang w:eastAsia="es-ES"/>
        </w:rPr>
        <w:fldChar w:fldCharType="separate"/>
      </w:r>
      <w:r w:rsidR="00901E21">
        <w:rPr>
          <w:b/>
          <w:bCs/>
          <w:i w:val="0"/>
          <w:iCs w:val="0"/>
          <w:noProof/>
          <w:color w:val="auto"/>
          <w:sz w:val="24"/>
          <w:szCs w:val="22"/>
          <w:lang w:eastAsia="es-ES"/>
        </w:rPr>
        <w:t>13</w:t>
      </w:r>
      <w:r w:rsidRPr="00180119">
        <w:rPr>
          <w:b/>
          <w:bCs/>
          <w:i w:val="0"/>
          <w:iCs w:val="0"/>
          <w:color w:val="auto"/>
          <w:sz w:val="24"/>
          <w:szCs w:val="22"/>
          <w:lang w:eastAsia="es-ES"/>
        </w:rPr>
        <w:fldChar w:fldCharType="end"/>
      </w:r>
      <w:r w:rsidRPr="00180119">
        <w:rPr>
          <w:b/>
          <w:bCs/>
          <w:i w:val="0"/>
          <w:iCs w:val="0"/>
          <w:color w:val="auto"/>
          <w:sz w:val="24"/>
          <w:szCs w:val="22"/>
          <w:lang w:eastAsia="es-ES"/>
        </w:rPr>
        <w:t>:</w:t>
      </w:r>
      <w:bookmarkEnd w:id="117"/>
      <w:bookmarkEnd w:id="118"/>
      <w:r w:rsidRPr="00180119">
        <w:rPr>
          <w:b/>
          <w:bCs/>
          <w:i w:val="0"/>
          <w:iCs w:val="0"/>
          <w:color w:val="auto"/>
          <w:sz w:val="24"/>
          <w:szCs w:val="22"/>
          <w:lang w:eastAsia="es-ES"/>
        </w:rPr>
        <w:t xml:space="preserve"> </w:t>
      </w:r>
    </w:p>
    <w:p w14:paraId="2C74209A" w14:textId="0D2C8F4F" w:rsidR="00180119" w:rsidRPr="006C3145" w:rsidRDefault="00886008" w:rsidP="00180119">
      <w:pPr>
        <w:pStyle w:val="Descripcin"/>
        <w:spacing w:after="0"/>
        <w:rPr>
          <w:i w:val="0"/>
          <w:iCs w:val="0"/>
          <w:color w:val="auto"/>
          <w:sz w:val="24"/>
          <w:szCs w:val="22"/>
          <w:lang w:eastAsia="es-ES"/>
        </w:rPr>
      </w:pPr>
      <w:bookmarkStart w:id="119" w:name="_Toc178689027"/>
      <w:bookmarkStart w:id="120" w:name="_Toc183783100"/>
      <w:r w:rsidRPr="006C3145">
        <w:rPr>
          <w:i w:val="0"/>
          <w:iCs w:val="0"/>
          <w:color w:val="auto"/>
          <w:sz w:val="24"/>
          <w:szCs w:val="22"/>
          <w:lang w:eastAsia="es-ES"/>
        </w:rPr>
        <w:t>Valor</w:t>
      </w:r>
      <w:r w:rsidR="00180119" w:rsidRPr="006C3145">
        <w:rPr>
          <w:i w:val="0"/>
          <w:iCs w:val="0"/>
          <w:color w:val="auto"/>
          <w:sz w:val="24"/>
          <w:szCs w:val="22"/>
          <w:lang w:eastAsia="es-ES"/>
        </w:rPr>
        <w:t xml:space="preserve"> agregado por actividades económicas en el departamento</w:t>
      </w:r>
      <w:bookmarkEnd w:id="119"/>
      <w:bookmarkEnd w:id="120"/>
    </w:p>
    <w:p w14:paraId="7F80954C" w14:textId="77777777" w:rsidR="00180119" w:rsidRPr="00180119" w:rsidRDefault="00180119" w:rsidP="00180119">
      <w:pPr>
        <w:rPr>
          <w:lang w:eastAsia="es-ES"/>
        </w:rPr>
      </w:pPr>
    </w:p>
    <w:tbl>
      <w:tblPr>
        <w:tblW w:w="634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760"/>
        <w:gridCol w:w="680"/>
        <w:gridCol w:w="680"/>
        <w:gridCol w:w="680"/>
        <w:gridCol w:w="680"/>
        <w:gridCol w:w="860"/>
      </w:tblGrid>
      <w:tr w:rsidR="00062180" w:rsidRPr="00062180" w14:paraId="5E612FAC" w14:textId="77777777" w:rsidTr="00180119">
        <w:trPr>
          <w:trHeight w:val="300"/>
          <w:jc w:val="center"/>
        </w:trPr>
        <w:tc>
          <w:tcPr>
            <w:tcW w:w="3300" w:type="dxa"/>
            <w:tcBorders>
              <w:top w:val="single" w:sz="4" w:space="0" w:color="auto"/>
              <w:bottom w:val="single" w:sz="4" w:space="0" w:color="auto"/>
            </w:tcBorders>
            <w:shd w:val="clear" w:color="auto" w:fill="auto"/>
            <w:vAlign w:val="center"/>
            <w:hideMark/>
          </w:tcPr>
          <w:p w14:paraId="3C238BD0" w14:textId="77777777" w:rsidR="00062180" w:rsidRPr="00062180" w:rsidRDefault="00062180" w:rsidP="0015136C">
            <w:pPr>
              <w:spacing w:after="0" w:line="480" w:lineRule="auto"/>
              <w:ind w:firstLine="0"/>
              <w:jc w:val="center"/>
              <w:rPr>
                <w:rFonts w:eastAsia="Times New Roman" w:cs="Times New Roman"/>
                <w:b/>
                <w:bCs/>
                <w:color w:val="000000"/>
                <w:kern w:val="0"/>
                <w:lang w:eastAsia="es-CO"/>
                <w14:ligatures w14:val="none"/>
              </w:rPr>
            </w:pPr>
            <w:r w:rsidRPr="00062180">
              <w:rPr>
                <w:rFonts w:eastAsia="Times New Roman" w:cs="Times New Roman"/>
                <w:b/>
                <w:bCs/>
                <w:color w:val="000000"/>
                <w:kern w:val="0"/>
                <w:lang w:eastAsia="es-CO"/>
                <w14:ligatures w14:val="none"/>
              </w:rPr>
              <w:t>Actividades Económicas</w:t>
            </w:r>
          </w:p>
        </w:tc>
        <w:tc>
          <w:tcPr>
            <w:tcW w:w="580" w:type="dxa"/>
            <w:tcBorders>
              <w:top w:val="single" w:sz="4" w:space="0" w:color="auto"/>
              <w:bottom w:val="single" w:sz="4" w:space="0" w:color="auto"/>
            </w:tcBorders>
            <w:shd w:val="clear" w:color="auto" w:fill="auto"/>
            <w:vAlign w:val="center"/>
            <w:hideMark/>
          </w:tcPr>
          <w:p w14:paraId="3AB778F0" w14:textId="77777777" w:rsidR="00062180" w:rsidRPr="00062180" w:rsidRDefault="00062180" w:rsidP="0015136C">
            <w:pPr>
              <w:spacing w:after="0" w:line="480" w:lineRule="auto"/>
              <w:ind w:firstLine="0"/>
              <w:jc w:val="center"/>
              <w:rPr>
                <w:rFonts w:eastAsia="Times New Roman" w:cs="Times New Roman"/>
                <w:b/>
                <w:bCs/>
                <w:color w:val="000000"/>
                <w:kern w:val="0"/>
                <w:lang w:eastAsia="es-CO"/>
                <w14:ligatures w14:val="none"/>
              </w:rPr>
            </w:pPr>
            <w:r w:rsidRPr="00062180">
              <w:rPr>
                <w:rFonts w:eastAsia="Times New Roman" w:cs="Times New Roman"/>
                <w:b/>
                <w:bCs/>
                <w:color w:val="000000"/>
                <w:kern w:val="0"/>
                <w:lang w:eastAsia="es-CO"/>
                <w14:ligatures w14:val="none"/>
              </w:rPr>
              <w:t>2005</w:t>
            </w:r>
          </w:p>
        </w:tc>
        <w:tc>
          <w:tcPr>
            <w:tcW w:w="580" w:type="dxa"/>
            <w:tcBorders>
              <w:top w:val="single" w:sz="4" w:space="0" w:color="auto"/>
              <w:bottom w:val="single" w:sz="4" w:space="0" w:color="auto"/>
            </w:tcBorders>
            <w:shd w:val="clear" w:color="auto" w:fill="auto"/>
            <w:vAlign w:val="center"/>
            <w:hideMark/>
          </w:tcPr>
          <w:p w14:paraId="2BA768E1" w14:textId="77777777" w:rsidR="00062180" w:rsidRPr="00062180" w:rsidRDefault="00062180" w:rsidP="0015136C">
            <w:pPr>
              <w:spacing w:after="0" w:line="480" w:lineRule="auto"/>
              <w:ind w:firstLine="0"/>
              <w:jc w:val="center"/>
              <w:rPr>
                <w:rFonts w:eastAsia="Times New Roman" w:cs="Times New Roman"/>
                <w:b/>
                <w:bCs/>
                <w:color w:val="000000"/>
                <w:kern w:val="0"/>
                <w:lang w:eastAsia="es-CO"/>
                <w14:ligatures w14:val="none"/>
              </w:rPr>
            </w:pPr>
            <w:r w:rsidRPr="00062180">
              <w:rPr>
                <w:rFonts w:eastAsia="Times New Roman" w:cs="Times New Roman"/>
                <w:b/>
                <w:bCs/>
                <w:color w:val="000000"/>
                <w:kern w:val="0"/>
                <w:lang w:eastAsia="es-CO"/>
                <w14:ligatures w14:val="none"/>
              </w:rPr>
              <w:t>2010</w:t>
            </w:r>
          </w:p>
        </w:tc>
        <w:tc>
          <w:tcPr>
            <w:tcW w:w="580" w:type="dxa"/>
            <w:tcBorders>
              <w:top w:val="single" w:sz="4" w:space="0" w:color="auto"/>
              <w:bottom w:val="single" w:sz="4" w:space="0" w:color="auto"/>
            </w:tcBorders>
            <w:shd w:val="clear" w:color="auto" w:fill="auto"/>
            <w:vAlign w:val="center"/>
            <w:hideMark/>
          </w:tcPr>
          <w:p w14:paraId="506F4379" w14:textId="77777777" w:rsidR="00062180" w:rsidRPr="00062180" w:rsidRDefault="00062180" w:rsidP="0015136C">
            <w:pPr>
              <w:spacing w:after="0" w:line="480" w:lineRule="auto"/>
              <w:ind w:firstLine="0"/>
              <w:jc w:val="center"/>
              <w:rPr>
                <w:rFonts w:eastAsia="Times New Roman" w:cs="Times New Roman"/>
                <w:b/>
                <w:bCs/>
                <w:color w:val="000000"/>
                <w:kern w:val="0"/>
                <w:lang w:eastAsia="es-CO"/>
                <w14:ligatures w14:val="none"/>
              </w:rPr>
            </w:pPr>
            <w:r w:rsidRPr="00062180">
              <w:rPr>
                <w:rFonts w:eastAsia="Times New Roman" w:cs="Times New Roman"/>
                <w:b/>
                <w:bCs/>
                <w:color w:val="000000"/>
                <w:kern w:val="0"/>
                <w:lang w:eastAsia="es-CO"/>
                <w14:ligatures w14:val="none"/>
              </w:rPr>
              <w:t>2015</w:t>
            </w:r>
          </w:p>
        </w:tc>
        <w:tc>
          <w:tcPr>
            <w:tcW w:w="580" w:type="dxa"/>
            <w:tcBorders>
              <w:top w:val="single" w:sz="4" w:space="0" w:color="auto"/>
              <w:bottom w:val="single" w:sz="4" w:space="0" w:color="auto"/>
            </w:tcBorders>
            <w:shd w:val="clear" w:color="auto" w:fill="auto"/>
            <w:vAlign w:val="center"/>
            <w:hideMark/>
          </w:tcPr>
          <w:p w14:paraId="577C5A96" w14:textId="77777777" w:rsidR="00062180" w:rsidRPr="00062180" w:rsidRDefault="00062180" w:rsidP="0015136C">
            <w:pPr>
              <w:spacing w:after="0" w:line="480" w:lineRule="auto"/>
              <w:ind w:firstLine="0"/>
              <w:jc w:val="center"/>
              <w:rPr>
                <w:rFonts w:eastAsia="Times New Roman" w:cs="Times New Roman"/>
                <w:b/>
                <w:bCs/>
                <w:color w:val="000000"/>
                <w:kern w:val="0"/>
                <w:lang w:eastAsia="es-CO"/>
                <w14:ligatures w14:val="none"/>
              </w:rPr>
            </w:pPr>
            <w:r w:rsidRPr="00062180">
              <w:rPr>
                <w:rFonts w:eastAsia="Times New Roman" w:cs="Times New Roman"/>
                <w:b/>
                <w:bCs/>
                <w:color w:val="000000"/>
                <w:kern w:val="0"/>
                <w:lang w:eastAsia="es-CO"/>
                <w14:ligatures w14:val="none"/>
              </w:rPr>
              <w:t>2020</w:t>
            </w:r>
          </w:p>
        </w:tc>
        <w:tc>
          <w:tcPr>
            <w:tcW w:w="720" w:type="dxa"/>
            <w:tcBorders>
              <w:top w:val="single" w:sz="4" w:space="0" w:color="auto"/>
              <w:bottom w:val="single" w:sz="4" w:space="0" w:color="auto"/>
            </w:tcBorders>
            <w:shd w:val="clear" w:color="auto" w:fill="auto"/>
            <w:vAlign w:val="center"/>
            <w:hideMark/>
          </w:tcPr>
          <w:p w14:paraId="58AC2055" w14:textId="77777777" w:rsidR="00062180" w:rsidRPr="00062180" w:rsidRDefault="00062180" w:rsidP="0015136C">
            <w:pPr>
              <w:spacing w:after="0" w:line="480" w:lineRule="auto"/>
              <w:ind w:firstLine="0"/>
              <w:jc w:val="center"/>
              <w:rPr>
                <w:rFonts w:eastAsia="Times New Roman" w:cs="Times New Roman"/>
                <w:b/>
                <w:bCs/>
                <w:color w:val="000000"/>
                <w:kern w:val="0"/>
                <w:lang w:eastAsia="es-CO"/>
                <w14:ligatures w14:val="none"/>
              </w:rPr>
            </w:pPr>
            <w:r w:rsidRPr="00062180">
              <w:rPr>
                <w:rFonts w:eastAsia="Times New Roman" w:cs="Times New Roman"/>
                <w:b/>
                <w:bCs/>
                <w:color w:val="000000"/>
                <w:kern w:val="0"/>
                <w:lang w:eastAsia="es-CO"/>
                <w14:ligatures w14:val="none"/>
              </w:rPr>
              <w:t>2023pr</w:t>
            </w:r>
          </w:p>
        </w:tc>
      </w:tr>
      <w:tr w:rsidR="00062180" w:rsidRPr="00062180" w14:paraId="5C0AF3CD" w14:textId="77777777" w:rsidTr="00180119">
        <w:trPr>
          <w:trHeight w:val="300"/>
          <w:jc w:val="center"/>
        </w:trPr>
        <w:tc>
          <w:tcPr>
            <w:tcW w:w="3300" w:type="dxa"/>
            <w:tcBorders>
              <w:top w:val="single" w:sz="4" w:space="0" w:color="auto"/>
            </w:tcBorders>
            <w:shd w:val="clear" w:color="auto" w:fill="auto"/>
            <w:vAlign w:val="center"/>
            <w:hideMark/>
          </w:tcPr>
          <w:p w14:paraId="516ECEAC" w14:textId="77777777" w:rsidR="00062180" w:rsidRPr="00062180" w:rsidRDefault="00062180" w:rsidP="0015136C">
            <w:pPr>
              <w:spacing w:after="0" w:line="480" w:lineRule="auto"/>
              <w:ind w:firstLine="0"/>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Agricultura y ganadería</w:t>
            </w:r>
          </w:p>
        </w:tc>
        <w:tc>
          <w:tcPr>
            <w:tcW w:w="580" w:type="dxa"/>
            <w:tcBorders>
              <w:top w:val="single" w:sz="4" w:space="0" w:color="auto"/>
            </w:tcBorders>
            <w:shd w:val="clear" w:color="auto" w:fill="auto"/>
            <w:vAlign w:val="center"/>
            <w:hideMark/>
          </w:tcPr>
          <w:p w14:paraId="22FB799F"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884</w:t>
            </w:r>
          </w:p>
        </w:tc>
        <w:tc>
          <w:tcPr>
            <w:tcW w:w="580" w:type="dxa"/>
            <w:tcBorders>
              <w:top w:val="single" w:sz="4" w:space="0" w:color="auto"/>
            </w:tcBorders>
            <w:shd w:val="clear" w:color="auto" w:fill="auto"/>
            <w:vAlign w:val="center"/>
            <w:hideMark/>
          </w:tcPr>
          <w:p w14:paraId="24759A23"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1.015</w:t>
            </w:r>
          </w:p>
        </w:tc>
        <w:tc>
          <w:tcPr>
            <w:tcW w:w="580" w:type="dxa"/>
            <w:tcBorders>
              <w:top w:val="single" w:sz="4" w:space="0" w:color="auto"/>
            </w:tcBorders>
            <w:shd w:val="clear" w:color="auto" w:fill="auto"/>
            <w:vAlign w:val="center"/>
            <w:hideMark/>
          </w:tcPr>
          <w:p w14:paraId="4EA6EE3B"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1.256</w:t>
            </w:r>
          </w:p>
        </w:tc>
        <w:tc>
          <w:tcPr>
            <w:tcW w:w="580" w:type="dxa"/>
            <w:tcBorders>
              <w:top w:val="single" w:sz="4" w:space="0" w:color="auto"/>
            </w:tcBorders>
            <w:shd w:val="clear" w:color="auto" w:fill="auto"/>
            <w:vAlign w:val="center"/>
            <w:hideMark/>
          </w:tcPr>
          <w:p w14:paraId="750E2C24"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2.245</w:t>
            </w:r>
          </w:p>
        </w:tc>
        <w:tc>
          <w:tcPr>
            <w:tcW w:w="720" w:type="dxa"/>
            <w:tcBorders>
              <w:top w:val="single" w:sz="4" w:space="0" w:color="auto"/>
            </w:tcBorders>
            <w:shd w:val="clear" w:color="auto" w:fill="auto"/>
            <w:vAlign w:val="center"/>
            <w:hideMark/>
          </w:tcPr>
          <w:p w14:paraId="3BC051B2"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3.339</w:t>
            </w:r>
          </w:p>
        </w:tc>
      </w:tr>
      <w:tr w:rsidR="00062180" w:rsidRPr="00062180" w14:paraId="4C001393" w14:textId="77777777" w:rsidTr="00180119">
        <w:trPr>
          <w:trHeight w:val="300"/>
          <w:jc w:val="center"/>
        </w:trPr>
        <w:tc>
          <w:tcPr>
            <w:tcW w:w="3300" w:type="dxa"/>
            <w:shd w:val="clear" w:color="auto" w:fill="auto"/>
            <w:vAlign w:val="center"/>
            <w:hideMark/>
          </w:tcPr>
          <w:p w14:paraId="2B37ED05" w14:textId="77777777" w:rsidR="00062180" w:rsidRPr="00062180" w:rsidRDefault="00062180" w:rsidP="0015136C">
            <w:pPr>
              <w:spacing w:after="0" w:line="480" w:lineRule="auto"/>
              <w:ind w:firstLine="0"/>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Explotación de minas</w:t>
            </w:r>
          </w:p>
        </w:tc>
        <w:tc>
          <w:tcPr>
            <w:tcW w:w="580" w:type="dxa"/>
            <w:shd w:val="clear" w:color="auto" w:fill="auto"/>
            <w:vAlign w:val="center"/>
            <w:hideMark/>
          </w:tcPr>
          <w:p w14:paraId="1B8CA1B9"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2.465</w:t>
            </w:r>
          </w:p>
        </w:tc>
        <w:tc>
          <w:tcPr>
            <w:tcW w:w="580" w:type="dxa"/>
            <w:shd w:val="clear" w:color="auto" w:fill="auto"/>
            <w:vAlign w:val="center"/>
            <w:hideMark/>
          </w:tcPr>
          <w:p w14:paraId="7D2505ED"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4.620</w:t>
            </w:r>
          </w:p>
        </w:tc>
        <w:tc>
          <w:tcPr>
            <w:tcW w:w="580" w:type="dxa"/>
            <w:shd w:val="clear" w:color="auto" w:fill="auto"/>
            <w:vAlign w:val="center"/>
            <w:hideMark/>
          </w:tcPr>
          <w:p w14:paraId="10615F7E"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4.985</w:t>
            </w:r>
          </w:p>
        </w:tc>
        <w:tc>
          <w:tcPr>
            <w:tcW w:w="580" w:type="dxa"/>
            <w:shd w:val="clear" w:color="auto" w:fill="auto"/>
            <w:vAlign w:val="center"/>
            <w:hideMark/>
          </w:tcPr>
          <w:p w14:paraId="02992B23"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8.771</w:t>
            </w:r>
          </w:p>
        </w:tc>
        <w:tc>
          <w:tcPr>
            <w:tcW w:w="720" w:type="dxa"/>
            <w:shd w:val="clear" w:color="auto" w:fill="auto"/>
            <w:vAlign w:val="center"/>
            <w:hideMark/>
          </w:tcPr>
          <w:p w14:paraId="49188055"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13.751</w:t>
            </w:r>
          </w:p>
        </w:tc>
      </w:tr>
      <w:tr w:rsidR="00062180" w:rsidRPr="00062180" w14:paraId="3A44E326" w14:textId="77777777" w:rsidTr="00180119">
        <w:trPr>
          <w:trHeight w:val="300"/>
          <w:jc w:val="center"/>
        </w:trPr>
        <w:tc>
          <w:tcPr>
            <w:tcW w:w="3300" w:type="dxa"/>
            <w:shd w:val="clear" w:color="auto" w:fill="auto"/>
            <w:vAlign w:val="center"/>
            <w:hideMark/>
          </w:tcPr>
          <w:p w14:paraId="39FBBEF3" w14:textId="77777777" w:rsidR="00062180" w:rsidRPr="00062180" w:rsidRDefault="00062180" w:rsidP="0015136C">
            <w:pPr>
              <w:spacing w:after="0" w:line="480" w:lineRule="auto"/>
              <w:ind w:firstLine="0"/>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Ind. manufactureras</w:t>
            </w:r>
          </w:p>
        </w:tc>
        <w:tc>
          <w:tcPr>
            <w:tcW w:w="580" w:type="dxa"/>
            <w:shd w:val="clear" w:color="auto" w:fill="auto"/>
            <w:vAlign w:val="center"/>
            <w:hideMark/>
          </w:tcPr>
          <w:p w14:paraId="09D9543C"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280</w:t>
            </w:r>
          </w:p>
        </w:tc>
        <w:tc>
          <w:tcPr>
            <w:tcW w:w="580" w:type="dxa"/>
            <w:shd w:val="clear" w:color="auto" w:fill="auto"/>
            <w:vAlign w:val="center"/>
            <w:hideMark/>
          </w:tcPr>
          <w:p w14:paraId="7181411C"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412</w:t>
            </w:r>
          </w:p>
        </w:tc>
        <w:tc>
          <w:tcPr>
            <w:tcW w:w="580" w:type="dxa"/>
            <w:shd w:val="clear" w:color="auto" w:fill="auto"/>
            <w:vAlign w:val="center"/>
            <w:hideMark/>
          </w:tcPr>
          <w:p w14:paraId="06ABBBAC"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563</w:t>
            </w:r>
          </w:p>
        </w:tc>
        <w:tc>
          <w:tcPr>
            <w:tcW w:w="580" w:type="dxa"/>
            <w:shd w:val="clear" w:color="auto" w:fill="auto"/>
            <w:vAlign w:val="center"/>
            <w:hideMark/>
          </w:tcPr>
          <w:p w14:paraId="054B6990"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592</w:t>
            </w:r>
          </w:p>
        </w:tc>
        <w:tc>
          <w:tcPr>
            <w:tcW w:w="720" w:type="dxa"/>
            <w:shd w:val="clear" w:color="auto" w:fill="auto"/>
            <w:vAlign w:val="center"/>
            <w:hideMark/>
          </w:tcPr>
          <w:p w14:paraId="391D7601"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962</w:t>
            </w:r>
          </w:p>
        </w:tc>
      </w:tr>
      <w:tr w:rsidR="00062180" w:rsidRPr="00062180" w14:paraId="30D3DFF7" w14:textId="77777777" w:rsidTr="00180119">
        <w:trPr>
          <w:trHeight w:val="300"/>
          <w:jc w:val="center"/>
        </w:trPr>
        <w:tc>
          <w:tcPr>
            <w:tcW w:w="3300" w:type="dxa"/>
            <w:shd w:val="clear" w:color="auto" w:fill="auto"/>
            <w:vAlign w:val="center"/>
            <w:hideMark/>
          </w:tcPr>
          <w:p w14:paraId="7FCAFA06" w14:textId="77777777" w:rsidR="00062180" w:rsidRPr="00062180" w:rsidRDefault="00062180" w:rsidP="0015136C">
            <w:pPr>
              <w:spacing w:after="0" w:line="480" w:lineRule="auto"/>
              <w:ind w:firstLine="0"/>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Comercio</w:t>
            </w:r>
          </w:p>
        </w:tc>
        <w:tc>
          <w:tcPr>
            <w:tcW w:w="580" w:type="dxa"/>
            <w:shd w:val="clear" w:color="auto" w:fill="auto"/>
            <w:vAlign w:val="center"/>
            <w:hideMark/>
          </w:tcPr>
          <w:p w14:paraId="28E6B47D"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792</w:t>
            </w:r>
          </w:p>
        </w:tc>
        <w:tc>
          <w:tcPr>
            <w:tcW w:w="580" w:type="dxa"/>
            <w:shd w:val="clear" w:color="auto" w:fill="auto"/>
            <w:vAlign w:val="center"/>
            <w:hideMark/>
          </w:tcPr>
          <w:p w14:paraId="35A6E013"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1.191</w:t>
            </w:r>
          </w:p>
        </w:tc>
        <w:tc>
          <w:tcPr>
            <w:tcW w:w="580" w:type="dxa"/>
            <w:shd w:val="clear" w:color="auto" w:fill="auto"/>
            <w:vAlign w:val="center"/>
            <w:hideMark/>
          </w:tcPr>
          <w:p w14:paraId="5DEF0960"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1.780</w:t>
            </w:r>
          </w:p>
        </w:tc>
        <w:tc>
          <w:tcPr>
            <w:tcW w:w="580" w:type="dxa"/>
            <w:shd w:val="clear" w:color="auto" w:fill="auto"/>
            <w:vAlign w:val="center"/>
            <w:hideMark/>
          </w:tcPr>
          <w:p w14:paraId="364784DD"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2.619</w:t>
            </w:r>
          </w:p>
        </w:tc>
        <w:tc>
          <w:tcPr>
            <w:tcW w:w="720" w:type="dxa"/>
            <w:shd w:val="clear" w:color="auto" w:fill="auto"/>
            <w:vAlign w:val="center"/>
            <w:hideMark/>
          </w:tcPr>
          <w:p w14:paraId="70C0D5B8"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3.560</w:t>
            </w:r>
          </w:p>
        </w:tc>
      </w:tr>
      <w:tr w:rsidR="00062180" w:rsidRPr="00062180" w14:paraId="1C517F07" w14:textId="77777777" w:rsidTr="00180119">
        <w:trPr>
          <w:trHeight w:val="300"/>
          <w:jc w:val="center"/>
        </w:trPr>
        <w:tc>
          <w:tcPr>
            <w:tcW w:w="3300" w:type="dxa"/>
            <w:shd w:val="clear" w:color="auto" w:fill="auto"/>
            <w:vAlign w:val="center"/>
            <w:hideMark/>
          </w:tcPr>
          <w:p w14:paraId="4B43E4C4" w14:textId="77777777" w:rsidR="00062180" w:rsidRPr="00062180" w:rsidRDefault="00062180" w:rsidP="0015136C">
            <w:pPr>
              <w:spacing w:after="0" w:line="480" w:lineRule="auto"/>
              <w:ind w:firstLine="0"/>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Administración pública</w:t>
            </w:r>
          </w:p>
        </w:tc>
        <w:tc>
          <w:tcPr>
            <w:tcW w:w="580" w:type="dxa"/>
            <w:shd w:val="clear" w:color="auto" w:fill="auto"/>
            <w:vAlign w:val="center"/>
            <w:hideMark/>
          </w:tcPr>
          <w:p w14:paraId="06AC0B79"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775</w:t>
            </w:r>
          </w:p>
        </w:tc>
        <w:tc>
          <w:tcPr>
            <w:tcW w:w="580" w:type="dxa"/>
            <w:shd w:val="clear" w:color="auto" w:fill="auto"/>
            <w:vAlign w:val="center"/>
            <w:hideMark/>
          </w:tcPr>
          <w:p w14:paraId="1140D363"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1.337</w:t>
            </w:r>
          </w:p>
        </w:tc>
        <w:tc>
          <w:tcPr>
            <w:tcW w:w="580" w:type="dxa"/>
            <w:shd w:val="clear" w:color="auto" w:fill="auto"/>
            <w:vAlign w:val="center"/>
            <w:hideMark/>
          </w:tcPr>
          <w:p w14:paraId="7EFA39CE"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2.304</w:t>
            </w:r>
          </w:p>
        </w:tc>
        <w:tc>
          <w:tcPr>
            <w:tcW w:w="580" w:type="dxa"/>
            <w:shd w:val="clear" w:color="auto" w:fill="auto"/>
            <w:vAlign w:val="center"/>
            <w:hideMark/>
          </w:tcPr>
          <w:p w14:paraId="6088808E"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3.234</w:t>
            </w:r>
          </w:p>
        </w:tc>
        <w:tc>
          <w:tcPr>
            <w:tcW w:w="720" w:type="dxa"/>
            <w:shd w:val="clear" w:color="auto" w:fill="auto"/>
            <w:vAlign w:val="center"/>
            <w:hideMark/>
          </w:tcPr>
          <w:p w14:paraId="6FB8B700" w14:textId="77777777" w:rsidR="00062180" w:rsidRPr="00062180" w:rsidRDefault="00062180" w:rsidP="0015136C">
            <w:pPr>
              <w:spacing w:after="0" w:line="480" w:lineRule="auto"/>
              <w:ind w:firstLine="0"/>
              <w:jc w:val="right"/>
              <w:rPr>
                <w:rFonts w:eastAsia="Times New Roman" w:cs="Times New Roman"/>
                <w:color w:val="000000"/>
                <w:kern w:val="0"/>
                <w:lang w:eastAsia="es-CO"/>
                <w14:ligatures w14:val="none"/>
              </w:rPr>
            </w:pPr>
            <w:r w:rsidRPr="00062180">
              <w:rPr>
                <w:rFonts w:eastAsia="Times New Roman" w:cs="Times New Roman"/>
                <w:color w:val="000000"/>
                <w:kern w:val="0"/>
                <w:lang w:eastAsia="es-CO"/>
                <w14:ligatures w14:val="none"/>
              </w:rPr>
              <w:t>4.708</w:t>
            </w:r>
          </w:p>
        </w:tc>
      </w:tr>
    </w:tbl>
    <w:p w14:paraId="0E883253" w14:textId="77777777" w:rsidR="00542AAB" w:rsidRDefault="00542AAB" w:rsidP="0015136C">
      <w:pPr>
        <w:spacing w:line="480" w:lineRule="auto"/>
        <w:rPr>
          <w:lang w:eastAsia="es-ES"/>
        </w:rPr>
      </w:pPr>
    </w:p>
    <w:p w14:paraId="5E12899B" w14:textId="77777777" w:rsidR="00CA326D" w:rsidRPr="00CA326D" w:rsidRDefault="00CA326D" w:rsidP="0015136C">
      <w:pPr>
        <w:spacing w:line="480" w:lineRule="auto"/>
        <w:rPr>
          <w:b/>
          <w:lang w:eastAsia="es-ES"/>
        </w:rPr>
      </w:pPr>
      <w:r w:rsidRPr="00CA326D">
        <w:rPr>
          <w:b/>
          <w:lang w:eastAsia="es-ES"/>
        </w:rPr>
        <w:t>Análisis:</w:t>
      </w:r>
    </w:p>
    <w:p w14:paraId="198FA22A" w14:textId="77777777" w:rsidR="00CA326D" w:rsidRPr="00CA326D" w:rsidRDefault="00CA326D" w:rsidP="0015136C">
      <w:pPr>
        <w:pStyle w:val="Prrafodelista"/>
        <w:numPr>
          <w:ilvl w:val="0"/>
          <w:numId w:val="12"/>
        </w:numPr>
        <w:spacing w:line="480" w:lineRule="auto"/>
        <w:rPr>
          <w:rFonts w:ascii="Times New Roman" w:hAnsi="Times New Roman"/>
        </w:rPr>
      </w:pPr>
      <w:r w:rsidRPr="00CA326D">
        <w:rPr>
          <w:rFonts w:ascii="Times New Roman" w:hAnsi="Times New Roman"/>
        </w:rPr>
        <w:t xml:space="preserve">Agricultura y ganadería: Se observa un crecimiento considerable en esta actividad, pasando de 884 millones en 2005 a 3.339 millones en 2023. Este aumento puede </w:t>
      </w:r>
      <w:r w:rsidRPr="00CA326D">
        <w:rPr>
          <w:rFonts w:ascii="Times New Roman" w:hAnsi="Times New Roman"/>
        </w:rPr>
        <w:lastRenderedPageBreak/>
        <w:t>estar relacionado con la mejora en técnicas agrícolas y el incremento de la demanda, lo que podría ser un buen indicador para el desarrollo de la zona franca, que puede beneficiarse de insumos agrícolas.</w:t>
      </w:r>
    </w:p>
    <w:p w14:paraId="3C65BE81" w14:textId="77777777" w:rsidR="00CA326D" w:rsidRPr="00CA326D" w:rsidRDefault="00CA326D" w:rsidP="0015136C">
      <w:pPr>
        <w:pStyle w:val="Prrafodelista"/>
        <w:numPr>
          <w:ilvl w:val="0"/>
          <w:numId w:val="12"/>
        </w:numPr>
        <w:spacing w:line="480" w:lineRule="auto"/>
        <w:rPr>
          <w:rFonts w:ascii="Times New Roman" w:hAnsi="Times New Roman"/>
        </w:rPr>
      </w:pPr>
      <w:r w:rsidRPr="00CA326D">
        <w:rPr>
          <w:rFonts w:ascii="Times New Roman" w:hAnsi="Times New Roman"/>
        </w:rPr>
        <w:t>Explotación de minas: Aunque ha tenido fluctuaciones, la explotación de minas muestra un crecimiento significativo, destacando el auge en la extracción de recursos naturales, que es vital para la economía regional. La zona franca podría aprovechar estos recursos para fomentar industrias de transformación.</w:t>
      </w:r>
    </w:p>
    <w:p w14:paraId="0847A9E5" w14:textId="77777777" w:rsidR="00CA326D" w:rsidRPr="00CA326D" w:rsidRDefault="00CA326D" w:rsidP="0015136C">
      <w:pPr>
        <w:pStyle w:val="Prrafodelista"/>
        <w:numPr>
          <w:ilvl w:val="0"/>
          <w:numId w:val="12"/>
        </w:numPr>
        <w:spacing w:line="480" w:lineRule="auto"/>
        <w:rPr>
          <w:rFonts w:ascii="Times New Roman" w:hAnsi="Times New Roman"/>
        </w:rPr>
      </w:pPr>
      <w:r w:rsidRPr="00CA326D">
        <w:rPr>
          <w:rFonts w:ascii="Times New Roman" w:hAnsi="Times New Roman"/>
        </w:rPr>
        <w:t>Industrias manufactureras: A pesar de un aumento moderado, esta categoría refleja un sector que necesita atención para fortalecer su competitividad. La creación de una zona franca puede ser una estrategia efectiva para atraer inversiones y fomentar la producción local.</w:t>
      </w:r>
    </w:p>
    <w:p w14:paraId="73156B39" w14:textId="77777777" w:rsidR="00CA326D" w:rsidRPr="00CA326D" w:rsidRDefault="00CA326D" w:rsidP="0015136C">
      <w:pPr>
        <w:pStyle w:val="Prrafodelista"/>
        <w:numPr>
          <w:ilvl w:val="0"/>
          <w:numId w:val="12"/>
        </w:numPr>
        <w:spacing w:line="480" w:lineRule="auto"/>
        <w:rPr>
          <w:rFonts w:ascii="Times New Roman" w:hAnsi="Times New Roman"/>
        </w:rPr>
      </w:pPr>
      <w:r w:rsidRPr="00CA326D">
        <w:rPr>
          <w:rFonts w:ascii="Times New Roman" w:hAnsi="Times New Roman"/>
        </w:rPr>
        <w:t>Comercio: Esta actividad ha crecido notablemente, lo cual indica una mayor interacción económica y un incremento en el consumo en el departamento. La proximidad de Aguachica a los mercados regionales y su infraestructura pueden hacer de la zona franca un punto estratégico para el comercio.</w:t>
      </w:r>
    </w:p>
    <w:p w14:paraId="40A953DF" w14:textId="4A4FC5CC" w:rsidR="00CA326D" w:rsidRPr="006C3145" w:rsidRDefault="00CA326D" w:rsidP="006C3145">
      <w:pPr>
        <w:pStyle w:val="Prrafodelista"/>
        <w:numPr>
          <w:ilvl w:val="0"/>
          <w:numId w:val="12"/>
        </w:numPr>
        <w:spacing w:line="480" w:lineRule="auto"/>
        <w:rPr>
          <w:rFonts w:ascii="Times New Roman" w:hAnsi="Times New Roman"/>
        </w:rPr>
      </w:pPr>
      <w:r w:rsidRPr="00CA326D">
        <w:rPr>
          <w:rFonts w:ascii="Times New Roman" w:hAnsi="Times New Roman"/>
        </w:rPr>
        <w:t>Administración pública: El incremento en el valor agregado en esta categoría puede reflejar un aumento en la inversión pública y los servicios sociales, lo cual impacta indirectamente en la economía local y puede facilitar el funcionamiento de la zona franca al mejorar la calidad de vida y servicios disponibles.</w:t>
      </w:r>
    </w:p>
    <w:p w14:paraId="3B037AFD" w14:textId="77777777" w:rsidR="00CA326D" w:rsidRPr="00180119" w:rsidRDefault="00CA326D" w:rsidP="0015136C">
      <w:pPr>
        <w:spacing w:line="480" w:lineRule="auto"/>
        <w:rPr>
          <w:b/>
          <w:iCs/>
          <w:lang w:eastAsia="es-ES"/>
        </w:rPr>
      </w:pPr>
      <w:r w:rsidRPr="00180119">
        <w:rPr>
          <w:b/>
          <w:iCs/>
          <w:lang w:eastAsia="es-ES"/>
        </w:rPr>
        <w:t>Porcentaje del Valor Agregado por Actividades Económicas</w:t>
      </w:r>
    </w:p>
    <w:p w14:paraId="59113FDB" w14:textId="23BE630C" w:rsidR="00180119" w:rsidRDefault="00CA326D" w:rsidP="006C3145">
      <w:pPr>
        <w:spacing w:line="480" w:lineRule="auto"/>
        <w:rPr>
          <w:lang w:eastAsia="es-ES"/>
        </w:rPr>
      </w:pPr>
      <w:r>
        <w:rPr>
          <w:lang w:eastAsia="es-ES"/>
        </w:rPr>
        <w:t xml:space="preserve">A continuación, se presenta el porcentaje del valor agregado por actividades económicas en Aguachica, que abarca tres categorías: actividades primarias, secundarias y terciarias. Los datos </w:t>
      </w:r>
      <w:r>
        <w:rPr>
          <w:lang w:eastAsia="es-ES"/>
        </w:rPr>
        <w:lastRenderedPageBreak/>
        <w:t>son de la fuente TerriData, con información del DNP y el DANE, y abarcan el período de 2019 a 2021.</w:t>
      </w:r>
    </w:p>
    <w:p w14:paraId="22B58271" w14:textId="392F7CC5" w:rsidR="00180119" w:rsidRPr="00180119" w:rsidRDefault="00180119" w:rsidP="00180119">
      <w:pPr>
        <w:pStyle w:val="Descripcin"/>
        <w:keepNext/>
        <w:spacing w:after="0"/>
        <w:rPr>
          <w:b/>
          <w:bCs/>
          <w:i w:val="0"/>
          <w:iCs w:val="0"/>
          <w:color w:val="auto"/>
          <w:sz w:val="24"/>
          <w:szCs w:val="22"/>
          <w:lang w:eastAsia="es-ES"/>
        </w:rPr>
      </w:pPr>
      <w:bookmarkStart w:id="121" w:name="_Toc178689028"/>
      <w:bookmarkStart w:id="122" w:name="_Toc183783101"/>
      <w:r w:rsidRPr="00180119">
        <w:rPr>
          <w:b/>
          <w:bCs/>
          <w:i w:val="0"/>
          <w:iCs w:val="0"/>
          <w:color w:val="auto"/>
          <w:sz w:val="24"/>
          <w:szCs w:val="22"/>
          <w:lang w:eastAsia="es-ES"/>
        </w:rPr>
        <w:t xml:space="preserve">Tabla </w:t>
      </w:r>
      <w:r w:rsidRPr="00180119">
        <w:rPr>
          <w:b/>
          <w:bCs/>
          <w:i w:val="0"/>
          <w:iCs w:val="0"/>
          <w:color w:val="auto"/>
          <w:sz w:val="24"/>
          <w:szCs w:val="22"/>
          <w:lang w:eastAsia="es-ES"/>
        </w:rPr>
        <w:fldChar w:fldCharType="begin"/>
      </w:r>
      <w:r w:rsidRPr="00180119">
        <w:rPr>
          <w:b/>
          <w:bCs/>
          <w:i w:val="0"/>
          <w:iCs w:val="0"/>
          <w:color w:val="auto"/>
          <w:sz w:val="24"/>
          <w:szCs w:val="22"/>
          <w:lang w:eastAsia="es-ES"/>
        </w:rPr>
        <w:instrText xml:space="preserve"> SEQ Tabla \* ARABIC </w:instrText>
      </w:r>
      <w:r w:rsidRPr="00180119">
        <w:rPr>
          <w:b/>
          <w:bCs/>
          <w:i w:val="0"/>
          <w:iCs w:val="0"/>
          <w:color w:val="auto"/>
          <w:sz w:val="24"/>
          <w:szCs w:val="22"/>
          <w:lang w:eastAsia="es-ES"/>
        </w:rPr>
        <w:fldChar w:fldCharType="separate"/>
      </w:r>
      <w:r w:rsidR="00901E21">
        <w:rPr>
          <w:b/>
          <w:bCs/>
          <w:i w:val="0"/>
          <w:iCs w:val="0"/>
          <w:noProof/>
          <w:color w:val="auto"/>
          <w:sz w:val="24"/>
          <w:szCs w:val="22"/>
          <w:lang w:eastAsia="es-ES"/>
        </w:rPr>
        <w:t>14</w:t>
      </w:r>
      <w:r w:rsidRPr="00180119">
        <w:rPr>
          <w:b/>
          <w:bCs/>
          <w:i w:val="0"/>
          <w:iCs w:val="0"/>
          <w:color w:val="auto"/>
          <w:sz w:val="24"/>
          <w:szCs w:val="22"/>
          <w:lang w:eastAsia="es-ES"/>
        </w:rPr>
        <w:fldChar w:fldCharType="end"/>
      </w:r>
      <w:r w:rsidRPr="00180119">
        <w:rPr>
          <w:b/>
          <w:bCs/>
          <w:i w:val="0"/>
          <w:iCs w:val="0"/>
          <w:color w:val="auto"/>
          <w:sz w:val="24"/>
          <w:szCs w:val="22"/>
          <w:lang w:eastAsia="es-ES"/>
        </w:rPr>
        <w:t>:</w:t>
      </w:r>
      <w:bookmarkEnd w:id="121"/>
      <w:bookmarkEnd w:id="122"/>
      <w:r w:rsidRPr="00180119">
        <w:rPr>
          <w:b/>
          <w:bCs/>
          <w:i w:val="0"/>
          <w:iCs w:val="0"/>
          <w:color w:val="auto"/>
          <w:sz w:val="24"/>
          <w:szCs w:val="22"/>
          <w:lang w:eastAsia="es-ES"/>
        </w:rPr>
        <w:t xml:space="preserve"> </w:t>
      </w:r>
    </w:p>
    <w:p w14:paraId="07F27CB1" w14:textId="1DAA20B5" w:rsidR="00180119" w:rsidRPr="006C3145" w:rsidRDefault="00180119" w:rsidP="00180119">
      <w:pPr>
        <w:pStyle w:val="Descripcin"/>
        <w:keepNext/>
        <w:spacing w:after="0"/>
        <w:rPr>
          <w:i w:val="0"/>
          <w:iCs w:val="0"/>
          <w:color w:val="auto"/>
          <w:sz w:val="24"/>
          <w:szCs w:val="22"/>
          <w:lang w:eastAsia="es-ES"/>
        </w:rPr>
      </w:pPr>
      <w:bookmarkStart w:id="123" w:name="_Toc178689029"/>
      <w:bookmarkStart w:id="124" w:name="_Toc183783102"/>
      <w:r w:rsidRPr="006C3145">
        <w:rPr>
          <w:i w:val="0"/>
          <w:iCs w:val="0"/>
          <w:color w:val="auto"/>
          <w:sz w:val="24"/>
          <w:szCs w:val="22"/>
          <w:lang w:eastAsia="es-ES"/>
        </w:rPr>
        <w:t>Porcentaje del Valor Agregado por Actividades Económicas</w:t>
      </w:r>
      <w:bookmarkEnd w:id="123"/>
      <w:bookmarkEnd w:id="124"/>
    </w:p>
    <w:p w14:paraId="38F0EBC8" w14:textId="77777777" w:rsidR="00180119" w:rsidRDefault="00180119" w:rsidP="0015136C">
      <w:pPr>
        <w:spacing w:line="480" w:lineRule="auto"/>
        <w:rPr>
          <w:lang w:eastAsia="es-ES"/>
        </w:rPr>
      </w:pPr>
    </w:p>
    <w:tbl>
      <w:tblPr>
        <w:tblW w:w="3600"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353"/>
        <w:gridCol w:w="1247"/>
      </w:tblGrid>
      <w:tr w:rsidR="00CA326D" w:rsidRPr="00CA326D" w14:paraId="75656C65" w14:textId="77777777" w:rsidTr="00180119">
        <w:trPr>
          <w:trHeight w:val="300"/>
          <w:jc w:val="center"/>
        </w:trPr>
        <w:tc>
          <w:tcPr>
            <w:tcW w:w="3600" w:type="dxa"/>
            <w:gridSpan w:val="2"/>
            <w:tcBorders>
              <w:top w:val="single" w:sz="4" w:space="0" w:color="auto"/>
              <w:bottom w:val="single" w:sz="4" w:space="0" w:color="auto"/>
            </w:tcBorders>
            <w:shd w:val="clear" w:color="auto" w:fill="auto"/>
            <w:noWrap/>
            <w:vAlign w:val="center"/>
            <w:hideMark/>
          </w:tcPr>
          <w:p w14:paraId="7C697975" w14:textId="77777777" w:rsidR="00CA326D" w:rsidRPr="00CA326D" w:rsidRDefault="00CA326D" w:rsidP="0015136C">
            <w:pPr>
              <w:spacing w:after="0" w:line="480" w:lineRule="auto"/>
              <w:ind w:firstLine="0"/>
              <w:jc w:val="center"/>
              <w:rPr>
                <w:rFonts w:eastAsia="Times New Roman" w:cs="Times New Roman"/>
                <w:b/>
                <w:bCs/>
                <w:color w:val="000000"/>
                <w:kern w:val="0"/>
                <w:szCs w:val="24"/>
                <w:lang w:eastAsia="es-CO"/>
                <w14:ligatures w14:val="none"/>
              </w:rPr>
            </w:pPr>
            <w:r w:rsidRPr="00CA326D">
              <w:rPr>
                <w:rFonts w:eastAsia="Times New Roman" w:cs="Times New Roman"/>
                <w:b/>
                <w:bCs/>
                <w:color w:val="000000"/>
                <w:kern w:val="0"/>
                <w:szCs w:val="24"/>
                <w:lang w:eastAsia="es-CO"/>
                <w14:ligatures w14:val="none"/>
              </w:rPr>
              <w:t>Actividades Primarias:</w:t>
            </w:r>
          </w:p>
        </w:tc>
      </w:tr>
      <w:tr w:rsidR="00CA326D" w:rsidRPr="00CA326D" w14:paraId="09B3992C" w14:textId="77777777" w:rsidTr="00180119">
        <w:trPr>
          <w:trHeight w:val="300"/>
          <w:jc w:val="center"/>
        </w:trPr>
        <w:tc>
          <w:tcPr>
            <w:tcW w:w="2400" w:type="dxa"/>
            <w:tcBorders>
              <w:top w:val="single" w:sz="4" w:space="0" w:color="auto"/>
            </w:tcBorders>
            <w:shd w:val="clear" w:color="auto" w:fill="auto"/>
            <w:vAlign w:val="center"/>
            <w:hideMark/>
          </w:tcPr>
          <w:p w14:paraId="4EFC584D" w14:textId="77777777" w:rsidR="00CA326D" w:rsidRPr="00CA326D" w:rsidRDefault="00CA326D" w:rsidP="0015136C">
            <w:pPr>
              <w:spacing w:after="0" w:line="480" w:lineRule="auto"/>
              <w:ind w:firstLine="0"/>
              <w:jc w:val="center"/>
              <w:rPr>
                <w:rFonts w:eastAsia="Times New Roman" w:cs="Times New Roman"/>
                <w:b/>
                <w:bCs/>
                <w:color w:val="000000"/>
                <w:kern w:val="0"/>
                <w:szCs w:val="24"/>
                <w:lang w:eastAsia="es-CO"/>
                <w14:ligatures w14:val="none"/>
              </w:rPr>
            </w:pPr>
            <w:r w:rsidRPr="00CA326D">
              <w:rPr>
                <w:rFonts w:eastAsia="Times New Roman" w:cs="Times New Roman"/>
                <w:b/>
                <w:bCs/>
                <w:color w:val="000000"/>
                <w:kern w:val="0"/>
                <w:szCs w:val="24"/>
                <w:lang w:eastAsia="es-CO"/>
                <w14:ligatures w14:val="none"/>
              </w:rPr>
              <w:t>Año</w:t>
            </w:r>
          </w:p>
        </w:tc>
        <w:tc>
          <w:tcPr>
            <w:tcW w:w="1200" w:type="dxa"/>
            <w:tcBorders>
              <w:top w:val="single" w:sz="4" w:space="0" w:color="auto"/>
            </w:tcBorders>
            <w:shd w:val="clear" w:color="auto" w:fill="auto"/>
            <w:vAlign w:val="center"/>
            <w:hideMark/>
          </w:tcPr>
          <w:p w14:paraId="41D45452" w14:textId="77777777" w:rsidR="00CA326D" w:rsidRPr="00CA326D" w:rsidRDefault="00CA326D" w:rsidP="0015136C">
            <w:pPr>
              <w:spacing w:after="0" w:line="480" w:lineRule="auto"/>
              <w:ind w:firstLine="0"/>
              <w:jc w:val="center"/>
              <w:rPr>
                <w:rFonts w:eastAsia="Times New Roman" w:cs="Times New Roman"/>
                <w:b/>
                <w:bCs/>
                <w:color w:val="000000"/>
                <w:kern w:val="0"/>
                <w:szCs w:val="24"/>
                <w:lang w:eastAsia="es-CO"/>
                <w14:ligatures w14:val="none"/>
              </w:rPr>
            </w:pPr>
            <w:r w:rsidRPr="00CA326D">
              <w:rPr>
                <w:rFonts w:eastAsia="Times New Roman" w:cs="Times New Roman"/>
                <w:b/>
                <w:bCs/>
                <w:color w:val="000000"/>
                <w:kern w:val="0"/>
                <w:szCs w:val="24"/>
                <w:lang w:eastAsia="es-CO"/>
                <w14:ligatures w14:val="none"/>
              </w:rPr>
              <w:t>Porcentaje</w:t>
            </w:r>
          </w:p>
        </w:tc>
      </w:tr>
      <w:tr w:rsidR="00CA326D" w:rsidRPr="00CA326D" w14:paraId="1ACFD29D" w14:textId="77777777" w:rsidTr="00180119">
        <w:trPr>
          <w:trHeight w:val="300"/>
          <w:jc w:val="center"/>
        </w:trPr>
        <w:tc>
          <w:tcPr>
            <w:tcW w:w="2400" w:type="dxa"/>
            <w:shd w:val="clear" w:color="auto" w:fill="auto"/>
            <w:vAlign w:val="center"/>
            <w:hideMark/>
          </w:tcPr>
          <w:p w14:paraId="4A07D61F"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2019</w:t>
            </w:r>
          </w:p>
        </w:tc>
        <w:tc>
          <w:tcPr>
            <w:tcW w:w="1200" w:type="dxa"/>
            <w:shd w:val="clear" w:color="auto" w:fill="auto"/>
            <w:vAlign w:val="center"/>
            <w:hideMark/>
          </w:tcPr>
          <w:p w14:paraId="29AE3263"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9,66</w:t>
            </w:r>
          </w:p>
        </w:tc>
      </w:tr>
      <w:tr w:rsidR="00CA326D" w:rsidRPr="00CA326D" w14:paraId="2E915929" w14:textId="77777777" w:rsidTr="00180119">
        <w:trPr>
          <w:trHeight w:val="300"/>
          <w:jc w:val="center"/>
        </w:trPr>
        <w:tc>
          <w:tcPr>
            <w:tcW w:w="2400" w:type="dxa"/>
            <w:shd w:val="clear" w:color="auto" w:fill="auto"/>
            <w:vAlign w:val="center"/>
            <w:hideMark/>
          </w:tcPr>
          <w:p w14:paraId="31CF91ED"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2020</w:t>
            </w:r>
          </w:p>
        </w:tc>
        <w:tc>
          <w:tcPr>
            <w:tcW w:w="1200" w:type="dxa"/>
            <w:shd w:val="clear" w:color="auto" w:fill="auto"/>
            <w:vAlign w:val="center"/>
            <w:hideMark/>
          </w:tcPr>
          <w:p w14:paraId="031DF01E"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8,7</w:t>
            </w:r>
          </w:p>
        </w:tc>
      </w:tr>
      <w:tr w:rsidR="00CA326D" w:rsidRPr="00CA326D" w14:paraId="56C716D5" w14:textId="77777777" w:rsidTr="00180119">
        <w:trPr>
          <w:trHeight w:val="300"/>
          <w:jc w:val="center"/>
        </w:trPr>
        <w:tc>
          <w:tcPr>
            <w:tcW w:w="2400" w:type="dxa"/>
            <w:tcBorders>
              <w:bottom w:val="single" w:sz="4" w:space="0" w:color="auto"/>
            </w:tcBorders>
            <w:shd w:val="clear" w:color="auto" w:fill="auto"/>
            <w:vAlign w:val="center"/>
            <w:hideMark/>
          </w:tcPr>
          <w:p w14:paraId="19163E75"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2021</w:t>
            </w:r>
          </w:p>
        </w:tc>
        <w:tc>
          <w:tcPr>
            <w:tcW w:w="1200" w:type="dxa"/>
            <w:tcBorders>
              <w:bottom w:val="single" w:sz="4" w:space="0" w:color="auto"/>
            </w:tcBorders>
            <w:shd w:val="clear" w:color="auto" w:fill="auto"/>
            <w:vAlign w:val="center"/>
            <w:hideMark/>
          </w:tcPr>
          <w:p w14:paraId="0566E0B4"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10,9</w:t>
            </w:r>
          </w:p>
        </w:tc>
      </w:tr>
      <w:tr w:rsidR="00CA326D" w:rsidRPr="00CA326D" w14:paraId="26D490A3" w14:textId="77777777" w:rsidTr="00180119">
        <w:trPr>
          <w:trHeight w:val="300"/>
          <w:jc w:val="center"/>
        </w:trPr>
        <w:tc>
          <w:tcPr>
            <w:tcW w:w="3600" w:type="dxa"/>
            <w:gridSpan w:val="2"/>
            <w:tcBorders>
              <w:top w:val="single" w:sz="4" w:space="0" w:color="auto"/>
              <w:bottom w:val="single" w:sz="4" w:space="0" w:color="auto"/>
            </w:tcBorders>
            <w:shd w:val="clear" w:color="auto" w:fill="auto"/>
            <w:noWrap/>
            <w:vAlign w:val="center"/>
            <w:hideMark/>
          </w:tcPr>
          <w:p w14:paraId="2EC3C11F" w14:textId="77777777" w:rsidR="00CA326D" w:rsidRPr="00CA326D" w:rsidRDefault="00CA326D" w:rsidP="0015136C">
            <w:pPr>
              <w:spacing w:after="0" w:line="480" w:lineRule="auto"/>
              <w:ind w:firstLine="0"/>
              <w:jc w:val="center"/>
              <w:rPr>
                <w:rFonts w:eastAsia="Times New Roman" w:cs="Times New Roman"/>
                <w:b/>
                <w:bCs/>
                <w:color w:val="000000"/>
                <w:kern w:val="0"/>
                <w:szCs w:val="24"/>
                <w:lang w:eastAsia="es-CO"/>
                <w14:ligatures w14:val="none"/>
              </w:rPr>
            </w:pPr>
            <w:r w:rsidRPr="00CA326D">
              <w:rPr>
                <w:rFonts w:eastAsia="Times New Roman" w:cs="Times New Roman"/>
                <w:b/>
                <w:bCs/>
                <w:color w:val="000000"/>
                <w:kern w:val="0"/>
                <w:szCs w:val="24"/>
                <w:lang w:eastAsia="es-CO"/>
                <w14:ligatures w14:val="none"/>
              </w:rPr>
              <w:t>Actividades Secundarias:</w:t>
            </w:r>
          </w:p>
        </w:tc>
      </w:tr>
      <w:tr w:rsidR="00CA326D" w:rsidRPr="00CA326D" w14:paraId="1B1AA916" w14:textId="77777777" w:rsidTr="00180119">
        <w:trPr>
          <w:trHeight w:val="300"/>
          <w:jc w:val="center"/>
        </w:trPr>
        <w:tc>
          <w:tcPr>
            <w:tcW w:w="2400" w:type="dxa"/>
            <w:tcBorders>
              <w:top w:val="single" w:sz="4" w:space="0" w:color="auto"/>
            </w:tcBorders>
            <w:shd w:val="clear" w:color="auto" w:fill="auto"/>
            <w:vAlign w:val="center"/>
            <w:hideMark/>
          </w:tcPr>
          <w:p w14:paraId="43BD96E7" w14:textId="77777777" w:rsidR="00CA326D" w:rsidRPr="00CA326D" w:rsidRDefault="00CA326D" w:rsidP="0015136C">
            <w:pPr>
              <w:spacing w:after="0" w:line="480" w:lineRule="auto"/>
              <w:ind w:firstLine="0"/>
              <w:jc w:val="center"/>
              <w:rPr>
                <w:rFonts w:eastAsia="Times New Roman" w:cs="Times New Roman"/>
                <w:b/>
                <w:bCs/>
                <w:color w:val="000000"/>
                <w:kern w:val="0"/>
                <w:szCs w:val="24"/>
                <w:lang w:eastAsia="es-CO"/>
                <w14:ligatures w14:val="none"/>
              </w:rPr>
            </w:pPr>
            <w:r w:rsidRPr="00CA326D">
              <w:rPr>
                <w:rFonts w:eastAsia="Times New Roman" w:cs="Times New Roman"/>
                <w:b/>
                <w:bCs/>
                <w:color w:val="000000"/>
                <w:kern w:val="0"/>
                <w:szCs w:val="24"/>
                <w:lang w:eastAsia="es-CO"/>
                <w14:ligatures w14:val="none"/>
              </w:rPr>
              <w:t>Año</w:t>
            </w:r>
          </w:p>
        </w:tc>
        <w:tc>
          <w:tcPr>
            <w:tcW w:w="1200" w:type="dxa"/>
            <w:tcBorders>
              <w:top w:val="single" w:sz="4" w:space="0" w:color="auto"/>
            </w:tcBorders>
            <w:shd w:val="clear" w:color="auto" w:fill="auto"/>
            <w:vAlign w:val="center"/>
            <w:hideMark/>
          </w:tcPr>
          <w:p w14:paraId="5B530604" w14:textId="77777777" w:rsidR="00CA326D" w:rsidRPr="00CA326D" w:rsidRDefault="00CA326D" w:rsidP="0015136C">
            <w:pPr>
              <w:spacing w:after="0" w:line="480" w:lineRule="auto"/>
              <w:ind w:firstLine="0"/>
              <w:jc w:val="center"/>
              <w:rPr>
                <w:rFonts w:eastAsia="Times New Roman" w:cs="Times New Roman"/>
                <w:b/>
                <w:bCs/>
                <w:color w:val="000000"/>
                <w:kern w:val="0"/>
                <w:szCs w:val="24"/>
                <w:lang w:eastAsia="es-CO"/>
                <w14:ligatures w14:val="none"/>
              </w:rPr>
            </w:pPr>
            <w:r w:rsidRPr="00CA326D">
              <w:rPr>
                <w:rFonts w:eastAsia="Times New Roman" w:cs="Times New Roman"/>
                <w:b/>
                <w:bCs/>
                <w:color w:val="000000"/>
                <w:kern w:val="0"/>
                <w:szCs w:val="24"/>
                <w:lang w:eastAsia="es-CO"/>
                <w14:ligatures w14:val="none"/>
              </w:rPr>
              <w:t>Porcentaje</w:t>
            </w:r>
          </w:p>
        </w:tc>
      </w:tr>
      <w:tr w:rsidR="00CA326D" w:rsidRPr="00CA326D" w14:paraId="77868F26" w14:textId="77777777" w:rsidTr="00180119">
        <w:trPr>
          <w:trHeight w:val="300"/>
          <w:jc w:val="center"/>
        </w:trPr>
        <w:tc>
          <w:tcPr>
            <w:tcW w:w="2400" w:type="dxa"/>
            <w:shd w:val="clear" w:color="auto" w:fill="auto"/>
            <w:vAlign w:val="center"/>
            <w:hideMark/>
          </w:tcPr>
          <w:p w14:paraId="68D57E77"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2019</w:t>
            </w:r>
          </w:p>
        </w:tc>
        <w:tc>
          <w:tcPr>
            <w:tcW w:w="1200" w:type="dxa"/>
            <w:shd w:val="clear" w:color="auto" w:fill="auto"/>
            <w:vAlign w:val="center"/>
            <w:hideMark/>
          </w:tcPr>
          <w:p w14:paraId="61619463"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18,63</w:t>
            </w:r>
          </w:p>
        </w:tc>
      </w:tr>
      <w:tr w:rsidR="00CA326D" w:rsidRPr="00CA326D" w14:paraId="04E1A882" w14:textId="77777777" w:rsidTr="00180119">
        <w:trPr>
          <w:trHeight w:val="300"/>
          <w:jc w:val="center"/>
        </w:trPr>
        <w:tc>
          <w:tcPr>
            <w:tcW w:w="2400" w:type="dxa"/>
            <w:shd w:val="clear" w:color="auto" w:fill="auto"/>
            <w:vAlign w:val="center"/>
            <w:hideMark/>
          </w:tcPr>
          <w:p w14:paraId="002EA84F"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2020</w:t>
            </w:r>
          </w:p>
        </w:tc>
        <w:tc>
          <w:tcPr>
            <w:tcW w:w="1200" w:type="dxa"/>
            <w:shd w:val="clear" w:color="auto" w:fill="auto"/>
            <w:vAlign w:val="center"/>
            <w:hideMark/>
          </w:tcPr>
          <w:p w14:paraId="18FB89C9"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19,58</w:t>
            </w:r>
          </w:p>
        </w:tc>
      </w:tr>
      <w:tr w:rsidR="00CA326D" w:rsidRPr="00CA326D" w14:paraId="048657AA" w14:textId="77777777" w:rsidTr="00180119">
        <w:trPr>
          <w:trHeight w:val="300"/>
          <w:jc w:val="center"/>
        </w:trPr>
        <w:tc>
          <w:tcPr>
            <w:tcW w:w="2400" w:type="dxa"/>
            <w:tcBorders>
              <w:bottom w:val="single" w:sz="4" w:space="0" w:color="auto"/>
            </w:tcBorders>
            <w:shd w:val="clear" w:color="auto" w:fill="auto"/>
            <w:vAlign w:val="center"/>
            <w:hideMark/>
          </w:tcPr>
          <w:p w14:paraId="600A45D1"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2021</w:t>
            </w:r>
          </w:p>
        </w:tc>
        <w:tc>
          <w:tcPr>
            <w:tcW w:w="1200" w:type="dxa"/>
            <w:tcBorders>
              <w:bottom w:val="single" w:sz="4" w:space="0" w:color="auto"/>
            </w:tcBorders>
            <w:shd w:val="clear" w:color="auto" w:fill="auto"/>
            <w:vAlign w:val="center"/>
            <w:hideMark/>
          </w:tcPr>
          <w:p w14:paraId="052556FA"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20,26</w:t>
            </w:r>
          </w:p>
        </w:tc>
      </w:tr>
      <w:tr w:rsidR="00CA326D" w:rsidRPr="00CA326D" w14:paraId="4A00B8D1" w14:textId="77777777" w:rsidTr="00180119">
        <w:trPr>
          <w:trHeight w:val="300"/>
          <w:jc w:val="center"/>
        </w:trPr>
        <w:tc>
          <w:tcPr>
            <w:tcW w:w="3600" w:type="dxa"/>
            <w:gridSpan w:val="2"/>
            <w:tcBorders>
              <w:top w:val="single" w:sz="4" w:space="0" w:color="auto"/>
              <w:bottom w:val="single" w:sz="4" w:space="0" w:color="auto"/>
            </w:tcBorders>
            <w:shd w:val="clear" w:color="auto" w:fill="auto"/>
            <w:noWrap/>
            <w:vAlign w:val="center"/>
            <w:hideMark/>
          </w:tcPr>
          <w:p w14:paraId="30DDD9FE" w14:textId="77777777" w:rsidR="00CA326D" w:rsidRPr="00CA326D" w:rsidRDefault="00CA326D" w:rsidP="0015136C">
            <w:pPr>
              <w:spacing w:after="0" w:line="480" w:lineRule="auto"/>
              <w:ind w:firstLine="0"/>
              <w:jc w:val="center"/>
              <w:rPr>
                <w:rFonts w:eastAsia="Times New Roman" w:cs="Times New Roman"/>
                <w:b/>
                <w:bCs/>
                <w:color w:val="000000"/>
                <w:kern w:val="0"/>
                <w:szCs w:val="24"/>
                <w:lang w:eastAsia="es-CO"/>
                <w14:ligatures w14:val="none"/>
              </w:rPr>
            </w:pPr>
            <w:r w:rsidRPr="00CA326D">
              <w:rPr>
                <w:rFonts w:eastAsia="Times New Roman" w:cs="Times New Roman"/>
                <w:b/>
                <w:bCs/>
                <w:color w:val="000000"/>
                <w:kern w:val="0"/>
                <w:szCs w:val="24"/>
                <w:lang w:eastAsia="es-CO"/>
                <w14:ligatures w14:val="none"/>
              </w:rPr>
              <w:t>Actividades Terciarias:</w:t>
            </w:r>
          </w:p>
        </w:tc>
      </w:tr>
      <w:tr w:rsidR="00CA326D" w:rsidRPr="00CA326D" w14:paraId="295C4E23" w14:textId="77777777" w:rsidTr="00180119">
        <w:trPr>
          <w:trHeight w:val="300"/>
          <w:jc w:val="center"/>
        </w:trPr>
        <w:tc>
          <w:tcPr>
            <w:tcW w:w="2400" w:type="dxa"/>
            <w:tcBorders>
              <w:top w:val="single" w:sz="4" w:space="0" w:color="auto"/>
            </w:tcBorders>
            <w:shd w:val="clear" w:color="auto" w:fill="auto"/>
            <w:vAlign w:val="center"/>
            <w:hideMark/>
          </w:tcPr>
          <w:p w14:paraId="18BF1813" w14:textId="77777777" w:rsidR="00CA326D" w:rsidRPr="00CA326D" w:rsidRDefault="00CA326D" w:rsidP="0015136C">
            <w:pPr>
              <w:spacing w:after="0" w:line="480" w:lineRule="auto"/>
              <w:ind w:firstLine="0"/>
              <w:jc w:val="center"/>
              <w:rPr>
                <w:rFonts w:eastAsia="Times New Roman" w:cs="Times New Roman"/>
                <w:b/>
                <w:bCs/>
                <w:color w:val="000000"/>
                <w:kern w:val="0"/>
                <w:szCs w:val="24"/>
                <w:lang w:eastAsia="es-CO"/>
                <w14:ligatures w14:val="none"/>
              </w:rPr>
            </w:pPr>
            <w:r w:rsidRPr="00CA326D">
              <w:rPr>
                <w:rFonts w:eastAsia="Times New Roman" w:cs="Times New Roman"/>
                <w:b/>
                <w:bCs/>
                <w:color w:val="000000"/>
                <w:kern w:val="0"/>
                <w:szCs w:val="24"/>
                <w:lang w:eastAsia="es-CO"/>
                <w14:ligatures w14:val="none"/>
              </w:rPr>
              <w:t>Año</w:t>
            </w:r>
          </w:p>
        </w:tc>
        <w:tc>
          <w:tcPr>
            <w:tcW w:w="1200" w:type="dxa"/>
            <w:tcBorders>
              <w:top w:val="single" w:sz="4" w:space="0" w:color="auto"/>
            </w:tcBorders>
            <w:shd w:val="clear" w:color="auto" w:fill="auto"/>
            <w:vAlign w:val="center"/>
            <w:hideMark/>
          </w:tcPr>
          <w:p w14:paraId="760B44D3" w14:textId="77777777" w:rsidR="00CA326D" w:rsidRPr="00CA326D" w:rsidRDefault="00CA326D" w:rsidP="0015136C">
            <w:pPr>
              <w:spacing w:after="0" w:line="480" w:lineRule="auto"/>
              <w:ind w:firstLine="0"/>
              <w:jc w:val="center"/>
              <w:rPr>
                <w:rFonts w:eastAsia="Times New Roman" w:cs="Times New Roman"/>
                <w:b/>
                <w:bCs/>
                <w:color w:val="000000"/>
                <w:kern w:val="0"/>
                <w:szCs w:val="24"/>
                <w:lang w:eastAsia="es-CO"/>
                <w14:ligatures w14:val="none"/>
              </w:rPr>
            </w:pPr>
            <w:r w:rsidRPr="00CA326D">
              <w:rPr>
                <w:rFonts w:eastAsia="Times New Roman" w:cs="Times New Roman"/>
                <w:b/>
                <w:bCs/>
                <w:color w:val="000000"/>
                <w:kern w:val="0"/>
                <w:szCs w:val="24"/>
                <w:lang w:eastAsia="es-CO"/>
                <w14:ligatures w14:val="none"/>
              </w:rPr>
              <w:t>Porcentaje</w:t>
            </w:r>
          </w:p>
        </w:tc>
      </w:tr>
      <w:tr w:rsidR="00CA326D" w:rsidRPr="00CA326D" w14:paraId="046F351B" w14:textId="77777777" w:rsidTr="00180119">
        <w:trPr>
          <w:trHeight w:val="300"/>
          <w:jc w:val="center"/>
        </w:trPr>
        <w:tc>
          <w:tcPr>
            <w:tcW w:w="2400" w:type="dxa"/>
            <w:shd w:val="clear" w:color="auto" w:fill="auto"/>
            <w:vAlign w:val="center"/>
            <w:hideMark/>
          </w:tcPr>
          <w:p w14:paraId="552E5561"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2019</w:t>
            </w:r>
          </w:p>
        </w:tc>
        <w:tc>
          <w:tcPr>
            <w:tcW w:w="1200" w:type="dxa"/>
            <w:shd w:val="clear" w:color="auto" w:fill="auto"/>
            <w:vAlign w:val="center"/>
            <w:hideMark/>
          </w:tcPr>
          <w:p w14:paraId="6D8E3AB5"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71,71</w:t>
            </w:r>
          </w:p>
        </w:tc>
      </w:tr>
      <w:tr w:rsidR="00CA326D" w:rsidRPr="00CA326D" w14:paraId="6D1B2FCA" w14:textId="77777777" w:rsidTr="00180119">
        <w:trPr>
          <w:trHeight w:val="300"/>
          <w:jc w:val="center"/>
        </w:trPr>
        <w:tc>
          <w:tcPr>
            <w:tcW w:w="2400" w:type="dxa"/>
            <w:shd w:val="clear" w:color="auto" w:fill="auto"/>
            <w:vAlign w:val="center"/>
            <w:hideMark/>
          </w:tcPr>
          <w:p w14:paraId="39551052"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2020</w:t>
            </w:r>
          </w:p>
        </w:tc>
        <w:tc>
          <w:tcPr>
            <w:tcW w:w="1200" w:type="dxa"/>
            <w:shd w:val="clear" w:color="auto" w:fill="auto"/>
            <w:vAlign w:val="center"/>
            <w:hideMark/>
          </w:tcPr>
          <w:p w14:paraId="0F5FE685"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71,71</w:t>
            </w:r>
          </w:p>
        </w:tc>
      </w:tr>
      <w:tr w:rsidR="00CA326D" w:rsidRPr="00CA326D" w14:paraId="1D62824F" w14:textId="77777777" w:rsidTr="00180119">
        <w:trPr>
          <w:trHeight w:val="300"/>
          <w:jc w:val="center"/>
        </w:trPr>
        <w:tc>
          <w:tcPr>
            <w:tcW w:w="2400" w:type="dxa"/>
            <w:shd w:val="clear" w:color="auto" w:fill="auto"/>
            <w:vAlign w:val="center"/>
            <w:hideMark/>
          </w:tcPr>
          <w:p w14:paraId="4705506B"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2021</w:t>
            </w:r>
          </w:p>
        </w:tc>
        <w:tc>
          <w:tcPr>
            <w:tcW w:w="1200" w:type="dxa"/>
            <w:shd w:val="clear" w:color="auto" w:fill="auto"/>
            <w:vAlign w:val="center"/>
            <w:hideMark/>
          </w:tcPr>
          <w:p w14:paraId="31EAF269" w14:textId="77777777" w:rsidR="00CA326D" w:rsidRPr="00CA326D" w:rsidRDefault="00CA326D" w:rsidP="0015136C">
            <w:pPr>
              <w:spacing w:after="0" w:line="480" w:lineRule="auto"/>
              <w:ind w:firstLine="0"/>
              <w:jc w:val="center"/>
              <w:rPr>
                <w:rFonts w:eastAsia="Times New Roman" w:cs="Times New Roman"/>
                <w:color w:val="000000"/>
                <w:kern w:val="0"/>
                <w:szCs w:val="24"/>
                <w:lang w:eastAsia="es-CO"/>
                <w14:ligatures w14:val="none"/>
              </w:rPr>
            </w:pPr>
            <w:r w:rsidRPr="00CA326D">
              <w:rPr>
                <w:rFonts w:eastAsia="Times New Roman" w:cs="Times New Roman"/>
                <w:color w:val="000000"/>
                <w:kern w:val="0"/>
                <w:szCs w:val="24"/>
                <w:lang w:eastAsia="es-CO"/>
                <w14:ligatures w14:val="none"/>
              </w:rPr>
              <w:t>68,84</w:t>
            </w:r>
          </w:p>
        </w:tc>
      </w:tr>
    </w:tbl>
    <w:p w14:paraId="677F6CDF" w14:textId="77777777" w:rsidR="00CA326D" w:rsidRDefault="00CA326D" w:rsidP="0015136C">
      <w:pPr>
        <w:spacing w:line="480" w:lineRule="auto"/>
        <w:rPr>
          <w:lang w:eastAsia="es-ES"/>
        </w:rPr>
      </w:pPr>
    </w:p>
    <w:p w14:paraId="336C6562" w14:textId="0544A176" w:rsidR="00CA326D" w:rsidRDefault="00CA326D" w:rsidP="0015136C">
      <w:pPr>
        <w:spacing w:line="480" w:lineRule="auto"/>
        <w:rPr>
          <w:lang w:eastAsia="es-ES"/>
        </w:rPr>
      </w:pPr>
      <w:r w:rsidRPr="00CA326D">
        <w:rPr>
          <w:b/>
          <w:lang w:eastAsia="es-ES"/>
        </w:rPr>
        <w:t>Análisis del Valor Agregado:</w:t>
      </w:r>
    </w:p>
    <w:p w14:paraId="4D5744C1" w14:textId="0B846282" w:rsidR="00CA326D" w:rsidRPr="00CA326D" w:rsidRDefault="00CA326D" w:rsidP="0015136C">
      <w:pPr>
        <w:pStyle w:val="Prrafodelista"/>
        <w:numPr>
          <w:ilvl w:val="0"/>
          <w:numId w:val="19"/>
        </w:numPr>
        <w:spacing w:line="480" w:lineRule="auto"/>
        <w:rPr>
          <w:rFonts w:ascii="Times New Roman" w:hAnsi="Times New Roman"/>
        </w:rPr>
      </w:pPr>
      <w:r w:rsidRPr="00CA326D">
        <w:rPr>
          <w:rFonts w:ascii="Times New Roman" w:hAnsi="Times New Roman"/>
        </w:rPr>
        <w:lastRenderedPageBreak/>
        <w:t>Actividades Primarias: Aunque se observó una disminución en el porcentaje del valor agregado en 2020, el incremento en 2021 indica una posible recuperación en este sector. Esto puede ser beneficioso para una zona franca que busque integrar productos agrícolas</w:t>
      </w:r>
      <w:r>
        <w:rPr>
          <w:rFonts w:ascii="Times New Roman" w:hAnsi="Times New Roman"/>
        </w:rPr>
        <w:t xml:space="preserve"> </w:t>
      </w:r>
      <w:sdt>
        <w:sdtPr>
          <w:rPr>
            <w:rFonts w:ascii="Times New Roman" w:hAnsi="Times New Roman"/>
          </w:rPr>
          <w:id w:val="-113216279"/>
          <w:citation/>
        </w:sdtPr>
        <w:sdtEndPr/>
        <w:sdtContent>
          <w:r>
            <w:rPr>
              <w:rFonts w:ascii="Times New Roman" w:hAnsi="Times New Roman"/>
            </w:rPr>
            <w:fldChar w:fldCharType="begin"/>
          </w:r>
          <w:r w:rsidR="00AD25E0">
            <w:rPr>
              <w:rFonts w:ascii="Times New Roman" w:hAnsi="Times New Roman"/>
              <w:lang w:val="es-ES"/>
            </w:rPr>
            <w:instrText xml:space="preserve">CITATION Dan242 \l 3082 </w:instrText>
          </w:r>
          <w:r>
            <w:rPr>
              <w:rFonts w:ascii="Times New Roman" w:hAnsi="Times New Roman"/>
            </w:rPr>
            <w:fldChar w:fldCharType="separate"/>
          </w:r>
          <w:r w:rsidR="00901E21" w:rsidRPr="00901E21">
            <w:rPr>
              <w:rFonts w:ascii="Times New Roman" w:hAnsi="Times New Roman"/>
              <w:noProof/>
              <w:lang w:val="es-ES"/>
            </w:rPr>
            <w:t>(DANE, 2024)</w:t>
          </w:r>
          <w:r>
            <w:rPr>
              <w:rFonts w:ascii="Times New Roman" w:hAnsi="Times New Roman"/>
            </w:rPr>
            <w:fldChar w:fldCharType="end"/>
          </w:r>
        </w:sdtContent>
      </w:sdt>
      <w:r w:rsidRPr="00CA326D">
        <w:rPr>
          <w:rFonts w:ascii="Times New Roman" w:hAnsi="Times New Roman"/>
        </w:rPr>
        <w:t>.</w:t>
      </w:r>
    </w:p>
    <w:p w14:paraId="118D7DB6" w14:textId="5D36E05F" w:rsidR="00CA326D" w:rsidRPr="00CA326D" w:rsidRDefault="00CA326D" w:rsidP="0015136C">
      <w:pPr>
        <w:pStyle w:val="Prrafodelista"/>
        <w:numPr>
          <w:ilvl w:val="0"/>
          <w:numId w:val="19"/>
        </w:numPr>
        <w:spacing w:line="480" w:lineRule="auto"/>
        <w:rPr>
          <w:rFonts w:ascii="Times New Roman" w:hAnsi="Times New Roman"/>
        </w:rPr>
      </w:pPr>
      <w:r w:rsidRPr="00CA326D">
        <w:rPr>
          <w:rFonts w:ascii="Times New Roman" w:hAnsi="Times New Roman"/>
        </w:rPr>
        <w:t>Actividades Secundarias: Este sector muestra un crecimiento constante, alcanzando el 20,26% en 2021. Este aumento puede indicar una diversificación económica y un impulso a la industria local, lo que es fundamental para el desarrollo de la zona franca</w:t>
      </w:r>
      <w:r>
        <w:rPr>
          <w:rFonts w:ascii="Times New Roman" w:hAnsi="Times New Roman"/>
        </w:rPr>
        <w:t xml:space="preserve"> </w:t>
      </w:r>
      <w:sdt>
        <w:sdtPr>
          <w:rPr>
            <w:rFonts w:ascii="Times New Roman" w:hAnsi="Times New Roman"/>
          </w:rPr>
          <w:id w:val="1085336459"/>
          <w:citation/>
        </w:sdtPr>
        <w:sdtEndPr/>
        <w:sdtContent>
          <w:r>
            <w:rPr>
              <w:rFonts w:ascii="Times New Roman" w:hAnsi="Times New Roman"/>
            </w:rPr>
            <w:fldChar w:fldCharType="begin"/>
          </w:r>
          <w:r w:rsidR="00AD25E0">
            <w:rPr>
              <w:rFonts w:ascii="Times New Roman" w:hAnsi="Times New Roman"/>
              <w:lang w:val="es-ES"/>
            </w:rPr>
            <w:instrText xml:space="preserve">CITATION Dan242 \l 3082 </w:instrText>
          </w:r>
          <w:r>
            <w:rPr>
              <w:rFonts w:ascii="Times New Roman" w:hAnsi="Times New Roman"/>
            </w:rPr>
            <w:fldChar w:fldCharType="separate"/>
          </w:r>
          <w:r w:rsidR="00901E21" w:rsidRPr="00901E21">
            <w:rPr>
              <w:rFonts w:ascii="Times New Roman" w:hAnsi="Times New Roman"/>
              <w:noProof/>
              <w:lang w:val="es-ES"/>
            </w:rPr>
            <w:t>(DANE, 2024)</w:t>
          </w:r>
          <w:r>
            <w:rPr>
              <w:rFonts w:ascii="Times New Roman" w:hAnsi="Times New Roman"/>
            </w:rPr>
            <w:fldChar w:fldCharType="end"/>
          </w:r>
        </w:sdtContent>
      </w:sdt>
      <w:r w:rsidRPr="00CA326D">
        <w:rPr>
          <w:rFonts w:ascii="Times New Roman" w:hAnsi="Times New Roman"/>
        </w:rPr>
        <w:t>.</w:t>
      </w:r>
    </w:p>
    <w:p w14:paraId="7C1C57CD" w14:textId="65EF763A" w:rsidR="00CA326D" w:rsidRPr="00CA326D" w:rsidRDefault="00CA326D" w:rsidP="0015136C">
      <w:pPr>
        <w:pStyle w:val="Prrafodelista"/>
        <w:numPr>
          <w:ilvl w:val="0"/>
          <w:numId w:val="19"/>
        </w:numPr>
        <w:spacing w:line="480" w:lineRule="auto"/>
        <w:rPr>
          <w:rFonts w:ascii="Times New Roman" w:hAnsi="Times New Roman"/>
        </w:rPr>
      </w:pPr>
      <w:r w:rsidRPr="00CA326D">
        <w:rPr>
          <w:rFonts w:ascii="Times New Roman" w:hAnsi="Times New Roman"/>
        </w:rPr>
        <w:t>Actividades Terciarias: La participación en el valor agregado ha disminuido ligeramente, del 71,71% en 2019 a 68,84% en 2021, pero continúa siendo la principal fuente de ingresos para Aguachica, resaltando la importancia del sector servicios en la economía municipal. La zona franca podría contribuir a un equilibrio en la economía local al fomentar la industria y la producción</w:t>
      </w:r>
      <w:r>
        <w:rPr>
          <w:rFonts w:ascii="Times New Roman" w:hAnsi="Times New Roman"/>
        </w:rPr>
        <w:t xml:space="preserve"> </w:t>
      </w:r>
      <w:sdt>
        <w:sdtPr>
          <w:rPr>
            <w:rFonts w:ascii="Times New Roman" w:hAnsi="Times New Roman"/>
          </w:rPr>
          <w:id w:val="819843942"/>
          <w:citation/>
        </w:sdtPr>
        <w:sdtEndPr/>
        <w:sdtContent>
          <w:r>
            <w:rPr>
              <w:rFonts w:ascii="Times New Roman" w:hAnsi="Times New Roman"/>
            </w:rPr>
            <w:fldChar w:fldCharType="begin"/>
          </w:r>
          <w:r w:rsidR="00AD25E0">
            <w:rPr>
              <w:rFonts w:ascii="Times New Roman" w:hAnsi="Times New Roman"/>
              <w:lang w:val="es-ES"/>
            </w:rPr>
            <w:instrText xml:space="preserve">CITATION Dan242 \l 3082 </w:instrText>
          </w:r>
          <w:r>
            <w:rPr>
              <w:rFonts w:ascii="Times New Roman" w:hAnsi="Times New Roman"/>
            </w:rPr>
            <w:fldChar w:fldCharType="separate"/>
          </w:r>
          <w:r w:rsidR="00901E21" w:rsidRPr="00901E21">
            <w:rPr>
              <w:rFonts w:ascii="Times New Roman" w:hAnsi="Times New Roman"/>
              <w:noProof/>
              <w:lang w:val="es-ES"/>
            </w:rPr>
            <w:t>(DANE, 2024)</w:t>
          </w:r>
          <w:r>
            <w:rPr>
              <w:rFonts w:ascii="Times New Roman" w:hAnsi="Times New Roman"/>
            </w:rPr>
            <w:fldChar w:fldCharType="end"/>
          </w:r>
        </w:sdtContent>
      </w:sdt>
      <w:r w:rsidRPr="00CA326D">
        <w:rPr>
          <w:rFonts w:ascii="Times New Roman" w:hAnsi="Times New Roman"/>
        </w:rPr>
        <w:t>.</w:t>
      </w:r>
    </w:p>
    <w:p w14:paraId="66614583" w14:textId="77777777" w:rsidR="00CA326D" w:rsidRDefault="00CA326D" w:rsidP="0015136C">
      <w:pPr>
        <w:spacing w:line="480" w:lineRule="auto"/>
        <w:rPr>
          <w:lang w:eastAsia="es-ES"/>
        </w:rPr>
      </w:pPr>
    </w:p>
    <w:p w14:paraId="78228B1C" w14:textId="4F1C9FEA" w:rsidR="00CA326D" w:rsidRDefault="00CA326D" w:rsidP="0015136C">
      <w:pPr>
        <w:spacing w:line="480" w:lineRule="auto"/>
        <w:rPr>
          <w:lang w:eastAsia="es-ES"/>
        </w:rPr>
      </w:pPr>
      <w:r>
        <w:rPr>
          <w:lang w:eastAsia="es-ES"/>
        </w:rPr>
        <w:t>Estos datos son relevantes para el municipio de Aguachica, ya que permiten identificar las áreas de crecimiento y las oportunidades de inversión. La salud económica del departamento, reflejada en estos indicadores, tendrá un impacto directo en la sostenibilidad y el desarrollo de Aguachica en el futuro, siendo la implementación de una zona franca una opción viable para potenciar el crecimiento económico y generar empleo en la región.</w:t>
      </w:r>
    </w:p>
    <w:p w14:paraId="603FA370" w14:textId="119B2D68" w:rsidR="00CA326D" w:rsidRPr="00CA326D" w:rsidRDefault="00CA326D" w:rsidP="0015136C">
      <w:pPr>
        <w:spacing w:line="480" w:lineRule="auto"/>
        <w:rPr>
          <w:b/>
          <w:lang w:eastAsia="es-ES"/>
        </w:rPr>
      </w:pPr>
      <w:r w:rsidRPr="00CA326D">
        <w:rPr>
          <w:b/>
          <w:lang w:eastAsia="es-ES"/>
        </w:rPr>
        <w:t>Calificación Global: 4.5/5</w:t>
      </w:r>
    </w:p>
    <w:p w14:paraId="7120FACE" w14:textId="2F843EDE" w:rsidR="00CA326D" w:rsidRPr="00180119" w:rsidRDefault="00CA326D" w:rsidP="00180119">
      <w:pPr>
        <w:spacing w:line="480" w:lineRule="auto"/>
        <w:rPr>
          <w:iCs/>
          <w:lang w:eastAsia="es-ES"/>
        </w:rPr>
      </w:pPr>
      <w:r>
        <w:rPr>
          <w:lang w:eastAsia="es-ES"/>
        </w:rPr>
        <w:t xml:space="preserve">Este análisis </w:t>
      </w:r>
      <w:r w:rsidRPr="00CA326D">
        <w:rPr>
          <w:lang w:eastAsia="es-ES"/>
        </w:rPr>
        <w:t xml:space="preserve">permite entender la evolución reciente de la economía local. Se destacan aspectos positivos como el crecimiento en las actividades primarias y secundarias, que son indicadores importantes para la viabilidad de una zona franca. Sin embargo, la calificación de 4.5 </w:t>
      </w:r>
      <w:r w:rsidRPr="00CA326D">
        <w:rPr>
          <w:lang w:eastAsia="es-ES"/>
        </w:rPr>
        <w:lastRenderedPageBreak/>
        <w:t>se debe a la falta de información específica sobre las implicaciones prácticas que estos datos pueden tener para la implementación de la zona franca. Una mayor conexión entre los indicadores económicos y las estrategias que se podrían implementar para aprovechar estas oportunidades fortalecería el análisis y podría elevar la calificación.</w:t>
      </w:r>
    </w:p>
    <w:p w14:paraId="7D6D44D8" w14:textId="5519962C" w:rsidR="00EC6F7F" w:rsidRPr="00180119" w:rsidRDefault="00EC6F7F" w:rsidP="00180119">
      <w:pPr>
        <w:pStyle w:val="Prrafodelista"/>
        <w:numPr>
          <w:ilvl w:val="0"/>
          <w:numId w:val="20"/>
        </w:numPr>
        <w:spacing w:line="480" w:lineRule="auto"/>
        <w:rPr>
          <w:rFonts w:ascii="Times New Roman" w:hAnsi="Times New Roman"/>
          <w:b/>
          <w:iCs/>
        </w:rPr>
      </w:pPr>
      <w:r w:rsidRPr="00180119">
        <w:rPr>
          <w:rFonts w:ascii="Times New Roman" w:hAnsi="Times New Roman"/>
          <w:b/>
          <w:iCs/>
        </w:rPr>
        <w:t>Inflación: Tasa de inflación que podría afectar el costo de operación.</w:t>
      </w:r>
    </w:p>
    <w:p w14:paraId="32AD78F0" w14:textId="01BA0F39" w:rsidR="009C0089" w:rsidRDefault="009C0089" w:rsidP="0015136C">
      <w:pPr>
        <w:spacing w:line="480" w:lineRule="auto"/>
      </w:pPr>
      <w:r>
        <w:t>La tasa de inflación es un factor externo crucial que puede influir significativamente en el costo de operación de cualquier inversión, incluida la propuesta de una zona franca en Aguachica. Según los datos más recientes, la variación acumulada del Índice de Precios al Consumidor (IPC) en el departamento del Cesar durante el primer semestre de 2024 es del 3,69%, comparado con un total nacional de 4,62%</w:t>
      </w:r>
      <w:r w:rsidR="00180119">
        <w:t>, esto según</w:t>
      </w:r>
      <w:r>
        <w:t xml:space="preserve"> </w:t>
      </w:r>
      <w:r w:rsidR="00180119" w:rsidRPr="00AD25E0">
        <w:rPr>
          <w:noProof/>
          <w:lang w:val="es-ES"/>
        </w:rPr>
        <w:t xml:space="preserve">DANE </w:t>
      </w:r>
      <w:r w:rsidR="00180119">
        <w:rPr>
          <w:noProof/>
          <w:lang w:val="es-ES"/>
        </w:rPr>
        <w:t>(</w:t>
      </w:r>
      <w:r w:rsidR="00180119" w:rsidRPr="00AD25E0">
        <w:rPr>
          <w:noProof/>
          <w:lang w:val="es-ES"/>
        </w:rPr>
        <w:t>2024)</w:t>
      </w:r>
      <w:r>
        <w:t>. Esto sugiere que el departamento se encuentra en una situación de inflación relativamente controlada en comparación con el promedio nacional.</w:t>
      </w:r>
    </w:p>
    <w:p w14:paraId="440552B3" w14:textId="55161B5C" w:rsidR="009C0089" w:rsidRDefault="009C0089" w:rsidP="0015136C">
      <w:pPr>
        <w:spacing w:line="480" w:lineRule="auto"/>
      </w:pPr>
      <w:r>
        <w:t xml:space="preserve">Es importante señalar que, debido a la falta de datos específicos para Aguachica, se ha tomado como referencia la capital del Cesar, Valledupar. En este sentido, las tasas de inflación en Valledupar han mostrado una tendencia variable en los últimos años. En agosto de 2021, la inflación fue del 4,5%, aumentando considerablemente en agosto de 2022 a un 11,12%. Sin embargo, este incremento no se mantuvo, ya que en agosto de 2023 la tasa de inflación se redujo a un 7,18%, y en agosto de 2024, se registró una inflación de 3,9% </w:t>
      </w:r>
      <w:sdt>
        <w:sdtPr>
          <w:id w:val="223803478"/>
          <w:citation/>
        </w:sdtPr>
        <w:sdtEndPr/>
        <w:sdtContent>
          <w:r>
            <w:fldChar w:fldCharType="begin"/>
          </w:r>
          <w:r w:rsidR="00AD25E0">
            <w:rPr>
              <w:lang w:val="es-ES"/>
            </w:rPr>
            <w:instrText xml:space="preserve">CITATION Dan242 \l 3082 </w:instrText>
          </w:r>
          <w:r>
            <w:fldChar w:fldCharType="separate"/>
          </w:r>
          <w:r w:rsidR="00901E21" w:rsidRPr="00901E21">
            <w:rPr>
              <w:noProof/>
              <w:lang w:val="es-ES"/>
            </w:rPr>
            <w:t>(DANE, 2024)</w:t>
          </w:r>
          <w:r>
            <w:fldChar w:fldCharType="end"/>
          </w:r>
        </w:sdtContent>
      </w:sdt>
      <w:r>
        <w:t>.</w:t>
      </w:r>
    </w:p>
    <w:p w14:paraId="7245644F" w14:textId="5E156308" w:rsidR="009C0089" w:rsidRDefault="009C0089" w:rsidP="0015136C">
      <w:pPr>
        <w:spacing w:line="480" w:lineRule="auto"/>
      </w:pPr>
      <w:r>
        <w:t>Este patrón de inflación es un indicador positivo, ya que la disminución de la tasa en 2024 puede implicar una estabilización económica, lo cual es favorable para la planificación de operaciones en la futura zona franca. No obstante, es esencial considerar que la fluctuación de la inflación puede afectar los costos de insumos, salarios y otros gastos operativos. Así, aunque la tendencia actual parece alentadora, se debe mantener una vigilancia constante sobre las condiciones económicas.</w:t>
      </w:r>
    </w:p>
    <w:p w14:paraId="6B262A73" w14:textId="655C32F5" w:rsidR="009C0089" w:rsidRPr="009C0089" w:rsidRDefault="009C0089" w:rsidP="0015136C">
      <w:pPr>
        <w:spacing w:line="480" w:lineRule="auto"/>
        <w:rPr>
          <w:b/>
        </w:rPr>
      </w:pPr>
      <w:r w:rsidRPr="009C0089">
        <w:rPr>
          <w:b/>
        </w:rPr>
        <w:lastRenderedPageBreak/>
        <w:t>Calificación Global: 4/5</w:t>
      </w:r>
    </w:p>
    <w:p w14:paraId="14511A2A" w14:textId="4E2EE22E" w:rsidR="009C0089" w:rsidRDefault="009C0089" w:rsidP="00180119">
      <w:pPr>
        <w:spacing w:line="480" w:lineRule="auto"/>
      </w:pPr>
      <w:r>
        <w:t>La inflación en el contexto del departamento del Cesar y su capital, Valledupar. Se ha presentado información relevante y actualizada que permite entender cómo la inflación podría impactar la operación en Aguachica. Sin embargo, para obtener una calificación más alta, sería beneficioso incluir más detalles sobre cómo se podrían mitigar los efectos de la inflación y su relación específica con la propuesta de la zona franca</w:t>
      </w:r>
      <w:r w:rsidR="00180119">
        <w:t>.</w:t>
      </w:r>
    </w:p>
    <w:p w14:paraId="06657A07" w14:textId="6B9C0E7B" w:rsidR="009C0089" w:rsidRPr="00180119" w:rsidRDefault="009C0089" w:rsidP="0015136C">
      <w:pPr>
        <w:pStyle w:val="Prrafodelista"/>
        <w:numPr>
          <w:ilvl w:val="0"/>
          <w:numId w:val="20"/>
        </w:numPr>
        <w:spacing w:line="480" w:lineRule="auto"/>
        <w:rPr>
          <w:rFonts w:ascii="Times New Roman" w:hAnsi="Times New Roman"/>
          <w:b/>
          <w:iCs/>
        </w:rPr>
      </w:pPr>
      <w:r w:rsidRPr="00180119">
        <w:rPr>
          <w:rFonts w:ascii="Times New Roman" w:hAnsi="Times New Roman"/>
          <w:b/>
          <w:iCs/>
        </w:rPr>
        <w:t>Niveles de Comercio Exterior: Volumen y tipos de bienes que se importan y exportan en la región.</w:t>
      </w:r>
    </w:p>
    <w:p w14:paraId="2AE52CF9" w14:textId="01267225" w:rsidR="00DB08D3" w:rsidRDefault="00DB08D3" w:rsidP="0015136C">
      <w:pPr>
        <w:spacing w:line="480" w:lineRule="auto"/>
      </w:pPr>
      <w:r>
        <w:t>El comercio exterior es un factor externo vital que influye en el desarrollo económico de una región, especialmente para la implementación de una zona franca en Aguachica. En este contexto, es relevante analizar los niveles de exportación e importación del departamento del Cesar, dado que las cifras específicas a nivel local no están disponibles.</w:t>
      </w:r>
    </w:p>
    <w:p w14:paraId="34FB0F85" w14:textId="77777777" w:rsidR="00DB08D3" w:rsidRPr="00180119" w:rsidRDefault="00DB08D3" w:rsidP="0015136C">
      <w:pPr>
        <w:spacing w:line="480" w:lineRule="auto"/>
        <w:rPr>
          <w:b/>
          <w:iCs/>
        </w:rPr>
      </w:pPr>
      <w:r w:rsidRPr="00180119">
        <w:rPr>
          <w:b/>
          <w:iCs/>
        </w:rPr>
        <w:t>Exportaciones:</w:t>
      </w:r>
    </w:p>
    <w:p w14:paraId="1E8F2A99" w14:textId="097992D2" w:rsidR="00DB08D3" w:rsidRDefault="00DB08D3" w:rsidP="0015136C">
      <w:pPr>
        <w:spacing w:line="480" w:lineRule="auto"/>
      </w:pPr>
      <w:r>
        <w:t>A junio de 2024, el departamento del Cesar experimentó un notable predominio en sus exportaciones, con las hullas representando un impresionante 99% del total, el principal destino de estas exportaciones fue Corea del Sur, lo que indica una dependencia significativa de un solo producto y mercado</w:t>
      </w:r>
      <w:r w:rsidR="00180119">
        <w:t xml:space="preserve">, esto según </w:t>
      </w:r>
      <w:r>
        <w:t xml:space="preserve"> </w:t>
      </w:r>
      <w:r w:rsidR="00180119">
        <w:rPr>
          <w:noProof/>
          <w:lang w:val="es-ES"/>
        </w:rPr>
        <w:t>MinComercio (2024)</w:t>
      </w:r>
      <w:r>
        <w:t>. La concentración de las exportaciones en un tipo de bien puede ser una doble espada: si bien permite aprovechar un nicho de mercado, también genera vulnerabilidad ante cambios en la demanda internacional o en la política comercial del país receptor. Este alto porcentaje de dependencia puede limitar la diversificación de la economía local y hacerla susceptible a fluctuaciones en el mercado de las hullas.</w:t>
      </w:r>
    </w:p>
    <w:p w14:paraId="18022D87" w14:textId="77777777" w:rsidR="00180119" w:rsidRDefault="00180119" w:rsidP="0015136C">
      <w:pPr>
        <w:spacing w:line="480" w:lineRule="auto"/>
      </w:pPr>
    </w:p>
    <w:p w14:paraId="4B051D71" w14:textId="77777777" w:rsidR="00DB08D3" w:rsidRPr="00180119" w:rsidRDefault="00DB08D3" w:rsidP="0015136C">
      <w:pPr>
        <w:spacing w:line="480" w:lineRule="auto"/>
        <w:rPr>
          <w:b/>
          <w:iCs/>
        </w:rPr>
      </w:pPr>
      <w:r w:rsidRPr="00180119">
        <w:rPr>
          <w:b/>
          <w:iCs/>
        </w:rPr>
        <w:lastRenderedPageBreak/>
        <w:t>Importaciones:</w:t>
      </w:r>
    </w:p>
    <w:p w14:paraId="1E476693" w14:textId="2E438651" w:rsidR="00DB08D3" w:rsidRDefault="00DB08D3" w:rsidP="0015136C">
      <w:pPr>
        <w:spacing w:line="480" w:lineRule="auto"/>
      </w:pPr>
      <w:r>
        <w:t>En cuanto a las importaciones, el departamento del Cesar ha mostrado una tendencia de disminución, con una reducción del 28,3% en 2023 respecto a 2022, y una caída adicional del 16% a junio de 2024 en comparación con el mismo periodo del año anterior. La mayor parte de estas importaciones corresponde a productos de maquinaria y equipo, que representan el 56,3% del total</w:t>
      </w:r>
      <w:r w:rsidR="00180119">
        <w:t>,</w:t>
      </w:r>
      <w:r>
        <w:t xml:space="preserve"> </w:t>
      </w:r>
      <w:r w:rsidR="00180119">
        <w:rPr>
          <w:noProof/>
          <w:lang w:val="es-ES"/>
        </w:rPr>
        <w:t>MinComercio (2024)</w:t>
      </w:r>
      <w:r>
        <w:t>. Esta disminución en las importaciones puede señalar un entorno económico difícil que limita la capacidad de las empresas para adquirir insumos y equipos necesarios para la operación. Estados Unidos se posiciona como el principal origen de las importaciones, lo que resalta la importancia de mantener buenas relaciones comerciales con este país.</w:t>
      </w:r>
    </w:p>
    <w:p w14:paraId="344F56B7" w14:textId="6E2E7440" w:rsidR="00DB08D3" w:rsidRDefault="00DB08D3" w:rsidP="0015136C">
      <w:pPr>
        <w:spacing w:line="480" w:lineRule="auto"/>
      </w:pPr>
      <w:r>
        <w:t xml:space="preserve">Además, es relevante observar las cifras de comercio exterior por acuerdo comercial, donde se destaca que las exportaciones hacia Corea del Sur han experimentado un crecimiento impresionante del 274,2% en comparación con el año anterior, Sin embargo, las exportaciones hacia Estados Unidos han disminuido drásticamente en un 94,1% </w:t>
      </w:r>
      <w:r w:rsidR="00180119">
        <w:rPr>
          <w:noProof/>
          <w:lang w:val="es-ES"/>
        </w:rPr>
        <w:t>MinComercio (2024)</w:t>
      </w:r>
      <w:r>
        <w:t>. Esta diversificación en las relaciones comerciales es esencial para fortalecer la economía local y minimizar riesgos.</w:t>
      </w:r>
    </w:p>
    <w:p w14:paraId="3E6917AF" w14:textId="26717851" w:rsidR="00DB08D3" w:rsidRPr="00DB08D3" w:rsidRDefault="00DB08D3" w:rsidP="0015136C">
      <w:pPr>
        <w:spacing w:line="480" w:lineRule="auto"/>
        <w:rPr>
          <w:b/>
        </w:rPr>
      </w:pPr>
      <w:r w:rsidRPr="00DB08D3">
        <w:rPr>
          <w:b/>
        </w:rPr>
        <w:t>Calificación Global: 4/5</w:t>
      </w:r>
    </w:p>
    <w:p w14:paraId="6A457B04" w14:textId="20240008" w:rsidR="009C0089" w:rsidRPr="009C0089" w:rsidRDefault="00DB08D3" w:rsidP="0015136C">
      <w:pPr>
        <w:spacing w:line="480" w:lineRule="auto"/>
      </w:pPr>
      <w:r>
        <w:t>Este análisis proporciona una visión clara sobre el estado del comercio exterior en el Cesar, destacando tanto las exportaciones como las importaciones. Se identifican las principales dinámicas y tendencias que pueden impactar el futuro de la zona franca. Sin embargo, la calificación se ve afectada por la falta de datos más específicos a nivel local y una evaluación más detallada de cómo estos factores impactan directamente a Aguachica</w:t>
      </w:r>
    </w:p>
    <w:p w14:paraId="142E2BD9" w14:textId="77777777" w:rsidR="009C0089" w:rsidRDefault="009C0089" w:rsidP="0015136C">
      <w:pPr>
        <w:spacing w:line="480" w:lineRule="auto"/>
      </w:pPr>
    </w:p>
    <w:p w14:paraId="37EDF42B" w14:textId="61A9E149" w:rsidR="009C0089" w:rsidRPr="00180119" w:rsidRDefault="00A25CEF" w:rsidP="00180119">
      <w:pPr>
        <w:pStyle w:val="Prrafodelista"/>
        <w:numPr>
          <w:ilvl w:val="0"/>
          <w:numId w:val="20"/>
        </w:numPr>
        <w:spacing w:line="480" w:lineRule="auto"/>
        <w:rPr>
          <w:rFonts w:ascii="Times New Roman" w:hAnsi="Times New Roman"/>
          <w:b/>
          <w:i/>
        </w:rPr>
      </w:pPr>
      <w:r w:rsidRPr="00180119">
        <w:rPr>
          <w:rFonts w:ascii="Times New Roman" w:hAnsi="Times New Roman"/>
          <w:b/>
          <w:iCs/>
        </w:rPr>
        <w:lastRenderedPageBreak/>
        <w:t>Incentivos Fiscales: Políticas gubernamentales que fomenten la inversión en zonas francas</w:t>
      </w:r>
      <w:r w:rsidRPr="00A25CEF">
        <w:rPr>
          <w:rFonts w:ascii="Times New Roman" w:hAnsi="Times New Roman"/>
          <w:b/>
          <w:i/>
        </w:rPr>
        <w:t>.</w:t>
      </w:r>
    </w:p>
    <w:p w14:paraId="0969DB38" w14:textId="3B28257D" w:rsidR="004142DE" w:rsidRPr="00180119" w:rsidRDefault="004142DE" w:rsidP="0015136C">
      <w:pPr>
        <w:spacing w:line="480" w:lineRule="auto"/>
        <w:rPr>
          <w:iCs/>
        </w:rPr>
      </w:pPr>
      <w:r w:rsidRPr="00180119">
        <w:rPr>
          <w:b/>
          <w:iCs/>
        </w:rPr>
        <w:t>Incentivos Fiscales</w:t>
      </w:r>
    </w:p>
    <w:p w14:paraId="037BB2EC" w14:textId="45AE4BD3" w:rsidR="004142DE" w:rsidRDefault="00180119" w:rsidP="0015136C">
      <w:pPr>
        <w:spacing w:line="480" w:lineRule="auto"/>
      </w:pPr>
      <w:r>
        <w:t xml:space="preserve">Según </w:t>
      </w:r>
      <w:r>
        <w:rPr>
          <w:noProof/>
          <w:lang w:val="es-ES"/>
        </w:rPr>
        <w:t>Potdevin (2024)</w:t>
      </w:r>
      <w:r>
        <w:rPr>
          <w:lang w:val="es-ES"/>
        </w:rPr>
        <w:t xml:space="preserve">, </w:t>
      </w:r>
      <w:r w:rsidR="004142DE">
        <w:t>Los incentivos fiscales son herramientas gubernamentales fundamentales para fomentar la inversión y el desarrollo económico en regiones específicas, especialmente en zonas francas</w:t>
      </w:r>
      <w:r>
        <w:t xml:space="preserve">. </w:t>
      </w:r>
      <w:r w:rsidR="004142DE">
        <w:t>Para Aguachica, la implementación de una zona franca sería un detonante de crecimiento económico y competitividad. En este análisis, se han identificado los principales incentivos fiscales establecidos en el régimen de zonas francas en Colombia que podrían beneficiar a las empresas interesadas en operar en la región.</w:t>
      </w:r>
    </w:p>
    <w:p w14:paraId="3B8BB37E" w14:textId="77777777" w:rsidR="004142DE" w:rsidRPr="004142DE" w:rsidRDefault="004142DE" w:rsidP="0015136C">
      <w:pPr>
        <w:spacing w:line="480" w:lineRule="auto"/>
        <w:rPr>
          <w:b/>
          <w:i/>
        </w:rPr>
      </w:pPr>
      <w:r w:rsidRPr="004142DE">
        <w:rPr>
          <w:b/>
          <w:i/>
        </w:rPr>
        <w:t>Incentivos Tributarios</w:t>
      </w:r>
    </w:p>
    <w:p w14:paraId="1CB6CD89" w14:textId="5F9E5D28" w:rsidR="004142DE" w:rsidRDefault="004142DE" w:rsidP="0015136C">
      <w:pPr>
        <w:spacing w:line="480" w:lineRule="auto"/>
      </w:pPr>
      <w:r>
        <w:t>Las empresas que operan en las zonas francas disfrutan de una serie de beneficios tributarios que reducen significativamente su carga fiscal y promueven la inversión:</w:t>
      </w:r>
    </w:p>
    <w:p w14:paraId="5CC9F884" w14:textId="27E30163" w:rsidR="004142DE" w:rsidRPr="00180119" w:rsidRDefault="004142DE" w:rsidP="00180119">
      <w:pPr>
        <w:spacing w:line="480" w:lineRule="auto"/>
        <w:rPr>
          <w:noProof/>
          <w:lang w:val="es-ES"/>
        </w:rPr>
      </w:pPr>
      <w:r>
        <w:t xml:space="preserve">Tarifa Preferencial del 15% sobre el Impuesto a la Renta: Este incentivo es aplicable a los usuarios industriales de bienes y servicios, así como a los usuarios operadores de zona franca, en comparación con la tarifa general del 35% para las empresas fuera de las zonas francas, este beneficio representa un ahorro significativo, aumentando la rentabilidad de las operaciones </w:t>
      </w:r>
      <w:r w:rsidR="00180119">
        <w:rPr>
          <w:noProof/>
          <w:lang w:val="es-ES"/>
        </w:rPr>
        <w:t>Potdevin (2024)</w:t>
      </w:r>
      <w:r>
        <w:t>. Sin embargo, este beneficio no se aplica a los usuarios comerciales, quienes deben pagar la tarifa general vigente.</w:t>
      </w:r>
    </w:p>
    <w:p w14:paraId="4B4FD66A" w14:textId="3B519350" w:rsidR="004142DE" w:rsidRDefault="004142DE" w:rsidP="0015136C">
      <w:pPr>
        <w:spacing w:line="480" w:lineRule="auto"/>
      </w:pPr>
      <w:r>
        <w:t xml:space="preserve">Exención del Impuesto sobre la Renta para la Equidad (CREE): </w:t>
      </w:r>
      <w:r w:rsidR="00180119">
        <w:t xml:space="preserve">de la misma manera, según </w:t>
      </w:r>
      <w:r w:rsidR="00180119">
        <w:rPr>
          <w:noProof/>
          <w:lang w:val="es-ES"/>
        </w:rPr>
        <w:t>Potdevin (2024)</w:t>
      </w:r>
      <w:r w:rsidR="00180119">
        <w:t xml:space="preserve"> l</w:t>
      </w:r>
      <w:r>
        <w:t xml:space="preserve">as zonas francas aprobadas antes del 31 de diciembre de 2012 están exentas de este impuesto, lo que se traduce en un mayor incentivo para las empresas ya establecidas en dichas </w:t>
      </w:r>
      <w:r>
        <w:lastRenderedPageBreak/>
        <w:t>zonas. Esto es un estímulo importante, ya que el CREE fue creado con el fin de financiar programas de seguridad social y redistribuir la carga tributaria hacia las empresas más grandes y rentables.</w:t>
      </w:r>
    </w:p>
    <w:p w14:paraId="2A132206" w14:textId="146DF946" w:rsidR="004142DE" w:rsidRPr="00180119" w:rsidRDefault="004142DE" w:rsidP="0015136C">
      <w:pPr>
        <w:spacing w:line="480" w:lineRule="auto"/>
        <w:rPr>
          <w:b/>
          <w:iCs/>
        </w:rPr>
      </w:pPr>
      <w:r w:rsidRPr="00180119">
        <w:rPr>
          <w:b/>
          <w:iCs/>
        </w:rPr>
        <w:t>Deducciones Fiscales:</w:t>
      </w:r>
    </w:p>
    <w:p w14:paraId="3B0D0989" w14:textId="5B1BB2C0" w:rsidR="004142DE" w:rsidRDefault="004142DE" w:rsidP="0015136C">
      <w:pPr>
        <w:spacing w:line="480" w:lineRule="auto"/>
      </w:pPr>
      <w:r>
        <w:t xml:space="preserve">Deducción del 175% de la Inversión en Investigación y Desarrollo: Las empresas que invierten en innovación pueden deducir un porcentaje superior al 100% de la inversión, con un límite del 40% sobre la renta líquida gravable </w:t>
      </w:r>
      <w:sdt>
        <w:sdtPr>
          <w:id w:val="-904061945"/>
          <w:citation/>
        </w:sdtPr>
        <w:sdtEndPr/>
        <w:sdtContent>
          <w:r>
            <w:fldChar w:fldCharType="begin"/>
          </w:r>
          <w:r>
            <w:rPr>
              <w:lang w:val="es-ES"/>
            </w:rPr>
            <w:instrText xml:space="preserve"> CITATION Nic24 \l 3082 </w:instrText>
          </w:r>
          <w:r>
            <w:fldChar w:fldCharType="separate"/>
          </w:r>
          <w:r w:rsidR="00901E21" w:rsidRPr="00901E21">
            <w:rPr>
              <w:noProof/>
              <w:lang w:val="es-ES"/>
            </w:rPr>
            <w:t>(Potdevin, 2024)</w:t>
          </w:r>
          <w:r>
            <w:fldChar w:fldCharType="end"/>
          </w:r>
        </w:sdtContent>
      </w:sdt>
      <w:r>
        <w:t>. Esto impulsa la generación de nuevas tecnologías y procesos, promoviendo la competitividad.</w:t>
      </w:r>
    </w:p>
    <w:p w14:paraId="7E339FF0" w14:textId="6BC1097C" w:rsidR="004142DE" w:rsidRDefault="004142DE" w:rsidP="0015136C">
      <w:pPr>
        <w:spacing w:line="480" w:lineRule="auto"/>
      </w:pPr>
      <w:r>
        <w:t xml:space="preserve">Deducción del 100% de los Salarios Pagados: Siempre y cuando se cumpla con el pago de los aportes parafiscales (ICBF, SENA y Subsidio Familiar), las empresas pueden deducir el total de los salarios pagados </w:t>
      </w:r>
      <w:sdt>
        <w:sdtPr>
          <w:id w:val="-1371600867"/>
          <w:citation/>
        </w:sdtPr>
        <w:sdtEndPr/>
        <w:sdtContent>
          <w:r>
            <w:fldChar w:fldCharType="begin"/>
          </w:r>
          <w:r>
            <w:rPr>
              <w:lang w:val="es-ES"/>
            </w:rPr>
            <w:instrText xml:space="preserve"> CITATION Nic24 \l 3082 </w:instrText>
          </w:r>
          <w:r>
            <w:fldChar w:fldCharType="separate"/>
          </w:r>
          <w:r w:rsidR="00901E21" w:rsidRPr="00901E21">
            <w:rPr>
              <w:noProof/>
              <w:lang w:val="es-ES"/>
            </w:rPr>
            <w:t>(Potdevin, 2024)</w:t>
          </w:r>
          <w:r>
            <w:fldChar w:fldCharType="end"/>
          </w:r>
        </w:sdtContent>
      </w:sdt>
      <w:r>
        <w:t>. Esto incentiva la formalización del empleo y asegura que las empresas cumplan con sus responsabilidades laborales.</w:t>
      </w:r>
    </w:p>
    <w:p w14:paraId="1D8BABDB" w14:textId="482D1883" w:rsidR="004142DE" w:rsidRDefault="004142DE" w:rsidP="0015136C">
      <w:pPr>
        <w:spacing w:line="480" w:lineRule="auto"/>
      </w:pPr>
      <w:r>
        <w:t>Deducción de Impuestos Locales: Los impuestos locales como el de industria y comercio, avisos y tableros, y predial son deducibles al 100% si están relacionados con la actividad económica de la empresa dentro de la zona franca</w:t>
      </w:r>
      <w:r w:rsidR="00180119">
        <w:t>, esto según Potdevin</w:t>
      </w:r>
      <w:r w:rsidR="00180119">
        <w:rPr>
          <w:noProof/>
          <w:lang w:val="es-ES"/>
        </w:rPr>
        <w:t xml:space="preserve"> (2024)</w:t>
      </w:r>
      <w:r>
        <w:t>.</w:t>
      </w:r>
    </w:p>
    <w:p w14:paraId="124CB92B" w14:textId="77777777" w:rsidR="004142DE" w:rsidRPr="00180119" w:rsidRDefault="004142DE" w:rsidP="0015136C">
      <w:pPr>
        <w:spacing w:line="480" w:lineRule="auto"/>
        <w:rPr>
          <w:b/>
          <w:iCs/>
        </w:rPr>
      </w:pPr>
      <w:r w:rsidRPr="00180119">
        <w:rPr>
          <w:b/>
          <w:iCs/>
        </w:rPr>
        <w:t>Incentivos Aduaneros</w:t>
      </w:r>
    </w:p>
    <w:p w14:paraId="5263A21B" w14:textId="456C9C68" w:rsidR="004142DE" w:rsidRDefault="004142DE" w:rsidP="0015136C">
      <w:pPr>
        <w:spacing w:line="480" w:lineRule="auto"/>
      </w:pPr>
      <w:r>
        <w:t>Además de los incentivos tributarios, las zonas francas ofrecen ventajas aduaneras que facilitan el comercio exterior y reducen los costos asociados a la importación de bienes:</w:t>
      </w:r>
    </w:p>
    <w:p w14:paraId="11B3171B" w14:textId="3D109688" w:rsidR="004142DE" w:rsidRDefault="004142DE" w:rsidP="0015136C">
      <w:pPr>
        <w:spacing w:line="480" w:lineRule="auto"/>
      </w:pPr>
      <w:r>
        <w:t xml:space="preserve">Exención de Aranceles e IVA: Las mercancías que ingresan a las zonas francas no están sujetas a estos impuestos, ya que se consideran fuera del territorio aduanero nacional </w:t>
      </w:r>
      <w:sdt>
        <w:sdtPr>
          <w:id w:val="-1435892767"/>
          <w:citation/>
        </w:sdtPr>
        <w:sdtEndPr/>
        <w:sdtContent>
          <w:r>
            <w:fldChar w:fldCharType="begin"/>
          </w:r>
          <w:r>
            <w:rPr>
              <w:lang w:val="es-ES"/>
            </w:rPr>
            <w:instrText xml:space="preserve"> CITATION Nic24 \l 3082 </w:instrText>
          </w:r>
          <w:r>
            <w:fldChar w:fldCharType="separate"/>
          </w:r>
          <w:r w:rsidR="00901E21" w:rsidRPr="00901E21">
            <w:rPr>
              <w:noProof/>
              <w:lang w:val="es-ES"/>
            </w:rPr>
            <w:t>(Potdevin, 2024)</w:t>
          </w:r>
          <w:r>
            <w:fldChar w:fldCharType="end"/>
          </w:r>
        </w:sdtContent>
      </w:sdt>
      <w:r>
        <w:t>. Esto es particularmente beneficioso para las empresas que importan maquinaria, equipos y otros bienes de capital necesarios para sus operaciones.</w:t>
      </w:r>
    </w:p>
    <w:p w14:paraId="341F08AF" w14:textId="6576FD91" w:rsidR="004142DE" w:rsidRDefault="004142DE" w:rsidP="0015136C">
      <w:pPr>
        <w:spacing w:line="480" w:lineRule="auto"/>
      </w:pPr>
      <w:r>
        <w:lastRenderedPageBreak/>
        <w:t xml:space="preserve">Almacenamiento Flexible y Nacionalización Parcial: Las empresas pueden almacenar mercancías extranjeras por tiempo indefinido y realizar la nacionalización de los bienes cuando lo requieran, lo que optimiza la gestión de inventarios y la planificación financiera </w:t>
      </w:r>
      <w:r w:rsidR="00991928">
        <w:rPr>
          <w:noProof/>
          <w:lang w:val="es-ES"/>
        </w:rPr>
        <w:t>Potdevin (2024)</w:t>
      </w:r>
      <w:r>
        <w:t>.</w:t>
      </w:r>
    </w:p>
    <w:p w14:paraId="279C5AD0" w14:textId="77777777" w:rsidR="00991928" w:rsidRDefault="004142DE" w:rsidP="0015136C">
      <w:pPr>
        <w:spacing w:line="480" w:lineRule="auto"/>
      </w:pPr>
      <w:r>
        <w:t>Procesamiento Parcial Fuera de la Zona Franca: Se permite que las mercancías puedan ser procesadas parcialmente fuera de la zona franca hasta por nueve meses sin perder los beneficios fiscales, otorgando flexibilidad en la cadena de producción</w:t>
      </w:r>
      <w:r w:rsidR="00991928">
        <w:t>.</w:t>
      </w:r>
    </w:p>
    <w:p w14:paraId="33320323" w14:textId="73949EC8" w:rsidR="004142DE" w:rsidRPr="00991928" w:rsidRDefault="004142DE" w:rsidP="0015136C">
      <w:pPr>
        <w:spacing w:line="480" w:lineRule="auto"/>
        <w:rPr>
          <w:b/>
          <w:iCs/>
        </w:rPr>
      </w:pPr>
      <w:r w:rsidRPr="00991928">
        <w:rPr>
          <w:b/>
          <w:iCs/>
        </w:rPr>
        <w:t>Incentivos Logísticos</w:t>
      </w:r>
    </w:p>
    <w:p w14:paraId="7ACEB71E" w14:textId="178B65E1" w:rsidR="004142DE" w:rsidRDefault="004142DE" w:rsidP="0015136C">
      <w:pPr>
        <w:spacing w:line="480" w:lineRule="auto"/>
      </w:pPr>
      <w:r>
        <w:t>Los incentivos logísticos permiten a las empresas mejorar su competitividad mediante la reducción de tiempos y costos en el manejo de mercancías:</w:t>
      </w:r>
    </w:p>
    <w:p w14:paraId="1BBFC86B" w14:textId="59D02BCC" w:rsidR="004142DE" w:rsidRDefault="004142DE" w:rsidP="0015136C">
      <w:pPr>
        <w:spacing w:line="480" w:lineRule="auto"/>
      </w:pPr>
      <w:r>
        <w:t>Trámites Aduaneros Simplificados: Los tiempos de nacionalización se optimizan, facilitando la comercialización de productos dentro del país.</w:t>
      </w:r>
    </w:p>
    <w:p w14:paraId="53B3B937" w14:textId="222D20C1" w:rsidR="004142DE" w:rsidRDefault="004142DE" w:rsidP="0015136C">
      <w:pPr>
        <w:spacing w:line="480" w:lineRule="auto"/>
      </w:pPr>
      <w:r>
        <w:t>Facilidades para Exportar: Las mercancías que se exportan desde zonas francas pueden beneficiarse de acuerdos comerciales internacionales, lo que permite una salida más rápida a mercados externos y mejora la competitividad.</w:t>
      </w:r>
    </w:p>
    <w:p w14:paraId="30D55058" w14:textId="5BA4755A" w:rsidR="004142DE" w:rsidRPr="00596212" w:rsidRDefault="004142DE" w:rsidP="0015136C">
      <w:pPr>
        <w:spacing w:line="480" w:lineRule="auto"/>
        <w:rPr>
          <w:b/>
        </w:rPr>
      </w:pPr>
      <w:r w:rsidRPr="00596212">
        <w:rPr>
          <w:b/>
        </w:rPr>
        <w:t>Calificación</w:t>
      </w:r>
      <w:r w:rsidR="00596212" w:rsidRPr="00596212">
        <w:rPr>
          <w:b/>
        </w:rPr>
        <w:t xml:space="preserve"> Global</w:t>
      </w:r>
      <w:r w:rsidRPr="00596212">
        <w:rPr>
          <w:b/>
        </w:rPr>
        <w:t>: 4.5/5</w:t>
      </w:r>
    </w:p>
    <w:p w14:paraId="0277FFE3" w14:textId="4F36D476" w:rsidR="004142DE" w:rsidRDefault="004142DE" w:rsidP="0015136C">
      <w:pPr>
        <w:spacing w:line="480" w:lineRule="auto"/>
      </w:pPr>
      <w:r>
        <w:t>Se identifican los incentivos tributarios, aduaneros y logísticos, proporcionando una visión integral del entorno favorable que estas zonas pueden ofrecer para atraer inversión a Aguachica. Sin embargo, la calificación se ve afectada ligeramente por la falta de ejemplos específicos de cómo estos incentivos han impulsado a empresas en otras zonas francas del país, lo que habría enriquecido el análisis y permitido evaluar mejor el impacto potencial en Aguachica.</w:t>
      </w:r>
    </w:p>
    <w:p w14:paraId="09DD3B85" w14:textId="77777777" w:rsidR="0023184D" w:rsidRDefault="0023184D" w:rsidP="0015136C">
      <w:pPr>
        <w:spacing w:line="480" w:lineRule="auto"/>
        <w:rPr>
          <w:b/>
          <w:lang w:eastAsia="es-ES"/>
        </w:rPr>
      </w:pPr>
    </w:p>
    <w:p w14:paraId="6CE54C01" w14:textId="4BD31CEE" w:rsidR="0023184D" w:rsidRPr="00991928" w:rsidRDefault="00CA4797" w:rsidP="00991928">
      <w:pPr>
        <w:pStyle w:val="Ttulo4"/>
      </w:pPr>
      <w:r w:rsidRPr="00991928">
        <w:lastRenderedPageBreak/>
        <w:t>Entorno Socia</w:t>
      </w:r>
      <w:r w:rsidR="00991928" w:rsidRPr="00991928">
        <w:t>l</w:t>
      </w:r>
    </w:p>
    <w:p w14:paraId="68E5AE1E" w14:textId="301691D4" w:rsidR="0023184D" w:rsidRPr="0023184D" w:rsidRDefault="0023184D" w:rsidP="0015136C">
      <w:pPr>
        <w:pStyle w:val="Prrafodelista"/>
        <w:numPr>
          <w:ilvl w:val="0"/>
          <w:numId w:val="20"/>
        </w:numPr>
        <w:spacing w:line="480" w:lineRule="auto"/>
        <w:rPr>
          <w:rFonts w:ascii="Times New Roman" w:hAnsi="Times New Roman"/>
          <w:b/>
          <w:i/>
        </w:rPr>
      </w:pPr>
      <w:r w:rsidRPr="00991928">
        <w:rPr>
          <w:rFonts w:ascii="Times New Roman" w:hAnsi="Times New Roman"/>
          <w:b/>
          <w:iCs/>
        </w:rPr>
        <w:t>Calidad de Vida: Indicadores de salud, educación y bienestar social en Aguachica</w:t>
      </w:r>
      <w:r w:rsidRPr="0023184D">
        <w:rPr>
          <w:rFonts w:ascii="Times New Roman" w:hAnsi="Times New Roman"/>
          <w:b/>
          <w:i/>
        </w:rPr>
        <w:t>.</w:t>
      </w:r>
    </w:p>
    <w:p w14:paraId="4E55B4CD" w14:textId="77777777" w:rsidR="0023184D" w:rsidRDefault="0023184D" w:rsidP="0015136C">
      <w:pPr>
        <w:spacing w:line="480" w:lineRule="auto"/>
        <w:rPr>
          <w:lang w:eastAsia="es-ES"/>
        </w:rPr>
      </w:pPr>
    </w:p>
    <w:p w14:paraId="4AC6117B" w14:textId="01929326" w:rsidR="006064C3" w:rsidRDefault="006064C3" w:rsidP="0015136C">
      <w:pPr>
        <w:spacing w:line="480" w:lineRule="auto"/>
        <w:rPr>
          <w:lang w:eastAsia="es-ES"/>
        </w:rPr>
      </w:pPr>
      <w:r>
        <w:rPr>
          <w:lang w:eastAsia="es-ES"/>
        </w:rPr>
        <w:t>Para evaluar la de Calidad de Vida en Aguachica, es esencial examinar los indicadores de salud, educación y pobreza que impactan directamente el desarrollo social y económico de la región. La información presentada ofrece una visión integral de la situación actual y sus desafíos:</w:t>
      </w:r>
    </w:p>
    <w:p w14:paraId="5B4F9E2D" w14:textId="6F23D08C" w:rsidR="006064C3" w:rsidRDefault="006064C3" w:rsidP="0015136C">
      <w:pPr>
        <w:spacing w:line="480" w:lineRule="auto"/>
        <w:rPr>
          <w:lang w:eastAsia="es-ES"/>
        </w:rPr>
      </w:pPr>
      <w:r w:rsidRPr="006064C3">
        <w:rPr>
          <w:b/>
          <w:i/>
          <w:lang w:eastAsia="es-ES"/>
        </w:rPr>
        <w:t>Salud:</w:t>
      </w:r>
    </w:p>
    <w:p w14:paraId="18741531" w14:textId="635C411C" w:rsidR="006064C3" w:rsidRDefault="006064C3" w:rsidP="0015136C">
      <w:pPr>
        <w:spacing w:line="480" w:lineRule="auto"/>
        <w:rPr>
          <w:lang w:eastAsia="es-ES"/>
        </w:rPr>
      </w:pPr>
      <w:r>
        <w:rPr>
          <w:lang w:eastAsia="es-ES"/>
        </w:rPr>
        <w:t xml:space="preserve">En términos de cobertura de aseguramiento, Aguachica tiene una amplia afiliación al régimen subsidiado con 80.223 personas (98,60% de cobertura), mientras que 31.324 personas están afiliadas al régimen contributivo. El aseguramiento en regímenes especiales alcanza 2.473 personas. Esto sugiere un sistema de salud predominantemente apoyado por el régimen subsidiado, lo que refleja una alta dependencia de subsidios estatales y un menor desarrollo del régimen contributivo </w:t>
      </w:r>
      <w:sdt>
        <w:sdtPr>
          <w:rPr>
            <w:lang w:eastAsia="es-ES"/>
          </w:rPr>
          <w:id w:val="-564030244"/>
          <w:citation/>
        </w:sdtPr>
        <w:sdtEndPr/>
        <w:sdtContent>
          <w:r>
            <w:rPr>
              <w:lang w:eastAsia="es-ES"/>
            </w:rPr>
            <w:fldChar w:fldCharType="begin"/>
          </w:r>
          <w:r w:rsidR="00AD25E0">
            <w:rPr>
              <w:lang w:val="es-ES" w:eastAsia="es-ES"/>
            </w:rPr>
            <w:instrText xml:space="preserve">CITATION Dnp24 \l 3082 </w:instrText>
          </w:r>
          <w:r>
            <w:rPr>
              <w:lang w:eastAsia="es-ES"/>
            </w:rPr>
            <w:fldChar w:fldCharType="separate"/>
          </w:r>
          <w:r w:rsidR="00901E21" w:rsidRPr="00901E21">
            <w:rPr>
              <w:noProof/>
              <w:lang w:val="es-ES" w:eastAsia="es-ES"/>
            </w:rPr>
            <w:t>(DNP, 2024)</w:t>
          </w:r>
          <w:r>
            <w:rPr>
              <w:lang w:eastAsia="es-ES"/>
            </w:rPr>
            <w:fldChar w:fldCharType="end"/>
          </w:r>
        </w:sdtContent>
      </w:sdt>
      <w:r>
        <w:rPr>
          <w:lang w:eastAsia="es-ES"/>
        </w:rPr>
        <w:t>.</w:t>
      </w:r>
    </w:p>
    <w:p w14:paraId="385DC168" w14:textId="205813CA" w:rsidR="006064C3" w:rsidRDefault="006064C3" w:rsidP="0015136C">
      <w:pPr>
        <w:spacing w:line="480" w:lineRule="auto"/>
        <w:rPr>
          <w:lang w:eastAsia="es-ES"/>
        </w:rPr>
      </w:pPr>
      <w:r>
        <w:rPr>
          <w:lang w:eastAsia="es-ES"/>
        </w:rPr>
        <w:t xml:space="preserve">La población pobre no atendida (PPNA) fue de 1.088 personas en 2019, un dato que indica un pequeño porcentaje sin acceso a servicios de salud. Aunque el número es bajo, es una preocupación que debe ser abordada </w:t>
      </w:r>
      <w:sdt>
        <w:sdtPr>
          <w:rPr>
            <w:lang w:eastAsia="es-ES"/>
          </w:rPr>
          <w:id w:val="-642124328"/>
          <w:citation/>
        </w:sdtPr>
        <w:sdtEndPr/>
        <w:sdtContent>
          <w:r>
            <w:rPr>
              <w:lang w:eastAsia="es-ES"/>
            </w:rPr>
            <w:fldChar w:fldCharType="begin"/>
          </w:r>
          <w:r w:rsidR="00AD25E0">
            <w:rPr>
              <w:lang w:val="es-ES" w:eastAsia="es-ES"/>
            </w:rPr>
            <w:instrText xml:space="preserve">CITATION Dnp24 \l 3082 </w:instrText>
          </w:r>
          <w:r>
            <w:rPr>
              <w:lang w:eastAsia="es-ES"/>
            </w:rPr>
            <w:fldChar w:fldCharType="separate"/>
          </w:r>
          <w:r w:rsidR="00901E21" w:rsidRPr="00901E21">
            <w:rPr>
              <w:noProof/>
              <w:lang w:val="es-ES" w:eastAsia="es-ES"/>
            </w:rPr>
            <w:t>(DNP, 2024)</w:t>
          </w:r>
          <w:r>
            <w:rPr>
              <w:lang w:eastAsia="es-ES"/>
            </w:rPr>
            <w:fldChar w:fldCharType="end"/>
          </w:r>
        </w:sdtContent>
      </w:sdt>
      <w:r>
        <w:rPr>
          <w:lang w:eastAsia="es-ES"/>
        </w:rPr>
        <w:t>.</w:t>
      </w:r>
    </w:p>
    <w:p w14:paraId="7FD18CFE" w14:textId="7741A522" w:rsidR="006064C3" w:rsidRDefault="006064C3" w:rsidP="0015136C">
      <w:pPr>
        <w:spacing w:line="480" w:lineRule="auto"/>
        <w:rPr>
          <w:lang w:eastAsia="es-ES"/>
        </w:rPr>
      </w:pPr>
      <w:r>
        <w:rPr>
          <w:lang w:eastAsia="es-ES"/>
        </w:rPr>
        <w:t xml:space="preserve">Los indicadores de tasas de mortalidad y fecundidad muestran cifras preocupantes. La tasa de mortalidad infantil en menores de un año es de 19,13 por cada 1.000 nacidos vivos, un valor alto en comparación con los estándares nacionales, lo que podría reflejar deficiencias en la atención neonatal y pediátrica. La tasa de fecundidad es de 75,72 por cada 1.000 mujeres en edad fértil, sugiriendo un elevado índice de natalidad </w:t>
      </w:r>
      <w:sdt>
        <w:sdtPr>
          <w:rPr>
            <w:lang w:eastAsia="es-ES"/>
          </w:rPr>
          <w:id w:val="-1340161475"/>
          <w:citation/>
        </w:sdtPr>
        <w:sdtEndPr/>
        <w:sdtContent>
          <w:r>
            <w:rPr>
              <w:lang w:eastAsia="es-ES"/>
            </w:rPr>
            <w:fldChar w:fldCharType="begin"/>
          </w:r>
          <w:r w:rsidR="00AD25E0">
            <w:rPr>
              <w:lang w:val="es-ES" w:eastAsia="es-ES"/>
            </w:rPr>
            <w:instrText xml:space="preserve">CITATION Dnp24 \l 3082 </w:instrText>
          </w:r>
          <w:r>
            <w:rPr>
              <w:lang w:eastAsia="es-ES"/>
            </w:rPr>
            <w:fldChar w:fldCharType="separate"/>
          </w:r>
          <w:r w:rsidR="00901E21" w:rsidRPr="00901E21">
            <w:rPr>
              <w:noProof/>
              <w:lang w:val="es-ES" w:eastAsia="es-ES"/>
            </w:rPr>
            <w:t>(DNP, 2024)</w:t>
          </w:r>
          <w:r>
            <w:rPr>
              <w:lang w:eastAsia="es-ES"/>
            </w:rPr>
            <w:fldChar w:fldCharType="end"/>
          </w:r>
        </w:sdtContent>
      </w:sdt>
      <w:r>
        <w:rPr>
          <w:lang w:eastAsia="es-ES"/>
        </w:rPr>
        <w:t>.</w:t>
      </w:r>
    </w:p>
    <w:p w14:paraId="251AE0CA" w14:textId="4EBC460D" w:rsidR="006064C3" w:rsidRDefault="006064C3" w:rsidP="0015136C">
      <w:pPr>
        <w:spacing w:line="480" w:lineRule="auto"/>
        <w:rPr>
          <w:lang w:eastAsia="es-ES"/>
        </w:rPr>
      </w:pPr>
      <w:r>
        <w:rPr>
          <w:lang w:eastAsia="es-ES"/>
        </w:rPr>
        <w:lastRenderedPageBreak/>
        <w:t xml:space="preserve">La cobertura de vacunación pentavalente en menores de un año es del 77,05%, lo cual es relativamente bajo y plantea la necesidad de estrategias para mejorar la cobertura de inmunización </w:t>
      </w:r>
      <w:sdt>
        <w:sdtPr>
          <w:rPr>
            <w:lang w:eastAsia="es-ES"/>
          </w:rPr>
          <w:id w:val="-1380859643"/>
          <w:citation/>
        </w:sdtPr>
        <w:sdtEndPr/>
        <w:sdtContent>
          <w:r>
            <w:rPr>
              <w:lang w:eastAsia="es-ES"/>
            </w:rPr>
            <w:fldChar w:fldCharType="begin"/>
          </w:r>
          <w:r w:rsidR="00AD25E0">
            <w:rPr>
              <w:lang w:val="es-ES" w:eastAsia="es-ES"/>
            </w:rPr>
            <w:instrText xml:space="preserve">CITATION Dnp24 \l 3082 </w:instrText>
          </w:r>
          <w:r>
            <w:rPr>
              <w:lang w:eastAsia="es-ES"/>
            </w:rPr>
            <w:fldChar w:fldCharType="separate"/>
          </w:r>
          <w:r w:rsidR="00901E21" w:rsidRPr="00901E21">
            <w:rPr>
              <w:noProof/>
              <w:lang w:val="es-ES" w:eastAsia="es-ES"/>
            </w:rPr>
            <w:t>(DNP, 2024)</w:t>
          </w:r>
          <w:r>
            <w:rPr>
              <w:lang w:eastAsia="es-ES"/>
            </w:rPr>
            <w:fldChar w:fldCharType="end"/>
          </w:r>
        </w:sdtContent>
      </w:sdt>
      <w:r>
        <w:rPr>
          <w:lang w:eastAsia="es-ES"/>
        </w:rPr>
        <w:t>.</w:t>
      </w:r>
    </w:p>
    <w:p w14:paraId="76AEA396" w14:textId="4D1658BC" w:rsidR="006064C3" w:rsidRPr="00991928" w:rsidRDefault="006064C3" w:rsidP="0015136C">
      <w:pPr>
        <w:spacing w:line="480" w:lineRule="auto"/>
        <w:rPr>
          <w:iCs/>
          <w:lang w:eastAsia="es-ES"/>
        </w:rPr>
      </w:pPr>
      <w:r w:rsidRPr="00991928">
        <w:rPr>
          <w:b/>
          <w:iCs/>
          <w:lang w:eastAsia="es-ES"/>
        </w:rPr>
        <w:t>Educación:</w:t>
      </w:r>
    </w:p>
    <w:p w14:paraId="24C6B43E" w14:textId="74B4A612" w:rsidR="006064C3" w:rsidRDefault="006064C3" w:rsidP="00991928">
      <w:pPr>
        <w:spacing w:line="480" w:lineRule="auto"/>
        <w:rPr>
          <w:lang w:eastAsia="es-ES"/>
        </w:rPr>
      </w:pPr>
      <w:r>
        <w:rPr>
          <w:lang w:eastAsia="es-ES"/>
        </w:rPr>
        <w:t>La tasa de deserción intra-anual en la educación básica y media</w:t>
      </w:r>
      <w:r w:rsidR="00991928">
        <w:rPr>
          <w:lang w:eastAsia="es-ES"/>
        </w:rPr>
        <w:t xml:space="preserve"> según datos del </w:t>
      </w:r>
      <w:r w:rsidR="00991928" w:rsidRPr="00AD25E0">
        <w:rPr>
          <w:noProof/>
          <w:lang w:val="es-ES" w:eastAsia="es-ES"/>
        </w:rPr>
        <w:t>DNP</w:t>
      </w:r>
      <w:r w:rsidR="00991928">
        <w:rPr>
          <w:noProof/>
          <w:lang w:val="es-ES" w:eastAsia="es-ES"/>
        </w:rPr>
        <w:t xml:space="preserve"> (</w:t>
      </w:r>
      <w:r w:rsidR="00991928" w:rsidRPr="00AD25E0">
        <w:rPr>
          <w:noProof/>
          <w:lang w:val="es-ES" w:eastAsia="es-ES"/>
        </w:rPr>
        <w:t>2024)</w:t>
      </w:r>
      <w:r>
        <w:rPr>
          <w:lang w:eastAsia="es-ES"/>
        </w:rPr>
        <w:t xml:space="preserve"> es de 10,49%, lo que indica que más de 1 de cada 10 estudiantes abandona el sistema educativo anualmente, representando un desafío significativo para la retención escolar </w:t>
      </w:r>
    </w:p>
    <w:p w14:paraId="1A316BCA" w14:textId="17624159" w:rsidR="006064C3" w:rsidRPr="00991928" w:rsidRDefault="006064C3" w:rsidP="00991928">
      <w:pPr>
        <w:spacing w:line="480" w:lineRule="auto"/>
        <w:rPr>
          <w:noProof/>
          <w:lang w:val="es-ES" w:eastAsia="es-ES"/>
        </w:rPr>
      </w:pPr>
      <w:r>
        <w:rPr>
          <w:lang w:eastAsia="es-ES"/>
        </w:rPr>
        <w:t xml:space="preserve">La tasa de repitencia es del 6%, lo que refleja un problema en la calidad del aprendizaje y la promoción escolar. Los puntajes promedio en las Pruebas Saber 11 (47,43 en matemáticas y 49,73 en lectura crítica) se encuentran por debajo del promedio nacional, evidenciando la necesidad de mejorar la calidad educativa y el desempeño académico </w:t>
      </w:r>
      <w:r w:rsidR="00991928" w:rsidRPr="00AD25E0">
        <w:rPr>
          <w:noProof/>
          <w:lang w:val="es-ES" w:eastAsia="es-ES"/>
        </w:rPr>
        <w:t xml:space="preserve">DNP </w:t>
      </w:r>
      <w:r w:rsidR="00991928">
        <w:rPr>
          <w:noProof/>
          <w:lang w:val="es-ES" w:eastAsia="es-ES"/>
        </w:rPr>
        <w:t>(</w:t>
      </w:r>
      <w:r w:rsidR="00991928" w:rsidRPr="00AD25E0">
        <w:rPr>
          <w:noProof/>
          <w:lang w:val="es-ES" w:eastAsia="es-ES"/>
        </w:rPr>
        <w:t>2024)</w:t>
      </w:r>
      <w:r>
        <w:rPr>
          <w:lang w:eastAsia="es-ES"/>
        </w:rPr>
        <w:t>.</w:t>
      </w:r>
    </w:p>
    <w:p w14:paraId="3BF2E9C4" w14:textId="14A6F7CD" w:rsidR="006064C3" w:rsidRPr="00991928" w:rsidRDefault="006064C3" w:rsidP="0015136C">
      <w:pPr>
        <w:spacing w:line="480" w:lineRule="auto"/>
        <w:rPr>
          <w:iCs/>
          <w:lang w:eastAsia="es-ES"/>
        </w:rPr>
      </w:pPr>
      <w:r w:rsidRPr="00991928">
        <w:rPr>
          <w:b/>
          <w:iCs/>
          <w:lang w:eastAsia="es-ES"/>
        </w:rPr>
        <w:t>Pobreza:</w:t>
      </w:r>
    </w:p>
    <w:p w14:paraId="1F39A327" w14:textId="77777777" w:rsidR="00991928" w:rsidRDefault="006064C3" w:rsidP="0015136C">
      <w:pPr>
        <w:spacing w:line="480" w:lineRule="auto"/>
        <w:rPr>
          <w:lang w:eastAsia="es-ES"/>
        </w:rPr>
      </w:pPr>
      <w:r>
        <w:rPr>
          <w:lang w:eastAsia="es-ES"/>
        </w:rPr>
        <w:t>El Índice de Pobreza Multidimensional (IPM) del municipio</w:t>
      </w:r>
      <w:r w:rsidR="00991928">
        <w:rPr>
          <w:lang w:eastAsia="es-ES"/>
        </w:rPr>
        <w:t xml:space="preserve"> según </w:t>
      </w:r>
      <w:r w:rsidR="00991928" w:rsidRPr="00AD25E0">
        <w:rPr>
          <w:noProof/>
          <w:lang w:val="es-ES" w:eastAsia="es-ES"/>
        </w:rPr>
        <w:t>DNP</w:t>
      </w:r>
      <w:r w:rsidR="00991928">
        <w:rPr>
          <w:noProof/>
          <w:lang w:val="es-ES" w:eastAsia="es-ES"/>
        </w:rPr>
        <w:t xml:space="preserve"> (</w:t>
      </w:r>
      <w:r w:rsidR="00991928" w:rsidRPr="00AD25E0">
        <w:rPr>
          <w:noProof/>
          <w:lang w:val="es-ES" w:eastAsia="es-ES"/>
        </w:rPr>
        <w:t>2024)</w:t>
      </w:r>
      <w:r>
        <w:rPr>
          <w:lang w:eastAsia="es-ES"/>
        </w:rPr>
        <w:t xml:space="preserve"> es del 37% en general, con una diferencia marcada entre la cabecera urbana (33,5%) y las zonas rurales (62,4%). Esto sugiere una disparidad significativa entre el entorno urbano y rural, indicando que la pobreza es más pronunciada en las áreas rurales de Aguachic</w:t>
      </w:r>
      <w:r w:rsidR="00991928">
        <w:rPr>
          <w:lang w:eastAsia="es-ES"/>
        </w:rPr>
        <w:t xml:space="preserve">a. </w:t>
      </w:r>
    </w:p>
    <w:p w14:paraId="7E428A86" w14:textId="776A8CE1" w:rsidR="006064C3" w:rsidRDefault="006064C3" w:rsidP="0015136C">
      <w:pPr>
        <w:spacing w:line="480" w:lineRule="auto"/>
        <w:rPr>
          <w:lang w:eastAsia="es-ES"/>
        </w:rPr>
      </w:pPr>
      <w:r>
        <w:rPr>
          <w:lang w:eastAsia="es-ES"/>
        </w:rPr>
        <w:t>Los indicadores de privaciones por hogar muestran que el analfabetismo (17,1% en total, 35,7% en zonas rurales) y el bajo logro educativo (54,1% en total, 81,4% en zonas rurales) son factores críticos que limitan el desarrollo humano. Asimismo, existen barreras de acceso a servicios de salud (12,2%), inasistencia escolar (4,6%) y un alto porcentaje de trabajo informal (87,</w:t>
      </w:r>
      <w:r w:rsidR="00991928">
        <w:rPr>
          <w:lang w:eastAsia="es-ES"/>
        </w:rPr>
        <w:t xml:space="preserve">6) datos de </w:t>
      </w:r>
      <w:r w:rsidR="00991928" w:rsidRPr="00AD25E0">
        <w:rPr>
          <w:noProof/>
          <w:lang w:val="es-ES" w:eastAsia="es-ES"/>
        </w:rPr>
        <w:t>DNP</w:t>
      </w:r>
      <w:r w:rsidR="00991928">
        <w:rPr>
          <w:noProof/>
          <w:lang w:val="es-ES" w:eastAsia="es-ES"/>
        </w:rPr>
        <w:t xml:space="preserve"> (</w:t>
      </w:r>
      <w:r w:rsidR="00991928" w:rsidRPr="00AD25E0">
        <w:rPr>
          <w:noProof/>
          <w:lang w:val="es-ES" w:eastAsia="es-ES"/>
        </w:rPr>
        <w:t>2024)</w:t>
      </w:r>
      <w:r>
        <w:rPr>
          <w:lang w:eastAsia="es-ES"/>
        </w:rPr>
        <w:t>.</w:t>
      </w:r>
    </w:p>
    <w:p w14:paraId="4DAB913E" w14:textId="77777777" w:rsidR="00991928" w:rsidRDefault="00991928" w:rsidP="0015136C">
      <w:pPr>
        <w:spacing w:line="480" w:lineRule="auto"/>
        <w:rPr>
          <w:lang w:eastAsia="es-ES"/>
        </w:rPr>
      </w:pPr>
    </w:p>
    <w:p w14:paraId="59C93A7A" w14:textId="46E0B3D9" w:rsidR="006064C3" w:rsidRPr="006064C3" w:rsidRDefault="006064C3" w:rsidP="0015136C">
      <w:pPr>
        <w:spacing w:line="480" w:lineRule="auto"/>
        <w:rPr>
          <w:b/>
          <w:lang w:eastAsia="es-ES"/>
        </w:rPr>
      </w:pPr>
      <w:r w:rsidRPr="006064C3">
        <w:rPr>
          <w:b/>
          <w:lang w:eastAsia="es-ES"/>
        </w:rPr>
        <w:lastRenderedPageBreak/>
        <w:t>Calificación Global: 3.8/5</w:t>
      </w:r>
    </w:p>
    <w:p w14:paraId="4905F8A2" w14:textId="3560734F" w:rsidR="0023184D" w:rsidRDefault="006064C3" w:rsidP="0015136C">
      <w:pPr>
        <w:spacing w:line="480" w:lineRule="auto"/>
        <w:rPr>
          <w:lang w:eastAsia="es-ES"/>
        </w:rPr>
      </w:pPr>
      <w:r>
        <w:rPr>
          <w:lang w:eastAsia="es-ES"/>
        </w:rPr>
        <w:t xml:space="preserve">Se identifican las principales problemáticas que afectan el bienestar de la población de Aguachica, como la alta tasa de deserción escolar, la elevada mortalidad infantil y la marcada desigualdad entre las zonas urbanas y rurales. Sin embargo, la calificación se reduce debido a la falta de correlación directa con el desarrollo económico del municipio y cómo estos factores inciden en la implementación de proyectos como la zona franca. </w:t>
      </w:r>
    </w:p>
    <w:p w14:paraId="5034719E" w14:textId="77777777" w:rsidR="006064C3" w:rsidRDefault="006064C3" w:rsidP="0015136C">
      <w:pPr>
        <w:spacing w:line="480" w:lineRule="auto"/>
        <w:rPr>
          <w:lang w:eastAsia="es-ES"/>
        </w:rPr>
      </w:pPr>
    </w:p>
    <w:p w14:paraId="285BFA54" w14:textId="43303930" w:rsidR="004F16B7" w:rsidRPr="00991928" w:rsidRDefault="004F16B7" w:rsidP="0015136C">
      <w:pPr>
        <w:pStyle w:val="Prrafodelista"/>
        <w:numPr>
          <w:ilvl w:val="0"/>
          <w:numId w:val="20"/>
        </w:numPr>
        <w:spacing w:line="480" w:lineRule="auto"/>
        <w:rPr>
          <w:rFonts w:ascii="Times New Roman" w:hAnsi="Times New Roman"/>
          <w:b/>
          <w:iCs/>
        </w:rPr>
      </w:pPr>
      <w:r w:rsidRPr="00991928">
        <w:rPr>
          <w:rFonts w:ascii="Times New Roman" w:hAnsi="Times New Roman"/>
          <w:b/>
          <w:iCs/>
        </w:rPr>
        <w:t>Percepción de las Zonas Francas: Encuestas o estudios sobre la aceptación y el entendimiento de la población sobre las zonas francas.</w:t>
      </w:r>
    </w:p>
    <w:p w14:paraId="06F7A506" w14:textId="77777777" w:rsidR="006064C3" w:rsidRDefault="006064C3" w:rsidP="0015136C">
      <w:pPr>
        <w:spacing w:line="480" w:lineRule="auto"/>
        <w:rPr>
          <w:lang w:eastAsia="es-ES"/>
        </w:rPr>
      </w:pPr>
    </w:p>
    <w:p w14:paraId="6DAEE072" w14:textId="7F904B3B" w:rsidR="007D554F" w:rsidRDefault="007D554F" w:rsidP="0015136C">
      <w:pPr>
        <w:spacing w:line="480" w:lineRule="auto"/>
        <w:rPr>
          <w:lang w:eastAsia="es-ES"/>
        </w:rPr>
      </w:pPr>
      <w:r>
        <w:rPr>
          <w:lang w:eastAsia="es-ES"/>
        </w:rPr>
        <w:t>La percepción de las zonas francas por parte de actores locales es un factor crucial para el éxito de estas áreas económicas especiales. Comprender cómo profesionales y empresarios del sector agrícola valoran las zonas francas proporciona información valiosa sobre su posible impacto en Aguachica y su entorno. A través de entrevistas estructuradas con representantes de la comunidad económica y empresarial, se evaluó la aceptación, expectativas y preocupaciones en torno a la implementación de una zona franca en el municipio.</w:t>
      </w:r>
    </w:p>
    <w:p w14:paraId="68E56A60" w14:textId="77777777" w:rsidR="007D554F" w:rsidRPr="00991928" w:rsidRDefault="007D554F" w:rsidP="0015136C">
      <w:pPr>
        <w:spacing w:line="480" w:lineRule="auto"/>
        <w:rPr>
          <w:b/>
          <w:iCs/>
          <w:lang w:eastAsia="es-ES"/>
        </w:rPr>
      </w:pPr>
      <w:r w:rsidRPr="00991928">
        <w:rPr>
          <w:b/>
          <w:iCs/>
          <w:lang w:eastAsia="es-ES"/>
        </w:rPr>
        <w:t>Encuestas a Profesionales en Economía:</w:t>
      </w:r>
    </w:p>
    <w:p w14:paraId="53766033" w14:textId="49EFDAF4" w:rsidR="007D554F" w:rsidRDefault="007D554F" w:rsidP="00991928">
      <w:pPr>
        <w:spacing w:line="480" w:lineRule="auto"/>
        <w:rPr>
          <w:lang w:eastAsia="es-ES"/>
        </w:rPr>
      </w:pPr>
      <w:r>
        <w:rPr>
          <w:lang w:eastAsia="es-ES"/>
        </w:rPr>
        <w:t xml:space="preserve">Los profesionales consultados enfatizaron la capacidad de las zonas francas para dinamizar la economía local a través de la atracción de inversiones y la generación de empleo formal. La mayoría coincidió en que, de implementarse adecuadamente, la zona franca podría no solo diversificar la estructura económica del municipio, tradicionalmente centrada en el comercio y la agricultura, sino también fortalecer las cadenas de valor locales. No obstante, se destacaron </w:t>
      </w:r>
      <w:r>
        <w:rPr>
          <w:lang w:eastAsia="es-ES"/>
        </w:rPr>
        <w:lastRenderedPageBreak/>
        <w:t>preocupaciones sobre el impacto ambiental y la necesidad de un crecimiento planificado para evitar daños ecológicos.</w:t>
      </w:r>
    </w:p>
    <w:p w14:paraId="09CA058C" w14:textId="2EF0BC77" w:rsidR="007D554F" w:rsidRDefault="007D554F" w:rsidP="0015136C">
      <w:pPr>
        <w:spacing w:line="480" w:lineRule="auto"/>
        <w:rPr>
          <w:lang w:eastAsia="es-ES"/>
        </w:rPr>
      </w:pPr>
      <w:r>
        <w:rPr>
          <w:lang w:eastAsia="es-ES"/>
        </w:rPr>
        <w:t>Impacto Económico: Los entrevistados señalaron que la zona franca podría actuar como un motor de crecimiento al incentivar la creación de infraestructura logística y de servicios. Según el primer profesional entrevistado, “la creación de una Zona Franca en Aguachica podría ser un motor de crecimiento significativo, atrayendo inversión extranjera y nacional, lo cual generaría empleo formal y fortalecería las cadenas de valor locales”.</w:t>
      </w:r>
    </w:p>
    <w:p w14:paraId="07255029" w14:textId="1FEBAA4B" w:rsidR="007D554F" w:rsidRDefault="007D554F" w:rsidP="0015136C">
      <w:pPr>
        <w:spacing w:line="480" w:lineRule="auto"/>
        <w:rPr>
          <w:lang w:eastAsia="es-ES"/>
        </w:rPr>
      </w:pPr>
      <w:r>
        <w:rPr>
          <w:lang w:eastAsia="es-ES"/>
        </w:rPr>
        <w:t>Protección Ambiental: En cuanto a la sostenibilidad, los entrevistados hicieron hincapié en la necesidad de desarrollar un plan de manejo ambiental desde el inicio, con normas estrictas de control de emisiones y manejo de residuos. Recomendaron la creación de un comité ambiental local para supervisar el cumplimiento de estas normas.</w:t>
      </w:r>
    </w:p>
    <w:p w14:paraId="3D80D6D6" w14:textId="77777777" w:rsidR="007D554F" w:rsidRPr="00A2556B" w:rsidRDefault="007D554F" w:rsidP="0015136C">
      <w:pPr>
        <w:spacing w:line="480" w:lineRule="auto"/>
        <w:rPr>
          <w:b/>
          <w:i/>
          <w:lang w:eastAsia="es-ES"/>
        </w:rPr>
      </w:pPr>
      <w:r w:rsidRPr="00991928">
        <w:rPr>
          <w:b/>
          <w:iCs/>
          <w:lang w:eastAsia="es-ES"/>
        </w:rPr>
        <w:t>Encuestas a Empresarios del Sector Agrícola y Agroindustrial</w:t>
      </w:r>
      <w:r w:rsidRPr="00A2556B">
        <w:rPr>
          <w:b/>
          <w:i/>
          <w:lang w:eastAsia="es-ES"/>
        </w:rPr>
        <w:t>:</w:t>
      </w:r>
    </w:p>
    <w:p w14:paraId="391D580D" w14:textId="647AE411" w:rsidR="007D554F" w:rsidRDefault="007D554F" w:rsidP="0015136C">
      <w:pPr>
        <w:spacing w:line="480" w:lineRule="auto"/>
        <w:rPr>
          <w:lang w:eastAsia="es-ES"/>
        </w:rPr>
      </w:pPr>
      <w:r>
        <w:rPr>
          <w:lang w:eastAsia="es-ES"/>
        </w:rPr>
        <w:t>Los empresarios del sector agrícola destacaron la posibilidad de mejorar su competitividad y expansión en el mercado regional e internacional. La zona franca podría permitirles reducir costos operativos, acceder a incentivos tributarios y mejorar sus márgenes de rentabilidad. Sin embargo, también manifestaron preocupación por la falta de personal técnico calificado y por la necesidad de programas de formación específicos.</w:t>
      </w:r>
    </w:p>
    <w:p w14:paraId="486B60E9" w14:textId="598C3AEA" w:rsidR="007D554F" w:rsidRDefault="007D554F" w:rsidP="0015136C">
      <w:pPr>
        <w:spacing w:line="480" w:lineRule="auto"/>
        <w:rPr>
          <w:lang w:eastAsia="es-ES"/>
        </w:rPr>
      </w:pPr>
      <w:r>
        <w:rPr>
          <w:lang w:eastAsia="es-ES"/>
        </w:rPr>
        <w:t xml:space="preserve">Competitividad Empresarial: Los empresarios ven la zona franca como una oportunidad para mejorar la competitividad a través de la reducción de costos de exportación y el acceso a insumos sin aranceles. Como afirmó uno de los entrevistados: “Una Zona Franca nos permitiría reducir costos de exportación, lo que haría nuestros productos más competitivos en mercados </w:t>
      </w:r>
      <w:r>
        <w:rPr>
          <w:lang w:eastAsia="es-ES"/>
        </w:rPr>
        <w:lastRenderedPageBreak/>
        <w:t>internacionales. También facilitaría la adquisición de insumos importados, mejorando nuestros márgenes de rentabilidad”.</w:t>
      </w:r>
    </w:p>
    <w:p w14:paraId="569A4561" w14:textId="73BCFB92" w:rsidR="007D554F" w:rsidRDefault="007D554F" w:rsidP="0015136C">
      <w:pPr>
        <w:spacing w:line="480" w:lineRule="auto"/>
        <w:rPr>
          <w:lang w:eastAsia="es-ES"/>
        </w:rPr>
      </w:pPr>
      <w:r>
        <w:rPr>
          <w:lang w:eastAsia="es-ES"/>
        </w:rPr>
        <w:t>Capacitación de Mano de Obra: Otro aspecto relevante es el impacto en la capacitación de la mano de obra local. La mayoría de los empresarios coincidió en que la zona franca incentivaría la profesionalización de los trabajadores, especialmente en el uso de nuevas tecnologías y procesos de producción.</w:t>
      </w:r>
    </w:p>
    <w:p w14:paraId="77647E31" w14:textId="760144B1" w:rsidR="007D554F" w:rsidRPr="00A2556B" w:rsidRDefault="007D554F" w:rsidP="0015136C">
      <w:pPr>
        <w:spacing w:line="480" w:lineRule="auto"/>
        <w:rPr>
          <w:b/>
          <w:lang w:eastAsia="es-ES"/>
        </w:rPr>
      </w:pPr>
      <w:r w:rsidRPr="00A2556B">
        <w:rPr>
          <w:b/>
          <w:lang w:eastAsia="es-ES"/>
        </w:rPr>
        <w:t>Calificación</w:t>
      </w:r>
      <w:r w:rsidR="00A2556B" w:rsidRPr="00A2556B">
        <w:rPr>
          <w:b/>
          <w:lang w:eastAsia="es-ES"/>
        </w:rPr>
        <w:t xml:space="preserve"> Global</w:t>
      </w:r>
      <w:r w:rsidRPr="00A2556B">
        <w:rPr>
          <w:b/>
          <w:lang w:eastAsia="es-ES"/>
        </w:rPr>
        <w:t>: 4/5</w:t>
      </w:r>
    </w:p>
    <w:p w14:paraId="5A7CABFA" w14:textId="3AD61771" w:rsidR="00D37FD1" w:rsidRDefault="007D554F" w:rsidP="0015136C">
      <w:pPr>
        <w:spacing w:line="480" w:lineRule="auto"/>
        <w:rPr>
          <w:lang w:eastAsia="es-ES"/>
        </w:rPr>
      </w:pPr>
      <w:r>
        <w:rPr>
          <w:lang w:eastAsia="es-ES"/>
        </w:rPr>
        <w:t>Los profesionales y empresarios entrevistados ven con buenos ojos el potencial económico de la zona franca, pero enfatizan la importancia de un desarrollo sostenible y planificado. La calificación se ve afectada por la ausencia de análisis más concretos sobre cómo se podrían implementar estas recomendaciones en el contexto local.</w:t>
      </w:r>
    </w:p>
    <w:p w14:paraId="424E1415" w14:textId="77777777" w:rsidR="00A2556B" w:rsidRDefault="00A2556B" w:rsidP="0015136C">
      <w:pPr>
        <w:spacing w:line="480" w:lineRule="auto"/>
        <w:rPr>
          <w:lang w:eastAsia="es-ES"/>
        </w:rPr>
      </w:pPr>
    </w:p>
    <w:p w14:paraId="7BDE7A4C" w14:textId="053CB4CF" w:rsidR="00D37FD1" w:rsidRPr="00991928" w:rsidRDefault="00D37FD1" w:rsidP="0015136C">
      <w:pPr>
        <w:pStyle w:val="Prrafodelista"/>
        <w:numPr>
          <w:ilvl w:val="0"/>
          <w:numId w:val="20"/>
        </w:numPr>
        <w:spacing w:line="480" w:lineRule="auto"/>
        <w:rPr>
          <w:rFonts w:ascii="Times New Roman" w:hAnsi="Times New Roman"/>
          <w:b/>
          <w:iCs/>
        </w:rPr>
      </w:pPr>
      <w:r w:rsidRPr="00991928">
        <w:rPr>
          <w:rFonts w:ascii="Times New Roman" w:hAnsi="Times New Roman"/>
          <w:b/>
          <w:iCs/>
        </w:rPr>
        <w:t>Proyectos Sociales: Iniciativas comunitarias que podrían influir en la aceptación y el desarrollo de la zona franca.</w:t>
      </w:r>
    </w:p>
    <w:p w14:paraId="2106A5B4" w14:textId="77777777" w:rsidR="00D37FD1" w:rsidRDefault="00D37FD1" w:rsidP="0015136C">
      <w:pPr>
        <w:spacing w:line="480" w:lineRule="auto"/>
        <w:rPr>
          <w:lang w:eastAsia="es-ES"/>
        </w:rPr>
      </w:pPr>
    </w:p>
    <w:p w14:paraId="5997F17A" w14:textId="7646E683" w:rsidR="004F16B7" w:rsidRDefault="004F16B7" w:rsidP="0015136C">
      <w:pPr>
        <w:spacing w:line="480" w:lineRule="auto"/>
        <w:rPr>
          <w:lang w:eastAsia="es-ES"/>
        </w:rPr>
      </w:pPr>
      <w:r>
        <w:rPr>
          <w:lang w:eastAsia="es-ES"/>
        </w:rPr>
        <w:t>Los proyectos sociales del plan de desarrollo municipal de Aguachica 2024-2027, contemplan diversas iniciativas comunitarias y de desarrollo en el municipio de Aguachica que abarcan la protección ambiental, la atención a grupos vulnerables, el desarrollo económico y social, así como la infraestructura comunitaria y educativa. Estas iniciativas pueden influir directamente en la percepción y aceptación de la zona franca como una inversión compatible con el bienestar de la comunidad y el entorno.</w:t>
      </w:r>
    </w:p>
    <w:p w14:paraId="6870A381" w14:textId="65687CB7" w:rsidR="004F16B7" w:rsidRDefault="004F16B7" w:rsidP="0015136C">
      <w:pPr>
        <w:spacing w:line="480" w:lineRule="auto"/>
        <w:rPr>
          <w:lang w:eastAsia="es-ES"/>
        </w:rPr>
      </w:pPr>
      <w:r w:rsidRPr="004F16B7">
        <w:rPr>
          <w:b/>
          <w:lang w:eastAsia="es-ES"/>
        </w:rPr>
        <w:lastRenderedPageBreak/>
        <w:t xml:space="preserve">Impacto en </w:t>
      </w:r>
      <w:r>
        <w:rPr>
          <w:b/>
          <w:lang w:eastAsia="es-ES"/>
        </w:rPr>
        <w:t>la Aceptación Comunitaria</w:t>
      </w:r>
      <w:r w:rsidRPr="004F16B7">
        <w:rPr>
          <w:b/>
          <w:lang w:eastAsia="es-ES"/>
        </w:rPr>
        <w:t xml:space="preserve">: </w:t>
      </w:r>
      <w:r>
        <w:rPr>
          <w:lang w:eastAsia="es-ES"/>
        </w:rPr>
        <w:t>Los proyectos enfocados en la inclusión social, la recuperación del espacio público, y la atención a la población vulnerable (niños, ancianos, personas en situación de calle, población LGBTIQ+, etc.) pueden crear un entorno favorable para la implementación de una zona franca. Si la comunidad percibe que el desarrollo económico va acompañado de beneficios sociales, se fortalecerá la aceptación y la disposición para apoyar el proyecto.</w:t>
      </w:r>
    </w:p>
    <w:p w14:paraId="07AC1FEE" w14:textId="1DB9507C" w:rsidR="004F16B7" w:rsidRDefault="004F16B7" w:rsidP="0015136C">
      <w:pPr>
        <w:spacing w:line="480" w:lineRule="auto"/>
        <w:rPr>
          <w:lang w:eastAsia="es-ES"/>
        </w:rPr>
      </w:pPr>
      <w:r w:rsidRPr="004F16B7">
        <w:rPr>
          <w:b/>
          <w:lang w:eastAsia="es-ES"/>
        </w:rPr>
        <w:t xml:space="preserve">Impacto en el Desarrollo Económico y </w:t>
      </w:r>
      <w:r>
        <w:rPr>
          <w:b/>
          <w:lang w:eastAsia="es-ES"/>
        </w:rPr>
        <w:t>Sostenibilidad</w:t>
      </w:r>
      <w:r w:rsidRPr="004F16B7">
        <w:rPr>
          <w:b/>
          <w:lang w:eastAsia="es-ES"/>
        </w:rPr>
        <w:t>:</w:t>
      </w:r>
      <w:r>
        <w:rPr>
          <w:lang w:eastAsia="es-ES"/>
        </w:rPr>
        <w:t xml:space="preserve"> La implementación de proyectos como el Plan de Restauración de Bosques, la Gestión Integral de Residuos Sólidos, y el apoyo a la producción agrícola y pesquera, resuena con la responsabilidad ambiental que una zona franca debe proyectar. Estos proyectos pueden hacer que la zona franca se perciba como un actor que impulsa no solo el crecimiento económico, sino también la sostenibilidad ambiental. Además, iniciativas como la construcción de infraestructura vial y educativa mejoran la competitividad y conectividad del municipio, aspectos claves para el desarrollo de la zona franca.</w:t>
      </w:r>
    </w:p>
    <w:p w14:paraId="63CE8666" w14:textId="26DF0B25" w:rsidR="004F16B7" w:rsidRDefault="004F16B7" w:rsidP="0015136C">
      <w:pPr>
        <w:spacing w:line="480" w:lineRule="auto"/>
        <w:rPr>
          <w:lang w:eastAsia="es-ES"/>
        </w:rPr>
      </w:pPr>
      <w:r w:rsidRPr="004F16B7">
        <w:rPr>
          <w:b/>
          <w:lang w:eastAsia="es-ES"/>
        </w:rPr>
        <w:t>Relación con la Percepción de Responsabilidad</w:t>
      </w:r>
      <w:r>
        <w:rPr>
          <w:b/>
          <w:lang w:eastAsia="es-ES"/>
        </w:rPr>
        <w:t xml:space="preserve"> Social Empresarial (RSE)</w:t>
      </w:r>
      <w:r w:rsidRPr="004F16B7">
        <w:rPr>
          <w:b/>
          <w:lang w:eastAsia="es-ES"/>
        </w:rPr>
        <w:t>:</w:t>
      </w:r>
      <w:r>
        <w:rPr>
          <w:lang w:eastAsia="es-ES"/>
        </w:rPr>
        <w:t xml:space="preserve"> La participación o el apoyo de la zona franca en proyectos como la instalación de paneles solares en las escuelas, la dotación de espacios recreativos y la mejora de la infraestructura educativa contribuiría a posicionar la zona franca como un actor comprometido con el desarrollo social y ambiental de la región. Esta percepción positiva fortalecería su reputación y podría atraer más inversión y colaboración.</w:t>
      </w:r>
    </w:p>
    <w:p w14:paraId="76FDB402" w14:textId="54CD4795" w:rsidR="004F16B7" w:rsidRDefault="004F16B7" w:rsidP="0015136C">
      <w:pPr>
        <w:spacing w:line="480" w:lineRule="auto"/>
        <w:rPr>
          <w:lang w:eastAsia="es-ES"/>
        </w:rPr>
      </w:pPr>
      <w:r w:rsidRPr="004F16B7">
        <w:rPr>
          <w:b/>
          <w:lang w:eastAsia="es-ES"/>
        </w:rPr>
        <w:t>Potencial de Colaboración y Alianza</w:t>
      </w:r>
      <w:r>
        <w:rPr>
          <w:b/>
          <w:lang w:eastAsia="es-ES"/>
        </w:rPr>
        <w:t>s Estratégicas</w:t>
      </w:r>
      <w:r w:rsidRPr="004F16B7">
        <w:rPr>
          <w:b/>
          <w:lang w:eastAsia="es-ES"/>
        </w:rPr>
        <w:t>:</w:t>
      </w:r>
      <w:r>
        <w:rPr>
          <w:lang w:eastAsia="es-ES"/>
        </w:rPr>
        <w:t xml:space="preserve"> La amplia variedad de proyectos abre la puerta a establecer alianzas con actores locales, como la Universidad Popular del Cesar, grupos comunitarios, y entidades ambientales. Esto podría facilitar la ejecución de proyectos de </w:t>
      </w:r>
      <w:r>
        <w:rPr>
          <w:lang w:eastAsia="es-ES"/>
        </w:rPr>
        <w:lastRenderedPageBreak/>
        <w:t>capacitación, sostenibilidad, y responsabilidad social en conjunto con la zona franca, maximizando el impacto de las iniciativas sociales y ambientales.</w:t>
      </w:r>
    </w:p>
    <w:p w14:paraId="4B41F3A3" w14:textId="4F32E815" w:rsidR="004F16B7" w:rsidRPr="004F16B7" w:rsidRDefault="004F16B7" w:rsidP="0015136C">
      <w:pPr>
        <w:spacing w:line="480" w:lineRule="auto"/>
        <w:rPr>
          <w:b/>
          <w:lang w:eastAsia="es-ES"/>
        </w:rPr>
      </w:pPr>
      <w:r w:rsidRPr="004F16B7">
        <w:rPr>
          <w:b/>
          <w:lang w:eastAsia="es-ES"/>
        </w:rPr>
        <w:t>Calificación Global: 4/5</w:t>
      </w:r>
    </w:p>
    <w:p w14:paraId="5EC8A146" w14:textId="4F87B08E" w:rsidR="006064C3" w:rsidRDefault="004F16B7" w:rsidP="00991928">
      <w:pPr>
        <w:spacing w:line="480" w:lineRule="auto"/>
        <w:rPr>
          <w:lang w:eastAsia="es-ES"/>
        </w:rPr>
      </w:pPr>
      <w:r>
        <w:rPr>
          <w:lang w:eastAsia="es-ES"/>
        </w:rPr>
        <w:t>Los proyectos sociales incluidos en el plan de desarrollo del municipio pueden ser un factor externo determinante para la aceptación y desarrollo de la zona franca, especialmente si se aprovechan como plataformas para mostrar el compromiso del proyecto con el bienestar social y el progreso integral de la comunidad. Su nivel de Riesgo es bajo, siempre y cuando la zona franca se alinee con los objetivos de desarrollo social y ambiental de estos proyectos.</w:t>
      </w:r>
    </w:p>
    <w:p w14:paraId="00C891C9" w14:textId="0E8A4500" w:rsidR="00004267" w:rsidRPr="00991928" w:rsidRDefault="00CA4797" w:rsidP="00991928">
      <w:pPr>
        <w:pStyle w:val="Ttulo4"/>
      </w:pPr>
      <w:r w:rsidRPr="00991928">
        <w:t>Entorno Político y Legal</w:t>
      </w:r>
    </w:p>
    <w:p w14:paraId="21057F5A" w14:textId="0B8037DC" w:rsidR="00004267" w:rsidRPr="00991928" w:rsidRDefault="00004267" w:rsidP="00991928">
      <w:pPr>
        <w:pStyle w:val="Prrafodelista"/>
        <w:numPr>
          <w:ilvl w:val="0"/>
          <w:numId w:val="21"/>
        </w:numPr>
        <w:spacing w:line="480" w:lineRule="auto"/>
        <w:rPr>
          <w:rFonts w:ascii="Times New Roman" w:hAnsi="Times New Roman"/>
          <w:b/>
          <w:i/>
        </w:rPr>
      </w:pPr>
      <w:r w:rsidRPr="00991928">
        <w:rPr>
          <w:rFonts w:ascii="Times New Roman" w:hAnsi="Times New Roman"/>
          <w:b/>
          <w:iCs/>
        </w:rPr>
        <w:t>Marco Normativo: Leyes y regulaciones que rigen las zonas francas en Colombia</w:t>
      </w:r>
      <w:r w:rsidRPr="00004267">
        <w:rPr>
          <w:rFonts w:ascii="Times New Roman" w:hAnsi="Times New Roman"/>
          <w:b/>
          <w:i/>
        </w:rPr>
        <w:t>.</w:t>
      </w:r>
    </w:p>
    <w:p w14:paraId="356723BC" w14:textId="1991BB32" w:rsidR="001C248D" w:rsidRDefault="001C248D" w:rsidP="0015136C">
      <w:pPr>
        <w:spacing w:line="480" w:lineRule="auto"/>
        <w:rPr>
          <w:lang w:eastAsia="es-ES"/>
        </w:rPr>
      </w:pPr>
      <w:r>
        <w:rPr>
          <w:lang w:eastAsia="es-ES"/>
        </w:rPr>
        <w:t>El marco normativo que regula las zonas francas en Colombia constituye un pilar esencial para el funcionamiento y desarrollo de estas áreas económicas especiales. Este conjunto de leyes y regulaciones no solo establece los lineamientos para su creación y operación, sino que también busca fomentar la competitividad y atraer inversiones que generen empleo en regiones como Aguachica.</w:t>
      </w:r>
    </w:p>
    <w:p w14:paraId="50D2C1EE" w14:textId="77777777" w:rsidR="001C248D" w:rsidRPr="00991928" w:rsidRDefault="001C248D" w:rsidP="0015136C">
      <w:pPr>
        <w:spacing w:line="480" w:lineRule="auto"/>
        <w:rPr>
          <w:b/>
          <w:iCs/>
          <w:lang w:eastAsia="es-ES"/>
        </w:rPr>
      </w:pPr>
      <w:r w:rsidRPr="00991928">
        <w:rPr>
          <w:b/>
          <w:iCs/>
          <w:lang w:eastAsia="es-ES"/>
        </w:rPr>
        <w:t>Ley 1004 de 2005:</w:t>
      </w:r>
    </w:p>
    <w:p w14:paraId="3EA55D5B" w14:textId="06C736BF" w:rsidR="001C248D" w:rsidRDefault="001C248D" w:rsidP="0015136C">
      <w:pPr>
        <w:spacing w:line="480" w:lineRule="auto"/>
        <w:rPr>
          <w:lang w:eastAsia="es-ES"/>
        </w:rPr>
      </w:pPr>
      <w:r>
        <w:rPr>
          <w:lang w:eastAsia="es-ES"/>
        </w:rPr>
        <w:t xml:space="preserve">La Ley 1004 de 2005 es la norma fundamental que establece las bases del régimen de zonas francas en el país. Esta ley define los tipos de zonas francas, como las Permanentes y las Permanentes Especiales, y establece los criterios para su calificación y funcionamiento. La inclusión de estímulos tributarios, como la tarifa reducida del impuesto de renta y la exención de IVA en ciertas transacciones, busca incentivar la inversión y el establecimiento de operaciones </w:t>
      </w:r>
      <w:r>
        <w:rPr>
          <w:lang w:eastAsia="es-ES"/>
        </w:rPr>
        <w:lastRenderedPageBreak/>
        <w:t>industriales. Sin embargo, su implementación efectiva depende de la capacidad de las entidades locales para adaptarse a estas normativas y garantizar el cumplimiento de las obligaciones establecidas.</w:t>
      </w:r>
    </w:p>
    <w:p w14:paraId="68FB5242" w14:textId="77777777" w:rsidR="001C248D" w:rsidRPr="00991928" w:rsidRDefault="001C248D" w:rsidP="0015136C">
      <w:pPr>
        <w:spacing w:line="480" w:lineRule="auto"/>
        <w:rPr>
          <w:b/>
          <w:iCs/>
          <w:lang w:eastAsia="es-ES"/>
        </w:rPr>
      </w:pPr>
      <w:r w:rsidRPr="00991928">
        <w:rPr>
          <w:b/>
          <w:iCs/>
          <w:lang w:eastAsia="es-ES"/>
        </w:rPr>
        <w:t>Resolución 2135 de 2017 y Decreto 2147 de 2016:</w:t>
      </w:r>
    </w:p>
    <w:p w14:paraId="0C8FA4E4" w14:textId="77777777" w:rsidR="001C248D" w:rsidRDefault="001C248D" w:rsidP="0015136C">
      <w:pPr>
        <w:spacing w:line="480" w:lineRule="auto"/>
        <w:rPr>
          <w:lang w:eastAsia="es-ES"/>
        </w:rPr>
      </w:pPr>
      <w:r>
        <w:rPr>
          <w:lang w:eastAsia="es-ES"/>
        </w:rPr>
        <w:t>Estas normativas complementan la Ley 1004 al regular los procedimientos de informes y supervisión. La Resolución 2135 establece directrices claras para la presentación de informes trimestrales, mientras que el Decreto 2147 introduce criterios para la autorización y control de las actividades económicas en las zonas. Ambos documentos son cruciales para asegurar la transparencia y el cumplimiento normativo, aunque pueden representar una carga administrativa para los usuarios si no se gestionan adecuadamente.</w:t>
      </w:r>
    </w:p>
    <w:p w14:paraId="3672FA8D" w14:textId="77777777" w:rsidR="001C248D" w:rsidRPr="00991928" w:rsidRDefault="001C248D" w:rsidP="0015136C">
      <w:pPr>
        <w:spacing w:line="480" w:lineRule="auto"/>
        <w:rPr>
          <w:b/>
          <w:iCs/>
          <w:lang w:eastAsia="es-ES"/>
        </w:rPr>
      </w:pPr>
      <w:r w:rsidRPr="00991928">
        <w:rPr>
          <w:b/>
          <w:iCs/>
          <w:lang w:eastAsia="es-ES"/>
        </w:rPr>
        <w:t>Decretos 278 de 2021 y 47 de 2024:</w:t>
      </w:r>
    </w:p>
    <w:p w14:paraId="2790925F" w14:textId="238BFF1A" w:rsidR="001C248D" w:rsidRDefault="001C248D" w:rsidP="0015136C">
      <w:pPr>
        <w:spacing w:line="480" w:lineRule="auto"/>
        <w:rPr>
          <w:lang w:eastAsia="es-ES"/>
        </w:rPr>
      </w:pPr>
      <w:r>
        <w:rPr>
          <w:lang w:eastAsia="es-ES"/>
        </w:rPr>
        <w:t>Estas normativas recientes ajustan y actualizan los requisitos y procedimientos para las zonas francas. Por un lado, el Decreto 278 modifica ciertos criterios de empleo y inversión, y el Decreto 47 se centra en aspectos tributarios, garantizando que las tarifas del impuesto de renta se alineen con el tipo de operación de cada usuario. La actualización constante de estas regulaciones es esencial para adaptarse a un entorno económico dinámico, pero también puede generar incertidumbre entre los inversores si no se comunica de manera efectiva.</w:t>
      </w:r>
    </w:p>
    <w:p w14:paraId="704BFF14" w14:textId="77777777" w:rsidR="001C248D" w:rsidRPr="001C248D" w:rsidRDefault="001C248D" w:rsidP="0015136C">
      <w:pPr>
        <w:spacing w:line="480" w:lineRule="auto"/>
        <w:rPr>
          <w:b/>
          <w:i/>
          <w:lang w:eastAsia="es-ES"/>
        </w:rPr>
      </w:pPr>
      <w:r w:rsidRPr="00991928">
        <w:rPr>
          <w:b/>
          <w:iCs/>
          <w:lang w:eastAsia="es-ES"/>
        </w:rPr>
        <w:t>Decreto 1165 de 2019 y Resolución 46 de 2019</w:t>
      </w:r>
      <w:r w:rsidRPr="001C248D">
        <w:rPr>
          <w:b/>
          <w:i/>
          <w:lang w:eastAsia="es-ES"/>
        </w:rPr>
        <w:t>:</w:t>
      </w:r>
    </w:p>
    <w:p w14:paraId="5882BE3B" w14:textId="4CC64762" w:rsidR="001C248D" w:rsidRDefault="001C248D" w:rsidP="0015136C">
      <w:pPr>
        <w:spacing w:line="480" w:lineRule="auto"/>
        <w:rPr>
          <w:lang w:eastAsia="es-ES"/>
        </w:rPr>
      </w:pPr>
      <w:r>
        <w:rPr>
          <w:lang w:eastAsia="es-ES"/>
        </w:rPr>
        <w:t xml:space="preserve">Ambas regulaciones se centran en las operaciones aduaneras, que son fundamentales para el funcionamiento de las zonas francas. El Decreto 1165 proporciona las disposiciones necesarias para la exención de tributos aduaneros, lo que representa un atractivo significativo para las </w:t>
      </w:r>
      <w:r>
        <w:rPr>
          <w:lang w:eastAsia="es-ES"/>
        </w:rPr>
        <w:lastRenderedPageBreak/>
        <w:t>empresas. Por su parte, la Resolución 46 establece procedimientos claros para el control de mercancías, lo que es vital para prevenir abusos y garantizar el cumplimiento de las normativas.</w:t>
      </w:r>
    </w:p>
    <w:p w14:paraId="2AC8D313" w14:textId="20FCB663" w:rsidR="001C248D" w:rsidRPr="001C248D" w:rsidRDefault="001C248D" w:rsidP="0015136C">
      <w:pPr>
        <w:spacing w:line="480" w:lineRule="auto"/>
        <w:rPr>
          <w:b/>
          <w:lang w:eastAsia="es-ES"/>
        </w:rPr>
      </w:pPr>
      <w:r w:rsidRPr="001C248D">
        <w:rPr>
          <w:b/>
          <w:lang w:eastAsia="es-ES"/>
        </w:rPr>
        <w:t>Calificación</w:t>
      </w:r>
      <w:r>
        <w:rPr>
          <w:b/>
          <w:lang w:eastAsia="es-ES"/>
        </w:rPr>
        <w:t xml:space="preserve"> Global</w:t>
      </w:r>
      <w:r w:rsidRPr="001C248D">
        <w:rPr>
          <w:b/>
          <w:lang w:eastAsia="es-ES"/>
        </w:rPr>
        <w:t>: 4.7/5</w:t>
      </w:r>
    </w:p>
    <w:p w14:paraId="420DD2A9" w14:textId="4CF58EF5" w:rsidR="001C248D" w:rsidRDefault="001C248D" w:rsidP="0015136C">
      <w:pPr>
        <w:spacing w:line="480" w:lineRule="auto"/>
        <w:rPr>
          <w:lang w:eastAsia="es-ES"/>
        </w:rPr>
      </w:pPr>
      <w:r>
        <w:rPr>
          <w:lang w:eastAsia="es-ES"/>
        </w:rPr>
        <w:t xml:space="preserve">La identificación de las principales normativas y su impacto en la competitividad y el desarrollo económico de Aguachica es relevante y está alineada con las necesidades de la región. Sin embargo, la calificación se ve ligeramente afectada por la falta de ejemplos concretos de cómo estas normativas han sido implementadas en el contexto local y el impacto que han tenido en la atracción de inversiones. </w:t>
      </w:r>
    </w:p>
    <w:p w14:paraId="6AF35771" w14:textId="77777777" w:rsidR="00004267" w:rsidRDefault="00004267" w:rsidP="0015136C">
      <w:pPr>
        <w:spacing w:line="480" w:lineRule="auto"/>
        <w:rPr>
          <w:lang w:eastAsia="es-ES"/>
        </w:rPr>
      </w:pPr>
    </w:p>
    <w:p w14:paraId="146E694A" w14:textId="05F6758A" w:rsidR="00004267" w:rsidRPr="00991928" w:rsidRDefault="00C30A7E" w:rsidP="0015136C">
      <w:pPr>
        <w:pStyle w:val="Prrafodelista"/>
        <w:numPr>
          <w:ilvl w:val="0"/>
          <w:numId w:val="21"/>
        </w:numPr>
        <w:spacing w:line="480" w:lineRule="auto"/>
        <w:rPr>
          <w:rFonts w:ascii="Times New Roman" w:hAnsi="Times New Roman"/>
          <w:b/>
          <w:iCs/>
        </w:rPr>
      </w:pPr>
      <w:r w:rsidRPr="00991928">
        <w:rPr>
          <w:rFonts w:ascii="Times New Roman" w:hAnsi="Times New Roman"/>
          <w:b/>
          <w:iCs/>
        </w:rPr>
        <w:t>Estabilidad Política: Evaluación de la estabilidad política en la región que pueda influir en las inversiones.</w:t>
      </w:r>
    </w:p>
    <w:p w14:paraId="6AC9EA43" w14:textId="77777777" w:rsidR="00004267" w:rsidRDefault="00004267" w:rsidP="0015136C">
      <w:pPr>
        <w:spacing w:line="480" w:lineRule="auto"/>
        <w:rPr>
          <w:lang w:eastAsia="es-ES"/>
        </w:rPr>
      </w:pPr>
    </w:p>
    <w:p w14:paraId="47A5E69F" w14:textId="7DF9133C" w:rsidR="00C30A7E" w:rsidRDefault="00C30A7E" w:rsidP="0015136C">
      <w:pPr>
        <w:spacing w:line="480" w:lineRule="auto"/>
        <w:rPr>
          <w:lang w:eastAsia="es-ES"/>
        </w:rPr>
      </w:pPr>
      <w:r>
        <w:rPr>
          <w:lang w:eastAsia="es-ES"/>
        </w:rPr>
        <w:t>La estabilidad política en el departamento del Cesar ha sido históricamente volátil, lo que ha configurado un entorno de inversión con riesgos elevados para los actores económicos. La evolución de la inestabilidad en la región se remonta a las décadas de 1970 y 1980, cuando la combinación de la caída de la economía algodonera y el incremento de los conflictos armados profundizó la crisis económica y social en la región</w:t>
      </w:r>
      <w:r w:rsidR="00991928">
        <w:rPr>
          <w:lang w:eastAsia="es-ES"/>
        </w:rPr>
        <w:t xml:space="preserve">, esto según </w:t>
      </w:r>
      <w:r w:rsidR="00991928">
        <w:rPr>
          <w:noProof/>
          <w:lang w:val="es-ES" w:eastAsia="es-ES"/>
        </w:rPr>
        <w:t>Gutiérrez (2012)</w:t>
      </w:r>
      <w:r>
        <w:rPr>
          <w:lang w:eastAsia="es-ES"/>
        </w:rPr>
        <w:t>. Esta situación de incertidumbre fue aprovechada por diversos actores armados, como las guerrillas del ELN y posteriormente los grupos paramilitares, que transformaron el entorno político y afectaron las condiciones de gobernabilidad.</w:t>
      </w:r>
    </w:p>
    <w:p w14:paraId="4067E6C8" w14:textId="6C36EF22" w:rsidR="00C30A7E" w:rsidRDefault="00C30A7E" w:rsidP="0015136C">
      <w:pPr>
        <w:spacing w:line="480" w:lineRule="auto"/>
        <w:rPr>
          <w:lang w:eastAsia="es-ES"/>
        </w:rPr>
      </w:pPr>
      <w:r>
        <w:rPr>
          <w:lang w:eastAsia="es-ES"/>
        </w:rPr>
        <w:t xml:space="preserve">Durante este período, la región experimentó un ciclo de violencia, desplazamientos y apropiación de tierras, que desestabilizó aún más el entorno político y redujo la capacidad del </w:t>
      </w:r>
      <w:r>
        <w:rPr>
          <w:lang w:eastAsia="es-ES"/>
        </w:rPr>
        <w:lastRenderedPageBreak/>
        <w:t>Estado para intervenir de manera efectiva. La entrada de grupos como el Frente Camilo Torres y, más tarde, la consolidación de las AUC lideradas por alias "Jorge 40" y "El Mono Mancuso" establecieron un control territorial paralelo, alterando las dinámicas de poder y generando un clima de desconfianza entre la población y los potenciales inversores</w:t>
      </w:r>
      <w:r w:rsidR="00991928">
        <w:rPr>
          <w:lang w:eastAsia="es-ES"/>
        </w:rPr>
        <w:t xml:space="preserve"> </w:t>
      </w:r>
      <w:r w:rsidR="00991928">
        <w:rPr>
          <w:noProof/>
          <w:lang w:val="es-ES" w:eastAsia="es-ES"/>
        </w:rPr>
        <w:t>Gutiérrez (2012).</w:t>
      </w:r>
    </w:p>
    <w:p w14:paraId="6D0D4D16" w14:textId="77777777" w:rsidR="00C30A7E" w:rsidRPr="00C30A7E" w:rsidRDefault="00C30A7E" w:rsidP="0015136C">
      <w:pPr>
        <w:spacing w:line="480" w:lineRule="auto"/>
        <w:rPr>
          <w:b/>
          <w:lang w:eastAsia="es-ES"/>
        </w:rPr>
      </w:pPr>
      <w:r w:rsidRPr="00C30A7E">
        <w:rPr>
          <w:b/>
          <w:lang w:eastAsia="es-ES"/>
        </w:rPr>
        <w:t>Contexto Histórico:</w:t>
      </w:r>
    </w:p>
    <w:p w14:paraId="3E16F1FB" w14:textId="544B7AB1" w:rsidR="00C30A7E" w:rsidRDefault="00C30A7E" w:rsidP="0015136C">
      <w:pPr>
        <w:spacing w:line="480" w:lineRule="auto"/>
        <w:rPr>
          <w:lang w:eastAsia="es-ES"/>
        </w:rPr>
      </w:pPr>
      <w:r>
        <w:rPr>
          <w:lang w:eastAsia="es-ES"/>
        </w:rPr>
        <w:t xml:space="preserve">El análisis de la estabilidad política en el Cesar también abarca el periodo de movilizaciones sociales y cívicas que se presentaron como respuesta a la crisis económica. Ejemplos como las movilizaciones campesinas de la ANUC y el Paro Cívico del Nororiente de 1987 ilustran la profundidad del malestar social y la falta de un entorno institucional estable, estos eventos no solo reflejan la polarización de la región, sino que también contribuyeron a la fragmentación del control estatal y aumentaron el riesgo político percibido por las empresas interesadas en invertir en la zona </w:t>
      </w:r>
      <w:r w:rsidR="00991928">
        <w:rPr>
          <w:noProof/>
          <w:lang w:val="es-ES" w:eastAsia="es-ES"/>
        </w:rPr>
        <w:t>Gutiérrez (2012</w:t>
      </w:r>
      <w:r w:rsidR="00F73BF2">
        <w:rPr>
          <w:noProof/>
          <w:lang w:val="es-ES" w:eastAsia="es-ES"/>
        </w:rPr>
        <w:t>).</w:t>
      </w:r>
    </w:p>
    <w:p w14:paraId="114E1170" w14:textId="77777777" w:rsidR="00C30A7E" w:rsidRPr="00C30A7E" w:rsidRDefault="00C30A7E" w:rsidP="0015136C">
      <w:pPr>
        <w:spacing w:line="480" w:lineRule="auto"/>
        <w:rPr>
          <w:b/>
          <w:lang w:eastAsia="es-ES"/>
        </w:rPr>
      </w:pPr>
      <w:r w:rsidRPr="00C30A7E">
        <w:rPr>
          <w:b/>
          <w:lang w:eastAsia="es-ES"/>
        </w:rPr>
        <w:t>Impacto en el Entorno de Inversión:</w:t>
      </w:r>
    </w:p>
    <w:p w14:paraId="3EC42E04" w14:textId="3B3CA1E5" w:rsidR="00C30A7E" w:rsidRDefault="00C30A7E" w:rsidP="0015136C">
      <w:pPr>
        <w:spacing w:line="480" w:lineRule="auto"/>
        <w:rPr>
          <w:lang w:eastAsia="es-ES"/>
        </w:rPr>
      </w:pPr>
      <w:r>
        <w:rPr>
          <w:lang w:eastAsia="es-ES"/>
        </w:rPr>
        <w:t>La presencia de actores armados y la falta de control estatal durante gran parte de las décadas de 1990 y 2000 configuraron un entorno adverso para el desarrollo económico y la atracción de inversiones. La violencia generalizada y el desplazamiento forzado de comunidades enteras resultaron en la pérdida de tierras productivas y la interrupción de las cadenas de suministro. Esta situación afectó severamente a sectores clave como la agricultura y la minería, que fueron el blanco de estos grupos, incrementando la percepción de riesgo entre los inversionistas locales e internacionales.</w:t>
      </w:r>
    </w:p>
    <w:p w14:paraId="07261404" w14:textId="2FACF607" w:rsidR="00C30A7E" w:rsidRDefault="00C30A7E" w:rsidP="0015136C">
      <w:pPr>
        <w:spacing w:line="480" w:lineRule="auto"/>
        <w:rPr>
          <w:lang w:eastAsia="es-ES"/>
        </w:rPr>
      </w:pPr>
      <w:r>
        <w:rPr>
          <w:lang w:eastAsia="es-ES"/>
        </w:rPr>
        <w:t>A pesar de la desmovilización param</w:t>
      </w:r>
      <w:r w:rsidR="005A253C">
        <w:rPr>
          <w:lang w:eastAsia="es-ES"/>
        </w:rPr>
        <w:t>ilitar (2005-2006),</w:t>
      </w:r>
      <w:r w:rsidR="00F73BF2">
        <w:rPr>
          <w:lang w:eastAsia="es-ES"/>
        </w:rPr>
        <w:t xml:space="preserve"> </w:t>
      </w:r>
      <w:r w:rsidR="00F73BF2">
        <w:rPr>
          <w:noProof/>
          <w:lang w:val="es-ES" w:eastAsia="es-ES"/>
        </w:rPr>
        <w:t xml:space="preserve">Gutiérrez (2012) </w:t>
      </w:r>
      <w:r>
        <w:rPr>
          <w:lang w:eastAsia="es-ES"/>
        </w:rPr>
        <w:t xml:space="preserve">destaca que la estabilidad política en el Cesar sigue siendo frágil. Aún persisten desafíos significativos, como la </w:t>
      </w:r>
      <w:r>
        <w:rPr>
          <w:lang w:eastAsia="es-ES"/>
        </w:rPr>
        <w:lastRenderedPageBreak/>
        <w:t>reaparición de actores armados y la debilidad institucional, lo que limita el potencial de crecimiento económico y el desarrollo de nuevas inversiones en la región.</w:t>
      </w:r>
    </w:p>
    <w:p w14:paraId="0F1EDED1" w14:textId="42B3C145" w:rsidR="00C30A7E" w:rsidRPr="00C30A7E" w:rsidRDefault="00C30A7E" w:rsidP="0015136C">
      <w:pPr>
        <w:spacing w:line="480" w:lineRule="auto"/>
        <w:rPr>
          <w:b/>
          <w:lang w:eastAsia="es-ES"/>
        </w:rPr>
      </w:pPr>
      <w:r w:rsidRPr="00C30A7E">
        <w:rPr>
          <w:b/>
          <w:lang w:eastAsia="es-ES"/>
        </w:rPr>
        <w:t>Calificación Global: 3.5/5</w:t>
      </w:r>
    </w:p>
    <w:p w14:paraId="7D0FC908" w14:textId="19673327" w:rsidR="00C30A7E" w:rsidRDefault="005A253C" w:rsidP="00F73BF2">
      <w:pPr>
        <w:spacing w:line="480" w:lineRule="auto"/>
        <w:rPr>
          <w:lang w:eastAsia="es-ES"/>
        </w:rPr>
      </w:pPr>
      <w:r>
        <w:rPr>
          <w:lang w:eastAsia="es-ES"/>
        </w:rPr>
        <w:t>L</w:t>
      </w:r>
      <w:r w:rsidR="00C30A7E">
        <w:rPr>
          <w:lang w:eastAsia="es-ES"/>
        </w:rPr>
        <w:t xml:space="preserve">a estabilidad política en el Cesar presenta un enfoque exhaustivo y coherente, que abarca la evolución histórica de la inestabilidad y sus efectos sobre el entorno económico. Se identifican claramente los principales factores de riesgo y su influencia en la capacidad de la región para atraer y retener inversiones. Sin embargo, la calificación se ve afectada por la falta de ejemplos específicos sobre estrategias de mitigación implementadas por el gobierno local o casos exitosos de inversión que hayan enfrentado estos desafíos de manera efectiva. </w:t>
      </w:r>
    </w:p>
    <w:p w14:paraId="5F2CF6E3" w14:textId="18BDBDC2" w:rsidR="00004267" w:rsidRPr="00F73BF2" w:rsidRDefault="00970AAA" w:rsidP="00F73BF2">
      <w:pPr>
        <w:pStyle w:val="Prrafodelista"/>
        <w:numPr>
          <w:ilvl w:val="0"/>
          <w:numId w:val="21"/>
        </w:numPr>
        <w:spacing w:line="480" w:lineRule="auto"/>
        <w:rPr>
          <w:rFonts w:ascii="Times New Roman" w:hAnsi="Times New Roman"/>
          <w:b/>
          <w:iCs/>
        </w:rPr>
      </w:pPr>
      <w:r w:rsidRPr="00F73BF2">
        <w:rPr>
          <w:rFonts w:ascii="Times New Roman" w:hAnsi="Times New Roman"/>
          <w:b/>
          <w:iCs/>
        </w:rPr>
        <w:t>Facilidad para Invertir: Clasificación de la facilidad para hacer negocios y atraer inversiones.</w:t>
      </w:r>
    </w:p>
    <w:p w14:paraId="08671675" w14:textId="1839C12B" w:rsidR="00C0117A" w:rsidRDefault="00C0117A" w:rsidP="0015136C">
      <w:pPr>
        <w:spacing w:line="480" w:lineRule="auto"/>
        <w:rPr>
          <w:lang w:eastAsia="es-ES"/>
        </w:rPr>
      </w:pPr>
      <w:r>
        <w:rPr>
          <w:lang w:eastAsia="es-ES"/>
        </w:rPr>
        <w:t>La facilidad para invertir en el departamento del Cesar está influenciada por un conjunto de factores que determinan su competitividad y capacidad para atraer capital tanto nacional como extranjero. Los índices de competitividad, las características del entorno económico y la infraestructura disponible se combinan para crear un escenario de oportunidades y desafíos para los inversionistas interesados en la región. Si bien algunos sectores muestran un potencial significativo, el entorno regulatorio y las limitaciones estructurales dificultan una evaluación uniforme de la facilidad de inversión en el departamento.</w:t>
      </w:r>
    </w:p>
    <w:p w14:paraId="75D54A03" w14:textId="77777777" w:rsidR="00C0117A" w:rsidRPr="00F73BF2" w:rsidRDefault="00C0117A" w:rsidP="0015136C">
      <w:pPr>
        <w:spacing w:line="480" w:lineRule="auto"/>
        <w:rPr>
          <w:b/>
          <w:iCs/>
          <w:lang w:eastAsia="es-ES"/>
        </w:rPr>
      </w:pPr>
      <w:r w:rsidRPr="00F73BF2">
        <w:rPr>
          <w:b/>
          <w:iCs/>
          <w:lang w:eastAsia="es-ES"/>
        </w:rPr>
        <w:t>Índice Departamental de Competitividad y de Internacionalización</w:t>
      </w:r>
    </w:p>
    <w:p w14:paraId="1E2EE68D" w14:textId="7DC84C26" w:rsidR="00C0117A" w:rsidRDefault="00C0117A" w:rsidP="0015136C">
      <w:pPr>
        <w:spacing w:line="480" w:lineRule="auto"/>
        <w:rPr>
          <w:lang w:eastAsia="es-ES"/>
        </w:rPr>
      </w:pPr>
      <w:r>
        <w:rPr>
          <w:lang w:eastAsia="es-ES"/>
        </w:rPr>
        <w:t xml:space="preserve">El Índice Departamental de Competitividad del Cesar en 2024 registró un puntaje de 4.6/10, una leve mejora de 0.1 puntos frente al año anterior, reflejando un entorno de competitividad aún en desarrollo comparado con otros departamentos del país, en contraste, el Índice Departamental </w:t>
      </w:r>
      <w:r>
        <w:rPr>
          <w:lang w:eastAsia="es-ES"/>
        </w:rPr>
        <w:lastRenderedPageBreak/>
        <w:t>de Internacionalización para 2023 fue de apenas 1.8/10, con una variación negativa de 0.1 puntos</w:t>
      </w:r>
      <w:r w:rsidR="00F73BF2">
        <w:rPr>
          <w:lang w:eastAsia="es-ES"/>
        </w:rPr>
        <w:t>,</w:t>
      </w:r>
      <w:r>
        <w:rPr>
          <w:lang w:eastAsia="es-ES"/>
        </w:rPr>
        <w:t xml:space="preserve"> </w:t>
      </w:r>
      <w:r w:rsidR="00F73BF2">
        <w:rPr>
          <w:noProof/>
          <w:lang w:val="es-ES" w:eastAsia="es-ES"/>
        </w:rPr>
        <w:t>MinComercio (2024)</w:t>
      </w:r>
      <w:r>
        <w:rPr>
          <w:lang w:eastAsia="es-ES"/>
        </w:rPr>
        <w:t>. Este desempeño sugiere una baja capacidad de atracción para la inversión extranjera y una limitada integración con mercados internacionales, factores que reducen la competitividad del Cesar a nivel global y restringen su potencial como destino atractivo para grandes proyectos de inversión.</w:t>
      </w:r>
    </w:p>
    <w:p w14:paraId="084F80E6" w14:textId="77777777" w:rsidR="00C0117A" w:rsidRPr="00F73BF2" w:rsidRDefault="00C0117A" w:rsidP="0015136C">
      <w:pPr>
        <w:spacing w:line="480" w:lineRule="auto"/>
        <w:rPr>
          <w:b/>
          <w:iCs/>
          <w:lang w:eastAsia="es-ES"/>
        </w:rPr>
      </w:pPr>
      <w:r w:rsidRPr="00F73BF2">
        <w:rPr>
          <w:b/>
          <w:iCs/>
          <w:lang w:eastAsia="es-ES"/>
        </w:rPr>
        <w:t>Entorno Económico y Potencial Productivo</w:t>
      </w:r>
    </w:p>
    <w:p w14:paraId="336CE45B" w14:textId="5D276BEB" w:rsidR="00C0117A" w:rsidRDefault="00C0117A" w:rsidP="0015136C">
      <w:pPr>
        <w:spacing w:line="480" w:lineRule="auto"/>
        <w:rPr>
          <w:lang w:eastAsia="es-ES"/>
        </w:rPr>
      </w:pPr>
      <w:r>
        <w:rPr>
          <w:lang w:eastAsia="es-ES"/>
        </w:rPr>
        <w:t>El Cesar destaca como un polo de desarrollo agropecuario y minero en la región Caribe, respaldado por su posición estratégica y sus recursos naturales. La producción de carbón, en la cual el departamento lidera a nivel nacional con 47.306 mil toneladas anuales, y la expansión de biocombustibles con 60.000 toneladas de biodiesel al año son sectores clave que atraen capital. Sin embargo, la dependencia de la minería y la escasa diversificación productiva hacen que el Cesar sea vulnerable a fluctuaciones en los precios internacionales de commodities</w:t>
      </w:r>
      <w:r w:rsidR="00F73BF2">
        <w:rPr>
          <w:lang w:eastAsia="es-ES"/>
        </w:rPr>
        <w:t xml:space="preserve">, esto según </w:t>
      </w:r>
      <w:r w:rsidR="00F73BF2">
        <w:rPr>
          <w:noProof/>
          <w:lang w:val="es-ES" w:eastAsia="es-ES"/>
        </w:rPr>
        <w:t>MinComercio (2024).</w:t>
      </w:r>
    </w:p>
    <w:p w14:paraId="40ECF18A" w14:textId="00BBBF9F" w:rsidR="00C0117A" w:rsidRDefault="00C0117A" w:rsidP="0015136C">
      <w:pPr>
        <w:spacing w:line="480" w:lineRule="auto"/>
        <w:rPr>
          <w:lang w:eastAsia="es-ES"/>
        </w:rPr>
      </w:pPr>
      <w:r>
        <w:rPr>
          <w:lang w:eastAsia="es-ES"/>
        </w:rPr>
        <w:t xml:space="preserve">En el ámbito agroindustrial, el Cesar tiene un fuerte potencial para el desarrollo de cadenas de valor en cacao, lácteos y maíz, con producciones destacadas que contribuyen significativamente a la economía local. La producción de leche, por ejemplo, alcanza los 600.000 litros al año, y el departamento es el segundo mayor productor de cacao de la región Caribe, con 2.349 toneladas anuales </w:t>
      </w:r>
      <w:r w:rsidR="00F73BF2">
        <w:rPr>
          <w:noProof/>
          <w:lang w:val="es-ES" w:eastAsia="es-ES"/>
        </w:rPr>
        <w:t>MinComercio (2024)</w:t>
      </w:r>
      <w:r>
        <w:rPr>
          <w:lang w:eastAsia="es-ES"/>
        </w:rPr>
        <w:t>. No obstante, la falta de infraestructura adecuada y la limitada capacidad de transformación industrial restringen la posibilidad de agregar valor y atraer inversión hacia proyectos de agroindustria avanzada.</w:t>
      </w:r>
    </w:p>
    <w:p w14:paraId="3DB2EA2A" w14:textId="13CE17F7" w:rsidR="00F73BF2" w:rsidRDefault="00F73BF2" w:rsidP="0015136C">
      <w:pPr>
        <w:spacing w:line="480" w:lineRule="auto"/>
        <w:rPr>
          <w:lang w:eastAsia="es-ES"/>
        </w:rPr>
      </w:pPr>
    </w:p>
    <w:p w14:paraId="647A2157" w14:textId="77777777" w:rsidR="00F73BF2" w:rsidRDefault="00F73BF2" w:rsidP="0015136C">
      <w:pPr>
        <w:spacing w:line="480" w:lineRule="auto"/>
        <w:rPr>
          <w:lang w:eastAsia="es-ES"/>
        </w:rPr>
      </w:pPr>
    </w:p>
    <w:p w14:paraId="5CFB1C2A" w14:textId="7607EC42" w:rsidR="00C0117A" w:rsidRPr="00F73BF2" w:rsidRDefault="00C0117A" w:rsidP="0015136C">
      <w:pPr>
        <w:spacing w:line="480" w:lineRule="auto"/>
        <w:rPr>
          <w:b/>
          <w:iCs/>
          <w:lang w:eastAsia="es-ES"/>
        </w:rPr>
      </w:pPr>
      <w:r w:rsidRPr="00F73BF2">
        <w:rPr>
          <w:b/>
          <w:iCs/>
          <w:lang w:eastAsia="es-ES"/>
        </w:rPr>
        <w:lastRenderedPageBreak/>
        <w:t>Posición Competitiva y Barreras para Invertir</w:t>
      </w:r>
    </w:p>
    <w:p w14:paraId="287459B7" w14:textId="271DBB10" w:rsidR="00C0117A" w:rsidRDefault="00C0117A" w:rsidP="0015136C">
      <w:pPr>
        <w:spacing w:line="480" w:lineRule="auto"/>
        <w:rPr>
          <w:lang w:eastAsia="es-ES"/>
        </w:rPr>
      </w:pPr>
      <w:r>
        <w:rPr>
          <w:lang w:eastAsia="es-ES"/>
        </w:rPr>
        <w:t>En términos de facilidad para hacer negocios, el departamento se ubica en la posición 8 de 23 en el ranking nacional, pero se encuentra entre las últimas posiciones en la facilidad para abrir nuevas empresas, ocupando el lugar 21 de 23</w:t>
      </w:r>
      <w:r w:rsidR="00F73BF2">
        <w:rPr>
          <w:lang w:eastAsia="es-ES"/>
        </w:rPr>
        <w:t>,</w:t>
      </w:r>
      <w:r>
        <w:rPr>
          <w:lang w:eastAsia="es-ES"/>
        </w:rPr>
        <w:t xml:space="preserve"> </w:t>
      </w:r>
      <w:r w:rsidR="00F73BF2">
        <w:rPr>
          <w:noProof/>
          <w:lang w:val="es-ES" w:eastAsia="es-ES"/>
        </w:rPr>
        <w:t>MinComercio (2024)</w:t>
      </w:r>
      <w:r>
        <w:rPr>
          <w:lang w:eastAsia="es-ES"/>
        </w:rPr>
        <w:t>. Esto indica que, si bien existen oportunidades para empresas ya establecidas, los altos costos de entrada y la burocracia administrativa son barreras significativas para nuevas iniciativas empresariales. La baja calificación en estos indicadores podría desincentivar a los inversionistas que buscan un entorno más dinámico y favorable para el emprendimiento.</w:t>
      </w:r>
    </w:p>
    <w:p w14:paraId="01503FEF" w14:textId="77777777" w:rsidR="00C0117A" w:rsidRPr="00C0117A" w:rsidRDefault="00C0117A" w:rsidP="0015136C">
      <w:pPr>
        <w:spacing w:line="480" w:lineRule="auto"/>
        <w:rPr>
          <w:b/>
          <w:lang w:eastAsia="es-ES"/>
        </w:rPr>
      </w:pPr>
      <w:r w:rsidRPr="00C0117A">
        <w:rPr>
          <w:b/>
          <w:lang w:eastAsia="es-ES"/>
        </w:rPr>
        <w:t>Perspectivas y Áreas de Oportunidad</w:t>
      </w:r>
    </w:p>
    <w:p w14:paraId="7EB16067" w14:textId="3156C6A9" w:rsidR="00C0117A" w:rsidRDefault="00C0117A" w:rsidP="0015136C">
      <w:pPr>
        <w:spacing w:line="480" w:lineRule="auto"/>
        <w:rPr>
          <w:lang w:eastAsia="es-ES"/>
        </w:rPr>
      </w:pPr>
      <w:r>
        <w:rPr>
          <w:lang w:eastAsia="es-ES"/>
        </w:rPr>
        <w:t>A pesar de las limitaciones, la región presenta áreas de oportunidad claras en sectores emergentes como la reforestación, con 760 mil hectáreas aptas para el desarrollo forestal sostenible, y en tecnología ganadera, con la implementación del Centro de Desarrollo Tecnológico de la Ganadería</w:t>
      </w:r>
      <w:r w:rsidR="00F73BF2">
        <w:rPr>
          <w:lang w:eastAsia="es-ES"/>
        </w:rPr>
        <w:t xml:space="preserve"> esto según </w:t>
      </w:r>
      <w:r w:rsidR="00F73BF2">
        <w:rPr>
          <w:noProof/>
          <w:lang w:val="es-ES" w:eastAsia="es-ES"/>
        </w:rPr>
        <w:t>MinComercio (2024)</w:t>
      </w:r>
      <w:r>
        <w:rPr>
          <w:lang w:eastAsia="es-ES"/>
        </w:rPr>
        <w:t>. Estas iniciativas pueden mejorar la oferta de valor del departamento si se logran atraer proyectos que complementen el entorno agroindustrial y se implementan políticas de incentivo que reduzcan la carga administrativa para los inversionistas.</w:t>
      </w:r>
    </w:p>
    <w:p w14:paraId="3A877EEE" w14:textId="041D36C2" w:rsidR="00C0117A" w:rsidRPr="00C0117A" w:rsidRDefault="00C0117A" w:rsidP="0015136C">
      <w:pPr>
        <w:spacing w:line="480" w:lineRule="auto"/>
        <w:rPr>
          <w:b/>
          <w:lang w:eastAsia="es-ES"/>
        </w:rPr>
      </w:pPr>
      <w:r w:rsidRPr="00C0117A">
        <w:rPr>
          <w:b/>
          <w:lang w:eastAsia="es-ES"/>
        </w:rPr>
        <w:t>Calificación Global: 3/5</w:t>
      </w:r>
    </w:p>
    <w:p w14:paraId="5B0847B1" w14:textId="69100FFE" w:rsidR="00004267" w:rsidRDefault="00C0117A" w:rsidP="00F73BF2">
      <w:pPr>
        <w:spacing w:line="480" w:lineRule="auto"/>
        <w:rPr>
          <w:lang w:eastAsia="es-ES"/>
        </w:rPr>
      </w:pPr>
      <w:r>
        <w:rPr>
          <w:lang w:eastAsia="es-ES"/>
        </w:rPr>
        <w:t xml:space="preserve">El Cesar presenta un entorno moderadamente atractivo para la inversión debido a su gran riqueza en recursos naturales y su ubicación estratégica. Sin embargo, las bajas puntuaciones en los índices de competitividad e internacionalización, junto con la falta de diversificación económica y barreras administrativas, limitan su capacidad para atraer un flujo constante de inversión. La calificación se ve fortalecida por la existencia de sectores con alto potencial, como la </w:t>
      </w:r>
      <w:r>
        <w:rPr>
          <w:lang w:eastAsia="es-ES"/>
        </w:rPr>
        <w:lastRenderedPageBreak/>
        <w:t xml:space="preserve">agroindustria y los biocombustibles, pero se ve afectada negativamente por la rigidez en la apertura de empresas y la falta de infraestructura moderna. </w:t>
      </w:r>
    </w:p>
    <w:p w14:paraId="184BA8AB" w14:textId="5C89D9EF" w:rsidR="00266BCB" w:rsidRPr="00F73BF2" w:rsidRDefault="00CA4797" w:rsidP="00F73BF2">
      <w:pPr>
        <w:pStyle w:val="Ttulo4"/>
        <w:spacing w:line="480" w:lineRule="auto"/>
        <w:rPr>
          <w:lang w:eastAsia="es-ES"/>
        </w:rPr>
      </w:pPr>
      <w:r w:rsidRPr="00CA4797">
        <w:rPr>
          <w:lang w:eastAsia="es-ES"/>
        </w:rPr>
        <w:t>Entorno Tecnológico</w:t>
      </w:r>
    </w:p>
    <w:p w14:paraId="299268C9" w14:textId="6014BC4B" w:rsidR="00266BCB" w:rsidRPr="00F73BF2" w:rsidRDefault="00C45E29" w:rsidP="00F73BF2">
      <w:pPr>
        <w:pStyle w:val="Prrafodelista"/>
        <w:numPr>
          <w:ilvl w:val="0"/>
          <w:numId w:val="21"/>
        </w:numPr>
        <w:spacing w:line="480" w:lineRule="auto"/>
        <w:rPr>
          <w:rFonts w:ascii="Times New Roman" w:hAnsi="Times New Roman"/>
          <w:b/>
          <w:iCs/>
        </w:rPr>
      </w:pPr>
      <w:r w:rsidRPr="00F73BF2">
        <w:rPr>
          <w:rFonts w:ascii="Times New Roman" w:hAnsi="Times New Roman"/>
          <w:b/>
          <w:iCs/>
        </w:rPr>
        <w:t>Acceso a Tecnología: Disponibilidad de tecnologías avanzadas y de información en la región.</w:t>
      </w:r>
    </w:p>
    <w:p w14:paraId="3515F013" w14:textId="0C67A235" w:rsidR="00C45E29" w:rsidRDefault="00C45E29" w:rsidP="0015136C">
      <w:pPr>
        <w:spacing w:line="480" w:lineRule="auto"/>
        <w:rPr>
          <w:lang w:eastAsia="es-ES"/>
        </w:rPr>
      </w:pPr>
      <w:r>
        <w:rPr>
          <w:lang w:eastAsia="es-ES"/>
        </w:rPr>
        <w:t>El acceso a tecnología en el departamento del Cesar es un componente crucial que influye en la competitividad y el desarrollo socioeconómico. La disponibilidad de tecnologías avanzadas y la infraestructura digital impactan directamente la capacidad de las empresas y los individuos para acceder a información y recursos que faciliten el crecimiento y la innovación.</w:t>
      </w:r>
    </w:p>
    <w:p w14:paraId="33CC6F0B" w14:textId="102EA4F2" w:rsidR="00C45E29" w:rsidRPr="00F73BF2" w:rsidRDefault="00C45E29" w:rsidP="0015136C">
      <w:pPr>
        <w:spacing w:line="480" w:lineRule="auto"/>
        <w:rPr>
          <w:b/>
          <w:iCs/>
          <w:lang w:eastAsia="es-ES"/>
        </w:rPr>
      </w:pPr>
      <w:r w:rsidRPr="00F73BF2">
        <w:rPr>
          <w:b/>
          <w:iCs/>
          <w:lang w:eastAsia="es-ES"/>
        </w:rPr>
        <w:t>Disponibilidad de Tecnologías Avanzadas</w:t>
      </w:r>
    </w:p>
    <w:p w14:paraId="44CCC2CD" w14:textId="405DF83D" w:rsidR="00C45E29" w:rsidRDefault="00C45E29" w:rsidP="0015136C">
      <w:pPr>
        <w:spacing w:line="480" w:lineRule="auto"/>
        <w:rPr>
          <w:lang w:eastAsia="es-ES"/>
        </w:rPr>
      </w:pPr>
      <w:r>
        <w:rPr>
          <w:lang w:eastAsia="es-ES"/>
        </w:rPr>
        <w:t>La disponibilidad de tecnologías avanzadas en la región se refleja en un acceso considerable a las tecnologías de la información y la comunicación (TIC). Aproximadamente el 87% de los hogares en el Cesar cuentan con algún tipo de tecnología, lo que sugiere un buen nivel de acceso, especialmente en áreas urbanas</w:t>
      </w:r>
      <w:r w:rsidR="00C51EED">
        <w:rPr>
          <w:lang w:eastAsia="es-ES"/>
        </w:rPr>
        <w:t xml:space="preserve"> </w:t>
      </w:r>
      <w:r w:rsidR="00F73BF2" w:rsidRPr="00AD25E0">
        <w:rPr>
          <w:noProof/>
          <w:lang w:val="es-ES" w:eastAsia="es-ES"/>
        </w:rPr>
        <w:t>DANE</w:t>
      </w:r>
      <w:r w:rsidR="00F73BF2">
        <w:rPr>
          <w:noProof/>
          <w:lang w:val="es-ES" w:eastAsia="es-ES"/>
        </w:rPr>
        <w:t xml:space="preserve"> (</w:t>
      </w:r>
      <w:r w:rsidR="00F73BF2" w:rsidRPr="00AD25E0">
        <w:rPr>
          <w:noProof/>
          <w:lang w:val="es-ES" w:eastAsia="es-ES"/>
        </w:rPr>
        <w:t>2024)</w:t>
      </w:r>
      <w:r>
        <w:rPr>
          <w:lang w:eastAsia="es-ES"/>
        </w:rPr>
        <w:t>. Sin embargo, persisten desafíos en la conectividad de zonas rurales, donde el acceso a internet y dispositivos tecnológicos puede ser limitado.</w:t>
      </w:r>
    </w:p>
    <w:p w14:paraId="5F1B904B" w14:textId="77777777" w:rsidR="00C45E29" w:rsidRPr="00F73BF2" w:rsidRDefault="00C45E29" w:rsidP="0015136C">
      <w:pPr>
        <w:spacing w:line="480" w:lineRule="auto"/>
        <w:rPr>
          <w:b/>
          <w:iCs/>
          <w:lang w:eastAsia="es-ES"/>
        </w:rPr>
      </w:pPr>
      <w:r w:rsidRPr="00F73BF2">
        <w:rPr>
          <w:b/>
          <w:iCs/>
          <w:lang w:eastAsia="es-ES"/>
        </w:rPr>
        <w:t>Índices de Conectividad y Uso de Dispositivos</w:t>
      </w:r>
    </w:p>
    <w:p w14:paraId="7FAF6050" w14:textId="71DBD552" w:rsidR="00C45E29" w:rsidRDefault="00C45E29" w:rsidP="0015136C">
      <w:pPr>
        <w:spacing w:line="480" w:lineRule="auto"/>
        <w:rPr>
          <w:lang w:eastAsia="es-ES"/>
        </w:rPr>
      </w:pPr>
      <w:r>
        <w:rPr>
          <w:lang w:eastAsia="es-ES"/>
        </w:rPr>
        <w:t xml:space="preserve">Los datos indican que el 49.9% de los hogares poseen computadoras, y el 40.8% </w:t>
      </w:r>
      <w:r w:rsidR="00C51EED">
        <w:rPr>
          <w:lang w:eastAsia="es-ES"/>
        </w:rPr>
        <w:t>cuenta con tabletas o laptops, a</w:t>
      </w:r>
      <w:r>
        <w:rPr>
          <w:lang w:eastAsia="es-ES"/>
        </w:rPr>
        <w:t>unque estos porcentajes son alentadores, la calidad de la conexión a internet y la capacitación en el uso de tecnología siguen siendo áreas críticas que requieren atención</w:t>
      </w:r>
      <w:r w:rsidR="00C51EED">
        <w:rPr>
          <w:lang w:eastAsia="es-ES"/>
        </w:rPr>
        <w:t xml:space="preserve"> </w:t>
      </w:r>
      <w:r w:rsidR="00F73BF2" w:rsidRPr="00AD25E0">
        <w:rPr>
          <w:noProof/>
          <w:lang w:val="es-ES" w:eastAsia="es-ES"/>
        </w:rPr>
        <w:t>DANE</w:t>
      </w:r>
      <w:r w:rsidR="00F73BF2">
        <w:rPr>
          <w:noProof/>
          <w:lang w:val="es-ES" w:eastAsia="es-ES"/>
        </w:rPr>
        <w:t xml:space="preserve"> (</w:t>
      </w:r>
      <w:r w:rsidR="00F73BF2" w:rsidRPr="00AD25E0">
        <w:rPr>
          <w:noProof/>
          <w:lang w:val="es-ES" w:eastAsia="es-ES"/>
        </w:rPr>
        <w:t>2024)</w:t>
      </w:r>
      <w:r w:rsidR="00F73BF2">
        <w:rPr>
          <w:noProof/>
          <w:lang w:val="es-ES" w:eastAsia="es-ES"/>
        </w:rPr>
        <w:t>.</w:t>
      </w:r>
      <w:r>
        <w:rPr>
          <w:lang w:eastAsia="es-ES"/>
        </w:rPr>
        <w:t xml:space="preserve"> La escasa cobertura y las limitaciones de velocidad de internet en algunas áreas pueden obstaculizar el desarrollo del potencial tecnológico de la región.</w:t>
      </w:r>
    </w:p>
    <w:p w14:paraId="00432E5F" w14:textId="77777777" w:rsidR="00C45E29" w:rsidRPr="00F73BF2" w:rsidRDefault="00C45E29" w:rsidP="0015136C">
      <w:pPr>
        <w:spacing w:line="480" w:lineRule="auto"/>
        <w:rPr>
          <w:b/>
          <w:iCs/>
          <w:lang w:eastAsia="es-ES"/>
        </w:rPr>
      </w:pPr>
      <w:r w:rsidRPr="00F73BF2">
        <w:rPr>
          <w:b/>
          <w:iCs/>
          <w:lang w:eastAsia="es-ES"/>
        </w:rPr>
        <w:t>Entorno Competitivo y Oportunidades</w:t>
      </w:r>
    </w:p>
    <w:p w14:paraId="142A8114" w14:textId="6A65739E" w:rsidR="00C45E29" w:rsidRDefault="00C45E29" w:rsidP="0015136C">
      <w:pPr>
        <w:spacing w:line="480" w:lineRule="auto"/>
        <w:rPr>
          <w:lang w:eastAsia="es-ES"/>
        </w:rPr>
      </w:pPr>
      <w:r>
        <w:rPr>
          <w:lang w:eastAsia="es-ES"/>
        </w:rPr>
        <w:lastRenderedPageBreak/>
        <w:t>El Cesar</w:t>
      </w:r>
      <w:r w:rsidR="00C51EED">
        <w:rPr>
          <w:lang w:eastAsia="es-ES"/>
        </w:rPr>
        <w:t>, así como la segunda ciudad del departamento, Aguachica,</w:t>
      </w:r>
      <w:r>
        <w:rPr>
          <w:lang w:eastAsia="es-ES"/>
        </w:rPr>
        <w:t xml:space="preserve"> </w:t>
      </w:r>
      <w:r w:rsidR="00C51EED">
        <w:rPr>
          <w:lang w:eastAsia="es-ES"/>
        </w:rPr>
        <w:t>son</w:t>
      </w:r>
      <w:r>
        <w:rPr>
          <w:lang w:eastAsia="es-ES"/>
        </w:rPr>
        <w:t xml:space="preserve"> conocido</w:t>
      </w:r>
      <w:r w:rsidR="00C51EED">
        <w:rPr>
          <w:lang w:eastAsia="es-ES"/>
        </w:rPr>
        <w:t>s</w:t>
      </w:r>
      <w:r>
        <w:rPr>
          <w:lang w:eastAsia="es-ES"/>
        </w:rPr>
        <w:t xml:space="preserve"> por su riqueza en recursos naturales y su potencial agroindustrial, lo que lo convierte en un lugar atractivo para la inversión. Sin embargo, la falta de infraestructura tecnológica adecuada puede limitar el desarrollo de sectores emergentes y la capacidad de las empresas para adoptar tecnologías avanzadas. Existen oportunidades en áreas como la tecnología ganadera y la agroindustria, donde la integración de nuevas tecnologías podría mejorar la eficiencia y la producción.</w:t>
      </w:r>
    </w:p>
    <w:p w14:paraId="38C2EAC2" w14:textId="60F53D58" w:rsidR="00C45E29" w:rsidRPr="00C51EED" w:rsidRDefault="00C51EED" w:rsidP="0015136C">
      <w:pPr>
        <w:spacing w:line="480" w:lineRule="auto"/>
        <w:rPr>
          <w:b/>
          <w:lang w:eastAsia="es-ES"/>
        </w:rPr>
      </w:pPr>
      <w:r w:rsidRPr="00C51EED">
        <w:rPr>
          <w:b/>
          <w:lang w:eastAsia="es-ES"/>
        </w:rPr>
        <w:t>Calificación Global: 2</w:t>
      </w:r>
      <w:r w:rsidR="00C45E29" w:rsidRPr="00C51EED">
        <w:rPr>
          <w:b/>
          <w:lang w:eastAsia="es-ES"/>
        </w:rPr>
        <w:t>/5</w:t>
      </w:r>
    </w:p>
    <w:p w14:paraId="6830D110" w14:textId="3D81CBC6" w:rsidR="00C45E29" w:rsidRDefault="00C45E29" w:rsidP="0015136C">
      <w:pPr>
        <w:spacing w:line="480" w:lineRule="auto"/>
        <w:rPr>
          <w:lang w:eastAsia="es-ES"/>
        </w:rPr>
      </w:pPr>
      <w:r>
        <w:rPr>
          <w:lang w:eastAsia="es-ES"/>
        </w:rPr>
        <w:t>El acceso a tecnología en el departamento del Cesar es consi</w:t>
      </w:r>
      <w:r w:rsidR="00C51EED">
        <w:rPr>
          <w:lang w:eastAsia="es-ES"/>
        </w:rPr>
        <w:t xml:space="preserve">derablemente bueno, con una </w:t>
      </w:r>
      <w:r>
        <w:rPr>
          <w:lang w:eastAsia="es-ES"/>
        </w:rPr>
        <w:t xml:space="preserve"> disponibilidad de TIC y un potencial significativo en sectores clave como la agroindustria y la minería. Sin embargo, las diferencias en el acceso entre áreas urbanas y rurales, así como la calidad de la conectividad, son factores que aún limitan su pleno desarrollo. La calificación </w:t>
      </w:r>
      <w:r w:rsidR="00C51EED">
        <w:rPr>
          <w:lang w:eastAsia="es-ES"/>
        </w:rPr>
        <w:t>r</w:t>
      </w:r>
      <w:r>
        <w:rPr>
          <w:lang w:eastAsia="es-ES"/>
        </w:rPr>
        <w:t xml:space="preserve">esalta la necesidad de mejorar la infraestructura y fomentar la capacitación tecnológica en todas las comunidades para maximizar el impacto de las oportunidades existentes. </w:t>
      </w:r>
    </w:p>
    <w:p w14:paraId="568BB9C7" w14:textId="77777777" w:rsidR="00DF3584" w:rsidRDefault="00DF3584" w:rsidP="0015136C">
      <w:pPr>
        <w:spacing w:line="480" w:lineRule="auto"/>
        <w:rPr>
          <w:lang w:eastAsia="es-ES"/>
        </w:rPr>
      </w:pPr>
    </w:p>
    <w:p w14:paraId="7371AF5B" w14:textId="5A1FF6CC" w:rsidR="00DF3584" w:rsidRPr="00F73BF2" w:rsidRDefault="00DF3584" w:rsidP="0015136C">
      <w:pPr>
        <w:pStyle w:val="Prrafodelista"/>
        <w:numPr>
          <w:ilvl w:val="0"/>
          <w:numId w:val="21"/>
        </w:numPr>
        <w:spacing w:line="480" w:lineRule="auto"/>
        <w:rPr>
          <w:rFonts w:ascii="Times New Roman" w:hAnsi="Times New Roman"/>
          <w:b/>
          <w:iCs/>
        </w:rPr>
      </w:pPr>
      <w:r w:rsidRPr="00F73BF2">
        <w:rPr>
          <w:rFonts w:ascii="Times New Roman" w:hAnsi="Times New Roman"/>
          <w:b/>
          <w:iCs/>
        </w:rPr>
        <w:t>Inversión en I+D: Grados de inversión en investigación y desarrollo por parte de empresas locales.</w:t>
      </w:r>
    </w:p>
    <w:p w14:paraId="62F42D9D" w14:textId="77777777" w:rsidR="00C45E29" w:rsidRDefault="00C45E29" w:rsidP="0015136C">
      <w:pPr>
        <w:spacing w:line="480" w:lineRule="auto"/>
        <w:rPr>
          <w:rFonts w:cs="Times New Roman"/>
          <w:b/>
          <w:i/>
          <w:lang w:eastAsia="es-ES"/>
        </w:rPr>
      </w:pPr>
    </w:p>
    <w:p w14:paraId="6B25FDCD" w14:textId="52F312FE" w:rsidR="00DF3584" w:rsidRPr="00DF3584" w:rsidRDefault="00DF3584" w:rsidP="0015136C">
      <w:pPr>
        <w:spacing w:line="480" w:lineRule="auto"/>
        <w:rPr>
          <w:rFonts w:cs="Times New Roman"/>
          <w:lang w:eastAsia="es-ES"/>
        </w:rPr>
      </w:pPr>
      <w:r w:rsidRPr="00DF3584">
        <w:rPr>
          <w:rFonts w:cs="Times New Roman"/>
          <w:lang w:eastAsia="es-ES"/>
        </w:rPr>
        <w:t>La inversión en Investigación y Desarrollo (I+D) es un indicador clave para evaluar la capacidad de una región para innovar y desarrollar nuevas tecnologías que mejoren la competitividad de sus sectores productivos</w:t>
      </w:r>
      <w:r w:rsidR="008A28DD">
        <w:rPr>
          <w:rFonts w:cs="Times New Roman"/>
          <w:lang w:eastAsia="es-ES"/>
        </w:rPr>
        <w:t xml:space="preserve"> </w:t>
      </w:r>
      <w:r w:rsidR="00F73BF2" w:rsidRPr="00AD25E0">
        <w:rPr>
          <w:noProof/>
          <w:lang w:val="es-ES" w:eastAsia="es-ES"/>
        </w:rPr>
        <w:t>DANE</w:t>
      </w:r>
      <w:r w:rsidR="00F73BF2">
        <w:rPr>
          <w:noProof/>
          <w:lang w:val="es-ES" w:eastAsia="es-ES"/>
        </w:rPr>
        <w:t xml:space="preserve"> (</w:t>
      </w:r>
      <w:r w:rsidR="00F73BF2" w:rsidRPr="00AD25E0">
        <w:rPr>
          <w:noProof/>
          <w:lang w:val="es-ES" w:eastAsia="es-ES"/>
        </w:rPr>
        <w:t>2024)</w:t>
      </w:r>
      <w:r w:rsidR="00F73BF2">
        <w:rPr>
          <w:noProof/>
          <w:lang w:val="es-ES" w:eastAsia="es-ES"/>
        </w:rPr>
        <w:t xml:space="preserve">, </w:t>
      </w:r>
      <w:r w:rsidR="008A28DD">
        <w:rPr>
          <w:rFonts w:cs="Times New Roman"/>
          <w:lang w:eastAsia="es-ES"/>
        </w:rPr>
        <w:t xml:space="preserve">se toma como referencia el departamento del Cesar porque no hay información para el municipio de Aguachica. </w:t>
      </w:r>
      <w:r w:rsidR="00345D60">
        <w:rPr>
          <w:rFonts w:cs="Times New Roman"/>
          <w:lang w:eastAsia="es-ES"/>
        </w:rPr>
        <w:t>Aquí</w:t>
      </w:r>
      <w:r w:rsidRPr="00DF3584">
        <w:rPr>
          <w:rFonts w:cs="Times New Roman"/>
          <w:lang w:eastAsia="es-ES"/>
        </w:rPr>
        <w:t xml:space="preserve">, este tipo de inversión ha mostrado fluctuaciones significativas a lo largo del tiempo, lo que refleja tanto la </w:t>
      </w:r>
      <w:r w:rsidRPr="00DF3584">
        <w:rPr>
          <w:rFonts w:cs="Times New Roman"/>
          <w:lang w:eastAsia="es-ES"/>
        </w:rPr>
        <w:lastRenderedPageBreak/>
        <w:t>falta de continuidad en las políticas de apoyo a la innovación como la falta de un entorno sólido de apoyo institucional y empresarial. Aunque el promedio de inversión en I+D ha sido bajo en comparación con los estándares nacionales e internacionales, el periodo 2014-2017 se destaca por registrar los niveles más altos de inversión en el departamento.</w:t>
      </w:r>
    </w:p>
    <w:p w14:paraId="6329A74E" w14:textId="77777777" w:rsidR="00DF3584" w:rsidRPr="00F73BF2" w:rsidRDefault="00DF3584" w:rsidP="0015136C">
      <w:pPr>
        <w:spacing w:line="480" w:lineRule="auto"/>
        <w:rPr>
          <w:rFonts w:cs="Times New Roman"/>
          <w:b/>
          <w:iCs/>
          <w:lang w:eastAsia="es-ES"/>
        </w:rPr>
      </w:pPr>
      <w:r w:rsidRPr="00F73BF2">
        <w:rPr>
          <w:rFonts w:cs="Times New Roman"/>
          <w:b/>
          <w:iCs/>
          <w:lang w:eastAsia="es-ES"/>
        </w:rPr>
        <w:t>Evolución de la Inversión en I+D en el Cesar</w:t>
      </w:r>
    </w:p>
    <w:p w14:paraId="50044788" w14:textId="5221B2DE" w:rsidR="00DF3584" w:rsidRPr="00DF3584" w:rsidRDefault="00DF3584" w:rsidP="0015136C">
      <w:pPr>
        <w:spacing w:line="480" w:lineRule="auto"/>
        <w:rPr>
          <w:rFonts w:cs="Times New Roman"/>
          <w:lang w:eastAsia="es-ES"/>
        </w:rPr>
      </w:pPr>
      <w:r w:rsidRPr="00DF3584">
        <w:rPr>
          <w:rFonts w:cs="Times New Roman"/>
          <w:lang w:eastAsia="es-ES"/>
        </w:rPr>
        <w:t>De acuerdo con los datos de MinCiencias a través de TerriData, el nivel de inversión en I+D como porcentaje del PIB en el Cesar ha sido históricamente bajo. A partir del año 2010, con un nivel de apenas 0,004% del PIB, el departamento mostró una tendencia ligeramente positiva durante la primera mitad de la década, alcanzando su punto máximo en 2015 con una inversión del 0,066%</w:t>
      </w:r>
      <w:r w:rsidR="00345D60">
        <w:rPr>
          <w:rFonts w:cs="Times New Roman"/>
          <w:lang w:eastAsia="es-ES"/>
        </w:rPr>
        <w:t xml:space="preserve"> </w:t>
      </w:r>
      <w:sdt>
        <w:sdtPr>
          <w:rPr>
            <w:rFonts w:cs="Times New Roman"/>
            <w:lang w:eastAsia="es-ES"/>
          </w:rPr>
          <w:id w:val="-1901117857"/>
          <w:citation/>
        </w:sdtPr>
        <w:sdtEndPr/>
        <w:sdtContent>
          <w:r w:rsidR="00345D60">
            <w:rPr>
              <w:rFonts w:cs="Times New Roman"/>
              <w:lang w:eastAsia="es-ES"/>
            </w:rPr>
            <w:fldChar w:fldCharType="begin"/>
          </w:r>
          <w:r w:rsidR="00AD25E0">
            <w:rPr>
              <w:rFonts w:cs="Times New Roman"/>
              <w:lang w:val="es-ES" w:eastAsia="es-ES"/>
            </w:rPr>
            <w:instrText xml:space="preserve">CITATION Dan242 \l 3082 </w:instrText>
          </w:r>
          <w:r w:rsidR="00345D60">
            <w:rPr>
              <w:rFonts w:cs="Times New Roman"/>
              <w:lang w:eastAsia="es-ES"/>
            </w:rPr>
            <w:fldChar w:fldCharType="separate"/>
          </w:r>
          <w:r w:rsidR="00901E21" w:rsidRPr="00901E21">
            <w:rPr>
              <w:rFonts w:cs="Times New Roman"/>
              <w:noProof/>
              <w:lang w:val="es-ES" w:eastAsia="es-ES"/>
            </w:rPr>
            <w:t>(DANE, 2024)</w:t>
          </w:r>
          <w:r w:rsidR="00345D60">
            <w:rPr>
              <w:rFonts w:cs="Times New Roman"/>
              <w:lang w:eastAsia="es-ES"/>
            </w:rPr>
            <w:fldChar w:fldCharType="end"/>
          </w:r>
        </w:sdtContent>
      </w:sdt>
      <w:r w:rsidRPr="00DF3584">
        <w:rPr>
          <w:rFonts w:cs="Times New Roman"/>
          <w:lang w:eastAsia="es-ES"/>
        </w:rPr>
        <w:t>. No obstante, esta mejora no se consolidó y desde 2017 se observó una disminución sostenida hasta 2020, con valores tan bajos como el 0,002%. Esta caída sugiere que la capacidad del Cesar para fomentar y mantener actividades de investigación y desarrollo ha sido insuficiente y que la inversión no ha logrado establecerse como un componente permanente del entorno productivo del departamento.</w:t>
      </w:r>
    </w:p>
    <w:p w14:paraId="50ABDFA7" w14:textId="77777777" w:rsidR="00345D60" w:rsidRDefault="00DF3584" w:rsidP="0015136C">
      <w:pPr>
        <w:spacing w:line="480" w:lineRule="auto"/>
        <w:rPr>
          <w:rFonts w:cs="Times New Roman"/>
          <w:b/>
          <w:lang w:eastAsia="es-ES"/>
        </w:rPr>
      </w:pPr>
      <w:r w:rsidRPr="00345D60">
        <w:rPr>
          <w:rFonts w:cs="Times New Roman"/>
          <w:b/>
          <w:lang w:eastAsia="es-ES"/>
        </w:rPr>
        <w:t>Factores Condicionantes y Limitaciones</w:t>
      </w:r>
    </w:p>
    <w:p w14:paraId="7136F0D6" w14:textId="36807851" w:rsidR="00DF3584" w:rsidRPr="00DF3584" w:rsidRDefault="00DF3584" w:rsidP="0015136C">
      <w:pPr>
        <w:spacing w:line="480" w:lineRule="auto"/>
        <w:rPr>
          <w:rFonts w:cs="Times New Roman"/>
          <w:lang w:eastAsia="es-ES"/>
        </w:rPr>
      </w:pPr>
      <w:r w:rsidRPr="00DF3584">
        <w:rPr>
          <w:rFonts w:cs="Times New Roman"/>
          <w:lang w:eastAsia="es-ES"/>
        </w:rPr>
        <w:t>La falta de continuidad en la inversión podría atribuirse a varios factores, como la escasa participación del sector privado en actividades de investigación, la limitada infraestructura tecnológica y científica, y la carencia de incentivos locales para la innovación. La ausencia de un ecosistema que conecte las universidades, las empresas y las políticas públicas para promover la investigación es una de las principales barreras para el desarrollo de un entorno favorable para la innovación.</w:t>
      </w:r>
    </w:p>
    <w:p w14:paraId="2EADAF8F" w14:textId="1D912FC6" w:rsidR="00DF3584" w:rsidRPr="00DF3584" w:rsidRDefault="00DF3584" w:rsidP="0015136C">
      <w:pPr>
        <w:spacing w:line="480" w:lineRule="auto"/>
        <w:rPr>
          <w:rFonts w:cs="Times New Roman"/>
          <w:lang w:eastAsia="es-ES"/>
        </w:rPr>
      </w:pPr>
      <w:r w:rsidRPr="00DF3584">
        <w:rPr>
          <w:rFonts w:cs="Times New Roman"/>
          <w:lang w:eastAsia="es-ES"/>
        </w:rPr>
        <w:lastRenderedPageBreak/>
        <w:t xml:space="preserve">Además, la gran dependencia del Cesar de sectores tradicionales como la minería y la agroindustria </w:t>
      </w:r>
      <w:r w:rsidR="00345D60" w:rsidRPr="00DF3584">
        <w:rPr>
          <w:rFonts w:cs="Times New Roman"/>
          <w:lang w:eastAsia="es-ES"/>
        </w:rPr>
        <w:t>podrían</w:t>
      </w:r>
      <w:r w:rsidRPr="00DF3584">
        <w:rPr>
          <w:rFonts w:cs="Times New Roman"/>
          <w:lang w:eastAsia="es-ES"/>
        </w:rPr>
        <w:t xml:space="preserve"> estar limitando la canalización de recursos hacia proyectos de investigación y desarrollo que potencien la diversificación económica y tecnológica. La baja inversión en I+D implica que el departamento no está aprovechando todo su potencial para desarrollar capacidades endógenas en áreas de alta tecnología, lo que podría ser un obstáculo para su crecimiento a largo plazo.</w:t>
      </w:r>
    </w:p>
    <w:p w14:paraId="5834CB21" w14:textId="77777777" w:rsidR="00DF3584" w:rsidRPr="00F73BF2" w:rsidRDefault="00DF3584" w:rsidP="0015136C">
      <w:pPr>
        <w:spacing w:line="480" w:lineRule="auto"/>
        <w:rPr>
          <w:rFonts w:cs="Times New Roman"/>
          <w:b/>
          <w:iCs/>
          <w:lang w:eastAsia="es-ES"/>
        </w:rPr>
      </w:pPr>
      <w:r w:rsidRPr="00F73BF2">
        <w:rPr>
          <w:rFonts w:cs="Times New Roman"/>
          <w:b/>
          <w:iCs/>
          <w:lang w:eastAsia="es-ES"/>
        </w:rPr>
        <w:t>Perspectivas para el Futuro</w:t>
      </w:r>
    </w:p>
    <w:p w14:paraId="7C618415" w14:textId="77777777" w:rsidR="00DF3584" w:rsidRPr="00DF3584" w:rsidRDefault="00DF3584" w:rsidP="0015136C">
      <w:pPr>
        <w:spacing w:line="480" w:lineRule="auto"/>
        <w:rPr>
          <w:rFonts w:cs="Times New Roman"/>
          <w:lang w:eastAsia="es-ES"/>
        </w:rPr>
      </w:pPr>
      <w:r w:rsidRPr="00DF3584">
        <w:rPr>
          <w:rFonts w:cs="Times New Roman"/>
          <w:lang w:eastAsia="es-ES"/>
        </w:rPr>
        <w:t>La perspectiva para la inversión en I+D en el Cesar es moderadamente negativa si no se implementan cambios significativos en la política de incentivos y apoyo a la innovación. Existen oportunidades para mejorar este indicador si se logran alianzas público-privadas y se fortalecen las capacidades de investigación de las instituciones locales. Iniciativas como la creación de centros de innovación o el establecimiento de fondos de cofinanciación para proyectos de desarrollo tecnológico podrían ayudar a revertir la tendencia negativa de los últimos años.</w:t>
      </w:r>
    </w:p>
    <w:p w14:paraId="7553D72A" w14:textId="217179F2" w:rsidR="00DF3584" w:rsidRPr="00F73BF2" w:rsidRDefault="00DF3584" w:rsidP="0015136C">
      <w:pPr>
        <w:spacing w:line="480" w:lineRule="auto"/>
        <w:rPr>
          <w:rFonts w:cs="Times New Roman"/>
          <w:b/>
          <w:iCs/>
          <w:lang w:eastAsia="es-ES"/>
        </w:rPr>
      </w:pPr>
      <w:r w:rsidRPr="00F73BF2">
        <w:rPr>
          <w:rFonts w:cs="Times New Roman"/>
          <w:b/>
          <w:iCs/>
          <w:lang w:eastAsia="es-ES"/>
        </w:rPr>
        <w:t>Calificación</w:t>
      </w:r>
      <w:r w:rsidR="00345D60" w:rsidRPr="00F73BF2">
        <w:rPr>
          <w:rFonts w:cs="Times New Roman"/>
          <w:b/>
          <w:iCs/>
          <w:lang w:eastAsia="es-ES"/>
        </w:rPr>
        <w:t xml:space="preserve"> Global</w:t>
      </w:r>
      <w:r w:rsidRPr="00F73BF2">
        <w:rPr>
          <w:rFonts w:cs="Times New Roman"/>
          <w:b/>
          <w:iCs/>
          <w:lang w:eastAsia="es-ES"/>
        </w:rPr>
        <w:t>: 2.5/5</w:t>
      </w:r>
    </w:p>
    <w:p w14:paraId="3180E1C0" w14:textId="522C8D83" w:rsidR="00FF5FBA" w:rsidRDefault="00DF3584" w:rsidP="00F73BF2">
      <w:pPr>
        <w:spacing w:line="480" w:lineRule="auto"/>
        <w:rPr>
          <w:rFonts w:cs="Times New Roman"/>
          <w:lang w:eastAsia="es-ES"/>
        </w:rPr>
      </w:pPr>
      <w:r w:rsidRPr="00DF3584">
        <w:rPr>
          <w:rFonts w:cs="Times New Roman"/>
          <w:lang w:eastAsia="es-ES"/>
        </w:rPr>
        <w:t>La inversión en I+D en el Cesar ha sido históricamente baja y presenta una alta volatilidad, con picos aislados que no se han mantenido en el tiempo. El máximo alcanzado en 2015 con una inversión del 0,066% del PIB muestra que existe cierto potencial para mejorar este indicador, pero la falta de un entorno estructural de apoyo a la investigación y el desarrollo ha limitado la capacidad del departamento para consolidar avances en esta área. La escasa participación del sector privado y la falta de políticas locales de incentivo para la innovación son factores que afectan negativamente la calificación</w:t>
      </w:r>
      <w:r w:rsidR="00FF5FBA">
        <w:rPr>
          <w:rFonts w:cs="Times New Roman"/>
          <w:lang w:eastAsia="es-ES"/>
        </w:rPr>
        <w:t>.</w:t>
      </w:r>
    </w:p>
    <w:p w14:paraId="3A6F82A8" w14:textId="3C0D6370" w:rsidR="00C45E29" w:rsidRPr="00F73BF2" w:rsidRDefault="00FF5FBA" w:rsidP="00F73BF2">
      <w:pPr>
        <w:pStyle w:val="Prrafodelista"/>
        <w:numPr>
          <w:ilvl w:val="0"/>
          <w:numId w:val="21"/>
        </w:numPr>
        <w:spacing w:line="480" w:lineRule="auto"/>
        <w:rPr>
          <w:rFonts w:ascii="Times New Roman" w:hAnsi="Times New Roman"/>
          <w:b/>
          <w:iCs/>
        </w:rPr>
      </w:pPr>
      <w:r w:rsidRPr="00F73BF2">
        <w:rPr>
          <w:rFonts w:ascii="Times New Roman" w:hAnsi="Times New Roman"/>
          <w:b/>
          <w:iCs/>
        </w:rPr>
        <w:lastRenderedPageBreak/>
        <w:t>Colaboraciones Universitarias: Alianzas entre instituciones educativas y empresas para fomentar la innovación.</w:t>
      </w:r>
    </w:p>
    <w:p w14:paraId="6F12DAB3" w14:textId="77777777" w:rsidR="005E3D45" w:rsidRDefault="005E3D45" w:rsidP="0015136C">
      <w:pPr>
        <w:spacing w:line="480" w:lineRule="auto"/>
        <w:rPr>
          <w:lang w:eastAsia="es-ES"/>
        </w:rPr>
      </w:pPr>
      <w:r>
        <w:rPr>
          <w:lang w:eastAsia="es-ES"/>
        </w:rPr>
        <w:t>Las colaboraciones universitarias y las alianzas entre instituciones educativas y el sector empresarial son esenciales para promover la innovación y el desarrollo económico a través de la transferencia de conocimiento y tecnología. En el departamento del Cesar, estas colaboraciones se encuentran en una fase inicial de desarrollo, especialmente en municipios como Aguachica, donde no se reportan actualmente convenios formales con universidades o el Servicio Nacional de Aprendizaje (SENA). No obstante, existe un potencial académico considerable que, con la orientación adecuada, podría convertirse en una base sólida para futuras alianzas estratégicas que fomenten la innovación en la región.</w:t>
      </w:r>
    </w:p>
    <w:p w14:paraId="2836FED6" w14:textId="77777777" w:rsidR="005E3D45" w:rsidRPr="00F73BF2" w:rsidRDefault="005E3D45" w:rsidP="0015136C">
      <w:pPr>
        <w:spacing w:line="480" w:lineRule="auto"/>
        <w:rPr>
          <w:b/>
          <w:iCs/>
          <w:lang w:eastAsia="es-ES"/>
        </w:rPr>
      </w:pPr>
      <w:r w:rsidRPr="00F73BF2">
        <w:rPr>
          <w:b/>
          <w:iCs/>
          <w:lang w:eastAsia="es-ES"/>
        </w:rPr>
        <w:t>Oferta Académica de la Universidad Popular del Cesar (UPC) Seccional Aguachica</w:t>
      </w:r>
    </w:p>
    <w:p w14:paraId="54409058" w14:textId="27EA6AD3" w:rsidR="005E3D45" w:rsidRDefault="005E3D45" w:rsidP="0015136C">
      <w:pPr>
        <w:spacing w:line="480" w:lineRule="auto"/>
        <w:rPr>
          <w:lang w:eastAsia="es-ES"/>
        </w:rPr>
      </w:pPr>
      <w:r>
        <w:rPr>
          <w:lang w:eastAsia="es-ES"/>
        </w:rPr>
        <w:t>La Universidad Popular del Cesar (UPC) Seccional Aguachica ofrece un total de siete programas de pregrado orientados a satisfacer las necesidades educativas del sur del departamento. Estos programas incluyen Ingeniería de Sistemas, Ingeniería Agroindustrial, Ingeniería Ambiental y Sanitaria, Administración de Empresas, Contaduría, Economía e Ingeniería Agropecuaria. La diversidad de disciplinas y el enfoque en carreras técnicas y administrativas proporcionan un recurso académico valioso para el desarrollo de convenios con empresas locales, especialmente en sectores como la agroindustria, la gestión ambiental y el emprendimiento empresarial.</w:t>
      </w:r>
    </w:p>
    <w:p w14:paraId="4BEE57C9" w14:textId="77777777" w:rsidR="005E3D45" w:rsidRDefault="005E3D45" w:rsidP="0015136C">
      <w:pPr>
        <w:spacing w:line="480" w:lineRule="auto"/>
        <w:rPr>
          <w:lang w:eastAsia="es-ES"/>
        </w:rPr>
      </w:pPr>
      <w:r>
        <w:rPr>
          <w:lang w:eastAsia="es-ES"/>
        </w:rPr>
        <w:t xml:space="preserve">A pesar de la oferta académica existente, la universidad no ha logrado formalizar convenios significativos con empresas locales ni ha implementado proyectos de innovación que integren a los estudiantes con el entorno productivo del departamento. Esta falta de colaboración limita el impacto de la academia en la economía regional y reduce las oportunidades de los estudiantes para </w:t>
      </w:r>
      <w:r>
        <w:rPr>
          <w:lang w:eastAsia="es-ES"/>
        </w:rPr>
        <w:lastRenderedPageBreak/>
        <w:t>adquirir experiencia práctica y participar en la solución de problemas reales del entorno empresarial.</w:t>
      </w:r>
    </w:p>
    <w:p w14:paraId="574AB85A" w14:textId="77777777" w:rsidR="005E3D45" w:rsidRPr="00F73BF2" w:rsidRDefault="005E3D45" w:rsidP="0015136C">
      <w:pPr>
        <w:spacing w:line="480" w:lineRule="auto"/>
        <w:rPr>
          <w:b/>
          <w:iCs/>
          <w:lang w:eastAsia="es-ES"/>
        </w:rPr>
      </w:pPr>
      <w:r w:rsidRPr="00F73BF2">
        <w:rPr>
          <w:b/>
          <w:iCs/>
          <w:lang w:eastAsia="es-ES"/>
        </w:rPr>
        <w:t>Oferta Educativa del SENA Centro Agroempresarial de Aguachica</w:t>
      </w:r>
    </w:p>
    <w:p w14:paraId="5A7732BB" w14:textId="6710ECED" w:rsidR="005E3D45" w:rsidRDefault="005E3D45" w:rsidP="0015136C">
      <w:pPr>
        <w:spacing w:line="480" w:lineRule="auto"/>
        <w:rPr>
          <w:lang w:eastAsia="es-ES"/>
        </w:rPr>
      </w:pPr>
      <w:r>
        <w:rPr>
          <w:lang w:eastAsia="es-ES"/>
        </w:rPr>
        <w:t>El SENA Centro Agroempresarial de Aguachica cuenta con una oferta académica diversificada que incluye programas técnicos y tecnológicos en áreas clave como Procesamiento de alimentos, Gestión administrativa, Análisis y desarrollo de software, Producción de multimedia, Implementación de infraestructura de tecnologías de la información y las comunicaciones, Desarrollo publicitario y Animación 3D. Además, el SENA ofrece formación en sectores estratégicos como la producción agropecuaria, mantenimiento de maquinaria agrícola, instalación de sistemas solares fotovoltaicos y operación de maquinaria industrial, lo que podría apoyar el desarrollo de nuevas cadenas de valor en el Cesar.</w:t>
      </w:r>
    </w:p>
    <w:p w14:paraId="29E20F2B" w14:textId="77777777" w:rsidR="005E3D45" w:rsidRDefault="005E3D45" w:rsidP="0015136C">
      <w:pPr>
        <w:spacing w:line="480" w:lineRule="auto"/>
        <w:rPr>
          <w:lang w:eastAsia="es-ES"/>
        </w:rPr>
      </w:pPr>
      <w:r>
        <w:rPr>
          <w:lang w:eastAsia="es-ES"/>
        </w:rPr>
        <w:t>El potencial de esta oferta educativa radica en la capacidad del SENA para capacitar a la fuerza laboral local y proporcionar habilidades específicas que respondan a las necesidades del mercado laboral de la región. Sin embargo, la falta de formalización de convenios con empresas locales y la limitada interacción con el sector productivo restringen el impacto de la formación técnica en el desarrollo económico de la región. Existen oportunidades claras para la creación de alianzas que conecten a los egresados del SENA con proyectos productivos locales, especialmente en áreas como la agroindustria y la tecnología.</w:t>
      </w:r>
    </w:p>
    <w:p w14:paraId="460D2F76" w14:textId="77777777" w:rsidR="005E3D45" w:rsidRPr="005E3D45" w:rsidRDefault="005E3D45" w:rsidP="0015136C">
      <w:pPr>
        <w:spacing w:line="480" w:lineRule="auto"/>
        <w:rPr>
          <w:b/>
          <w:i/>
          <w:lang w:eastAsia="es-ES"/>
        </w:rPr>
      </w:pPr>
      <w:r w:rsidRPr="005E3D45">
        <w:rPr>
          <w:b/>
          <w:i/>
          <w:lang w:eastAsia="es-ES"/>
        </w:rPr>
        <w:t>Potencial para el Desarrollo de Convenios y Alianzas</w:t>
      </w:r>
    </w:p>
    <w:p w14:paraId="4CC985EA" w14:textId="46A187E6" w:rsidR="005E3D45" w:rsidRDefault="005E3D45" w:rsidP="0015136C">
      <w:pPr>
        <w:spacing w:line="480" w:lineRule="auto"/>
        <w:rPr>
          <w:lang w:eastAsia="es-ES"/>
        </w:rPr>
      </w:pPr>
      <w:r>
        <w:rPr>
          <w:lang w:eastAsia="es-ES"/>
        </w:rPr>
        <w:t xml:space="preserve">Si bien actualmente no se reportan convenios de impacto entre las instituciones educativas y el sector empresarial en Aguachica, la diversidad y especialización de la oferta académica de la UPC y el SENA representan una base sólida para el desarrollo de futuras alianzas. Con programas </w:t>
      </w:r>
      <w:r>
        <w:rPr>
          <w:lang w:eastAsia="es-ES"/>
        </w:rPr>
        <w:lastRenderedPageBreak/>
        <w:t xml:space="preserve">en áreas tan diversas como la gestión empresarial, la producción agroindustrial y el desarrollo de software, tanto la universidad como el SENA pueden desempeñar un papel estratégico en la creación de un ecosistema de innovación en el </w:t>
      </w:r>
      <w:r w:rsidR="005E0DCB">
        <w:rPr>
          <w:lang w:eastAsia="es-ES"/>
        </w:rPr>
        <w:t>municipio</w:t>
      </w:r>
      <w:r>
        <w:rPr>
          <w:lang w:eastAsia="es-ES"/>
        </w:rPr>
        <w:t>.</w:t>
      </w:r>
    </w:p>
    <w:p w14:paraId="648AFEB4" w14:textId="3DE758B9" w:rsidR="005E3D45" w:rsidRDefault="005E3D45" w:rsidP="0015136C">
      <w:pPr>
        <w:spacing w:line="480" w:lineRule="auto"/>
        <w:rPr>
          <w:lang w:eastAsia="es-ES"/>
        </w:rPr>
      </w:pPr>
      <w:r>
        <w:rPr>
          <w:lang w:eastAsia="es-ES"/>
        </w:rPr>
        <w:t>Las alianzas público-privadas, el desarrollo de proyectos de investigación aplicada y la vinculación de los estudiantes con las empresas locales serían pasos necesarios para potenciar este recurso académico y fomentar la innovación. La implementación de proyectos de investigación y desarrollo (I+D) conjuntos y la promoción de programas de pasantías y prácticas profesionales son estrategias que podrían fortalecer el papel de las instituciones educativas en el desarrollo regional.</w:t>
      </w:r>
    </w:p>
    <w:p w14:paraId="435A2F69" w14:textId="77777777" w:rsidR="005E3D45" w:rsidRPr="00F73BF2" w:rsidRDefault="005E3D45" w:rsidP="0015136C">
      <w:pPr>
        <w:spacing w:line="480" w:lineRule="auto"/>
        <w:rPr>
          <w:b/>
          <w:iCs/>
          <w:lang w:eastAsia="es-ES"/>
        </w:rPr>
      </w:pPr>
      <w:r w:rsidRPr="00F73BF2">
        <w:rPr>
          <w:b/>
          <w:iCs/>
          <w:lang w:eastAsia="es-ES"/>
        </w:rPr>
        <w:t>Perspectivas y Desafíos</w:t>
      </w:r>
    </w:p>
    <w:p w14:paraId="75D997D2" w14:textId="42D61BDA" w:rsidR="005E3D45" w:rsidRDefault="005E3D45" w:rsidP="0015136C">
      <w:pPr>
        <w:spacing w:line="480" w:lineRule="auto"/>
        <w:rPr>
          <w:lang w:eastAsia="es-ES"/>
        </w:rPr>
      </w:pPr>
      <w:r>
        <w:rPr>
          <w:lang w:eastAsia="es-ES"/>
        </w:rPr>
        <w:t xml:space="preserve">El principal desafío para la creación de convenios y alianzas es la falta de una cultura de colaboración entre la academia y el sector privado, así como la escasa orientación hacia la innovación en las empresas locales. La implementación de incentivos que promuevan la creación de convenios de cooperación y el apoyo del gobierno local y departamental serán cruciales para superar estos obstáculos. Si se logran establecer alianzas efectivas, </w:t>
      </w:r>
      <w:r w:rsidR="005E0DCB">
        <w:rPr>
          <w:lang w:eastAsia="es-ES"/>
        </w:rPr>
        <w:t>la región</w:t>
      </w:r>
      <w:r>
        <w:rPr>
          <w:lang w:eastAsia="es-ES"/>
        </w:rPr>
        <w:t xml:space="preserve"> podría mejorar significativamente su capacidad para atraer proyectos de alto valor agregado y fortalecer su ecosistema de innovación.</w:t>
      </w:r>
    </w:p>
    <w:p w14:paraId="6A838DD8" w14:textId="367798E1" w:rsidR="005E3D45" w:rsidRPr="005E0DCB" w:rsidRDefault="005E3D45" w:rsidP="0015136C">
      <w:pPr>
        <w:spacing w:line="480" w:lineRule="auto"/>
        <w:rPr>
          <w:b/>
          <w:lang w:eastAsia="es-ES"/>
        </w:rPr>
      </w:pPr>
      <w:r w:rsidRPr="005E0DCB">
        <w:rPr>
          <w:b/>
          <w:lang w:eastAsia="es-ES"/>
        </w:rPr>
        <w:t>Calificación</w:t>
      </w:r>
      <w:r w:rsidR="005E0DCB" w:rsidRPr="005E0DCB">
        <w:rPr>
          <w:b/>
          <w:lang w:eastAsia="es-ES"/>
        </w:rPr>
        <w:t xml:space="preserve"> Global</w:t>
      </w:r>
      <w:r w:rsidRPr="005E0DCB">
        <w:rPr>
          <w:b/>
          <w:lang w:eastAsia="es-ES"/>
        </w:rPr>
        <w:t>: 2/5</w:t>
      </w:r>
    </w:p>
    <w:p w14:paraId="36DBCA40" w14:textId="68ACA3B7" w:rsidR="00CE1F91" w:rsidRPr="00F73BF2" w:rsidRDefault="005E3D45" w:rsidP="00F73BF2">
      <w:pPr>
        <w:spacing w:line="480" w:lineRule="auto"/>
        <w:rPr>
          <w:lang w:eastAsia="es-ES"/>
        </w:rPr>
      </w:pPr>
      <w:r>
        <w:rPr>
          <w:lang w:eastAsia="es-ES"/>
        </w:rPr>
        <w:t xml:space="preserve">La falta de convenios actuales entre las instituciones educativas y el sector empresarial limita considerablemente el impacto de la academia en el desarrollo de la innovación en </w:t>
      </w:r>
      <w:r w:rsidR="005E0DCB">
        <w:rPr>
          <w:lang w:eastAsia="es-ES"/>
        </w:rPr>
        <w:t>la región</w:t>
      </w:r>
      <w:r>
        <w:rPr>
          <w:lang w:eastAsia="es-ES"/>
        </w:rPr>
        <w:t xml:space="preserve">. A pesar de contar con una oferta académica diversificada y especializada tanto en la Universidad Popular del Cesar como en el SENA Centro Agroempresarial de Aguachica, la falta de </w:t>
      </w:r>
      <w:r>
        <w:rPr>
          <w:lang w:eastAsia="es-ES"/>
        </w:rPr>
        <w:lastRenderedPageBreak/>
        <w:t xml:space="preserve">formalización de alianzas y la limitada interacción con el entorno productivo reducen las oportunidades para aprovechar el potencial educativo existente. </w:t>
      </w:r>
    </w:p>
    <w:p w14:paraId="7D8325CA" w14:textId="5B94CB6F" w:rsidR="003F5C91" w:rsidRPr="003F5C91" w:rsidRDefault="00CA4797" w:rsidP="00F73BF2">
      <w:pPr>
        <w:pStyle w:val="Ttulo4"/>
      </w:pPr>
      <w:r w:rsidRPr="00F73BF2">
        <w:t>Entorno Competitivo</w:t>
      </w:r>
    </w:p>
    <w:p w14:paraId="3173C612" w14:textId="2007B10B" w:rsidR="003F5C91" w:rsidRPr="00F73BF2" w:rsidRDefault="00CA4797" w:rsidP="00F73BF2">
      <w:pPr>
        <w:pStyle w:val="Prrafodelista"/>
        <w:numPr>
          <w:ilvl w:val="0"/>
          <w:numId w:val="21"/>
        </w:numPr>
        <w:spacing w:line="480" w:lineRule="auto"/>
        <w:rPr>
          <w:rFonts w:ascii="Times New Roman" w:hAnsi="Times New Roman"/>
          <w:b/>
          <w:iCs/>
        </w:rPr>
      </w:pPr>
      <w:r w:rsidRPr="00F73BF2">
        <w:rPr>
          <w:rFonts w:ascii="Times New Roman" w:hAnsi="Times New Roman"/>
          <w:b/>
          <w:iCs/>
        </w:rPr>
        <w:t>Número de Zonas Francas Cercanas: Existencia y características de otras zonas francas en la región.</w:t>
      </w:r>
    </w:p>
    <w:p w14:paraId="4FBACE79" w14:textId="77777777" w:rsidR="003F5C91" w:rsidRDefault="003F5C91" w:rsidP="0015136C">
      <w:pPr>
        <w:spacing w:line="480" w:lineRule="auto"/>
      </w:pPr>
      <w:r>
        <w:t>El factor del Número de Zonas Francas Cercanas se analiza bajo el contexto del Entorno Competitivo debido a su influencia directa en la capacidad de una nueva zona franca para atraer inversión y posicionarse como un nodo relevante en la región. La presencia de múltiples zonas francas en el Caribe colombiano establece un entorno altamente competitivo que puede afectar la viabilidad y diferenciación de un nuevo proyecto de este tipo en Aguachica. A continuación, se evaluará este factor con base en la cercanía y las características de las principales zonas francas del departamento del Cesar y sus alrededores.</w:t>
      </w:r>
    </w:p>
    <w:p w14:paraId="45C94143" w14:textId="77777777" w:rsidR="003F5C91" w:rsidRPr="00F73BF2" w:rsidRDefault="003F5C91" w:rsidP="0015136C">
      <w:pPr>
        <w:spacing w:line="480" w:lineRule="auto"/>
        <w:rPr>
          <w:b/>
          <w:iCs/>
        </w:rPr>
      </w:pPr>
      <w:r w:rsidRPr="00F73BF2">
        <w:rPr>
          <w:b/>
          <w:iCs/>
        </w:rPr>
        <w:t>Evaluación de Zonas Francas Cercanas</w:t>
      </w:r>
    </w:p>
    <w:p w14:paraId="0F4FBAF2" w14:textId="621FA978" w:rsidR="003F5C91" w:rsidRDefault="003F5C91" w:rsidP="0015136C">
      <w:pPr>
        <w:spacing w:line="480" w:lineRule="auto"/>
      </w:pPr>
      <w:r>
        <w:t xml:space="preserve">En cuanto a la evaluación de las zonas francas cercanas, la ZFP Barranquilla se encuentra en Barranquilla y se especializa en comercio, manufactura y logística, abarcando sectores como textiles, alimentos y tecnología. Su distancia desde Aguachica es de 7 horas y 5 minutos (422,9 km), y su impacto competitivo es alto, dado que su diversidad de actividades y relativa proximidad la convierten en un competidor significativo. La ZFP Cartagena, ubicada en Cartagena, se enfoca en actividades petroquímicas, turismo, manufactura y servicios logísticos. A pesar de estar a 8 horas y 2 minutos (461,1 km) de Aguachica, su posición portuaria y el enfoque en comercio internacional la hacen un nodo estratégico con un impacto competitivo moderado (Google Maps). La ZFP Internacional del Atlántico, también en Barranquilla, está orientada al comercio, servicios logísticos y manufactura, a una distancia de 7 horas y 5 minutos (422,9 km) de Aguachica, y su </w:t>
      </w:r>
      <w:r>
        <w:lastRenderedPageBreak/>
        <w:t>capacidad para atraer empresas tecnológicas y de servicios le otorga un impacto competitivo alto</w:t>
      </w:r>
      <w:r w:rsidR="00F73BF2">
        <w:t xml:space="preserve"> </w:t>
      </w:r>
      <w:r>
        <w:t>(Google Maps).</w:t>
      </w:r>
    </w:p>
    <w:p w14:paraId="00C38FEA" w14:textId="609F8FD5" w:rsidR="003F5C91" w:rsidRDefault="003F5C91" w:rsidP="0015136C">
      <w:pPr>
        <w:spacing w:line="480" w:lineRule="auto"/>
      </w:pPr>
      <w:r>
        <w:t>Por su parte, la ZFP Santa Marta se localiza en Santa Marta y se especializa en turismo, producción agrícola y servicios logísticos. A 6 horas y 6 minutos (376,7 km) de Aguachica, su cercanía la convierte en un competidor relevante, aunque con un impacto competitivo moderado debido a su enfoque sectorial. La ZFP Tayrona, también en Santa Marta, comparte especialización en turismo, agricultura y servicios logísticos, lo que genera una competencia local significativa, con un impacto competitivo moderado</w:t>
      </w:r>
      <w:r w:rsidR="00C4401E">
        <w:t xml:space="preserve"> (Google Maps)</w:t>
      </w:r>
      <w:r>
        <w:t>. La ZFP Parque Industrial FEMSA, ubicada en Barranquilla, se especializa en la producción y distribución de bienes de consumo y servicios logísticos. A la misma distancia de 7 horas y 5 minutos (422,9 km) de Aguachica, su enfoque la hace un competidor fuerte para empresas de distribución, con un impacto competitivo alto</w:t>
      </w:r>
      <w:r w:rsidR="00C4401E">
        <w:t xml:space="preserve"> (Google Maps).</w:t>
      </w:r>
      <w:r>
        <w:t>. La ZFP Parque Central, igualmente en Barranquilla, se centra en la manufactura y el comercio, incluyendo servicios logísticos y de distribución, y su amplia oferta de servicios le otorga un impacto competitivo alto para cualquier nueva zona franca en Aguachica.</w:t>
      </w:r>
    </w:p>
    <w:p w14:paraId="7AFC48B9" w14:textId="77777777" w:rsidR="003F5C91" w:rsidRPr="00F73BF2" w:rsidRDefault="003F5C91" w:rsidP="0015136C">
      <w:pPr>
        <w:spacing w:line="480" w:lineRule="auto"/>
        <w:rPr>
          <w:b/>
          <w:iCs/>
        </w:rPr>
      </w:pPr>
      <w:r w:rsidRPr="00F73BF2">
        <w:rPr>
          <w:b/>
          <w:iCs/>
        </w:rPr>
        <w:t>Análisis de Competencia y Posicionamiento</w:t>
      </w:r>
    </w:p>
    <w:p w14:paraId="0DCB289F" w14:textId="7C6AF740" w:rsidR="003F5C91" w:rsidRDefault="003F5C91" w:rsidP="0015136C">
      <w:pPr>
        <w:spacing w:line="480" w:lineRule="auto"/>
      </w:pPr>
      <w:r>
        <w:t xml:space="preserve">La existencia de múltiples zonas francas bien establecidas en la región Caribe genera un entorno altamente competitivo para cualquier proyecto nuevo en Aguachica. Las zonas francas en Barranquilla, Santa Marta y Cartagena ofrecen infraestructura avanzada, conectividad y especialización sectorial, lo que podría dificultar la atracción de empresas e inversión hacia Aguachica. </w:t>
      </w:r>
    </w:p>
    <w:p w14:paraId="0D5DFE1A" w14:textId="2E9C559A" w:rsidR="003F5C91" w:rsidRDefault="003F5C91" w:rsidP="0015136C">
      <w:pPr>
        <w:spacing w:line="480" w:lineRule="auto"/>
      </w:pPr>
      <w:r>
        <w:t xml:space="preserve">Además, las distancias relativamente largas hacia estas zonas (más de 300 km en la mayoría de los casos) podrían representar tanto una ventaja como una desventaja. Si bien la lejanía puede </w:t>
      </w:r>
      <w:r>
        <w:lastRenderedPageBreak/>
        <w:t>significar menos competencia directa en términos de proximidad inmediata, también reduce las oportunidades de colaboración y sinergias interregionales.</w:t>
      </w:r>
    </w:p>
    <w:p w14:paraId="69E9E1B1" w14:textId="77777777" w:rsidR="003F5C91" w:rsidRPr="00F73BF2" w:rsidRDefault="003F5C91" w:rsidP="0015136C">
      <w:pPr>
        <w:spacing w:line="480" w:lineRule="auto"/>
        <w:rPr>
          <w:b/>
          <w:iCs/>
        </w:rPr>
      </w:pPr>
      <w:r w:rsidRPr="00F73BF2">
        <w:rPr>
          <w:b/>
          <w:iCs/>
        </w:rPr>
        <w:t>Perspectivas y Recomendaciones</w:t>
      </w:r>
    </w:p>
    <w:p w14:paraId="064A1E21" w14:textId="3E8CB875" w:rsidR="003F5C91" w:rsidRDefault="003F5C91" w:rsidP="0015136C">
      <w:pPr>
        <w:spacing w:line="480" w:lineRule="auto"/>
      </w:pPr>
      <w:r>
        <w:t>Para que una nueva zona franca en Aguachica tenga éxito en este entorno, se deben considerar las siguientes estrategias:</w:t>
      </w:r>
    </w:p>
    <w:p w14:paraId="64728DB6" w14:textId="77777777" w:rsidR="003F5C91" w:rsidRPr="00C4401E" w:rsidRDefault="003F5C91" w:rsidP="0015136C">
      <w:pPr>
        <w:pStyle w:val="Prrafodelista"/>
        <w:numPr>
          <w:ilvl w:val="0"/>
          <w:numId w:val="21"/>
        </w:numPr>
        <w:spacing w:line="480" w:lineRule="auto"/>
        <w:rPr>
          <w:rFonts w:ascii="Times New Roman" w:hAnsi="Times New Roman"/>
        </w:rPr>
      </w:pPr>
      <w:r w:rsidRPr="00C4401E">
        <w:rPr>
          <w:rFonts w:ascii="Times New Roman" w:hAnsi="Times New Roman"/>
        </w:rPr>
        <w:t>Especialización en un Nicho de Mercado: Identificar sectores no cubiertos o insuficientemente atendidos por las zonas francas existentes, como tecnología agroindustrial o energías renovables.</w:t>
      </w:r>
    </w:p>
    <w:p w14:paraId="19B36206" w14:textId="77777777" w:rsidR="003F5C91" w:rsidRPr="00C4401E" w:rsidRDefault="003F5C91" w:rsidP="0015136C">
      <w:pPr>
        <w:pStyle w:val="Prrafodelista"/>
        <w:numPr>
          <w:ilvl w:val="0"/>
          <w:numId w:val="21"/>
        </w:numPr>
        <w:spacing w:line="480" w:lineRule="auto"/>
        <w:rPr>
          <w:rFonts w:ascii="Times New Roman" w:hAnsi="Times New Roman"/>
        </w:rPr>
      </w:pPr>
      <w:r w:rsidRPr="00C4401E">
        <w:rPr>
          <w:rFonts w:ascii="Times New Roman" w:hAnsi="Times New Roman"/>
        </w:rPr>
        <w:t>Promoción de Incentivos Atractivos: Ofrecer incentivos fiscales, tarifas preferenciales y servicios especializados que no se encuentren en las zonas francas cercanas.</w:t>
      </w:r>
    </w:p>
    <w:p w14:paraId="11C45108" w14:textId="77777777" w:rsidR="003F5C91" w:rsidRPr="00C4401E" w:rsidRDefault="003F5C91" w:rsidP="0015136C">
      <w:pPr>
        <w:pStyle w:val="Prrafodelista"/>
        <w:numPr>
          <w:ilvl w:val="0"/>
          <w:numId w:val="21"/>
        </w:numPr>
        <w:spacing w:line="480" w:lineRule="auto"/>
        <w:rPr>
          <w:rFonts w:ascii="Times New Roman" w:hAnsi="Times New Roman"/>
        </w:rPr>
      </w:pPr>
      <w:r w:rsidRPr="00C4401E">
        <w:rPr>
          <w:rFonts w:ascii="Times New Roman" w:hAnsi="Times New Roman"/>
        </w:rPr>
        <w:t>Colaboración con Instituciones Locales: Aprovechar la oferta educativa y técnica de la región para crear un entorno de innovación y desarrollo que atraiga empresas de base tecnológica.</w:t>
      </w:r>
    </w:p>
    <w:p w14:paraId="7B347014" w14:textId="77777777" w:rsidR="00C4401E" w:rsidRDefault="00C4401E" w:rsidP="0015136C">
      <w:pPr>
        <w:spacing w:line="480" w:lineRule="auto"/>
      </w:pPr>
    </w:p>
    <w:p w14:paraId="33655302" w14:textId="4A295A46" w:rsidR="003F5C91" w:rsidRPr="00C4401E" w:rsidRDefault="003F5C91" w:rsidP="0015136C">
      <w:pPr>
        <w:spacing w:line="480" w:lineRule="auto"/>
        <w:rPr>
          <w:b/>
        </w:rPr>
      </w:pPr>
      <w:r w:rsidRPr="00C4401E">
        <w:rPr>
          <w:b/>
        </w:rPr>
        <w:t>Calificación</w:t>
      </w:r>
      <w:r w:rsidR="00C4401E" w:rsidRPr="00C4401E">
        <w:rPr>
          <w:b/>
        </w:rPr>
        <w:t xml:space="preserve"> Global</w:t>
      </w:r>
      <w:r w:rsidRPr="00C4401E">
        <w:rPr>
          <w:b/>
        </w:rPr>
        <w:t>: 2.5/5</w:t>
      </w:r>
    </w:p>
    <w:p w14:paraId="07D39034" w14:textId="73B53C74" w:rsidR="003F5C91" w:rsidRPr="00F73BF2" w:rsidRDefault="003F5C91" w:rsidP="00F73BF2">
      <w:pPr>
        <w:spacing w:line="480" w:lineRule="auto"/>
      </w:pPr>
      <w:r>
        <w:t>La puntuación refleja el entorno altamente competitivo en el que Aguachica tendría que operar. La cercanía de zonas francas especializadas y con infraestructura consolidada dificulta la entrada de una nueva zona franca en Aguachica sin una propuesta de valor diferencial. Aunque existen oportunidades para aprovechar la ubicación geográfica y las características del municipio, el desarrollo exitoso de una zona franca requerirá una cuidadosa estrategia de diferenciación y colaboración con actores locales y regionales para mitigar la presión competitiva.</w:t>
      </w:r>
    </w:p>
    <w:p w14:paraId="2328EC89" w14:textId="77777777" w:rsidR="00CA4797" w:rsidRPr="00F73BF2" w:rsidRDefault="00CA4797" w:rsidP="0015136C">
      <w:pPr>
        <w:pStyle w:val="Prrafodelista"/>
        <w:numPr>
          <w:ilvl w:val="0"/>
          <w:numId w:val="22"/>
        </w:numPr>
        <w:spacing w:line="480" w:lineRule="auto"/>
        <w:rPr>
          <w:rFonts w:ascii="Times New Roman" w:hAnsi="Times New Roman"/>
          <w:b/>
          <w:iCs/>
        </w:rPr>
      </w:pPr>
      <w:r w:rsidRPr="00F73BF2">
        <w:rPr>
          <w:rFonts w:ascii="Times New Roman" w:hAnsi="Times New Roman"/>
          <w:b/>
          <w:iCs/>
        </w:rPr>
        <w:lastRenderedPageBreak/>
        <w:t>Estrategias de Diferenciación: Capacidades que diferencian a Aguachica de otras zonas francas.</w:t>
      </w:r>
    </w:p>
    <w:p w14:paraId="195191D3" w14:textId="77777777" w:rsidR="006652FD" w:rsidRDefault="006652FD" w:rsidP="0015136C">
      <w:pPr>
        <w:spacing w:line="480" w:lineRule="auto"/>
      </w:pPr>
    </w:p>
    <w:p w14:paraId="6AB72297" w14:textId="300E9B50" w:rsidR="005C58FD" w:rsidRDefault="005C58FD" w:rsidP="0015136C">
      <w:pPr>
        <w:spacing w:line="480" w:lineRule="auto"/>
      </w:pPr>
      <w:r>
        <w:t>Las estrategias de diferenciación para Aguachica como posible zona franca se basan en sus recursos naturales y en la infraestructura agrícola y pecuaria existente en la región. Estos factores, junto con la capacidad de expansión de suelo agrícola y el potencial logístico proporcionado por las vías de transporte multimodal (carretera, ferroviario y fluvial), destacan a Aguachica como un centro estratégico con características únicas en el sur del departamento del Cesar. Aunque el municipio no cuenta con información oficial específica sobre sus potenciales como zona franca, se puede hacer un análisis con base en datos disponibles a nivel departamental que permiten vislumbrar oportunidades de diferenciación frente a otras regiones.</w:t>
      </w:r>
    </w:p>
    <w:p w14:paraId="0EB6E45C" w14:textId="77777777" w:rsidR="005C58FD" w:rsidRPr="00F73BF2" w:rsidRDefault="005C58FD" w:rsidP="0015136C">
      <w:pPr>
        <w:spacing w:line="480" w:lineRule="auto"/>
        <w:rPr>
          <w:b/>
          <w:iCs/>
        </w:rPr>
      </w:pPr>
      <w:r w:rsidRPr="00F73BF2">
        <w:rPr>
          <w:b/>
          <w:iCs/>
        </w:rPr>
        <w:t>Recursos Naturales Locales: Diversidad de Cultivos y Producción Agropecuaria</w:t>
      </w:r>
    </w:p>
    <w:p w14:paraId="10B369C9" w14:textId="097C08A1" w:rsidR="005C58FD" w:rsidRDefault="005C58FD" w:rsidP="0015136C">
      <w:pPr>
        <w:spacing w:line="480" w:lineRule="auto"/>
      </w:pPr>
      <w:r>
        <w:t xml:space="preserve">Aguachica tiene una diversidad de cultivos que abarca aproximadamente 15,000 hectáreas con una variedad de productos agrícolas, lo cual le otorga una ventaja competitiva significativa para el desarrollo de una zona franca especializada en agroindustria. Entre los principales cultivos se encuentran </w:t>
      </w:r>
      <w:r w:rsidR="00F73BF2" w:rsidRPr="00AD25E0">
        <w:rPr>
          <w:noProof/>
          <w:lang w:val="es-ES" w:eastAsia="es-ES"/>
        </w:rPr>
        <w:t>DANE</w:t>
      </w:r>
      <w:r w:rsidR="00F73BF2">
        <w:rPr>
          <w:noProof/>
          <w:lang w:val="es-ES" w:eastAsia="es-ES"/>
        </w:rPr>
        <w:t xml:space="preserve"> (</w:t>
      </w:r>
      <w:r w:rsidR="00F73BF2" w:rsidRPr="00AD25E0">
        <w:rPr>
          <w:noProof/>
          <w:lang w:val="es-ES" w:eastAsia="es-ES"/>
        </w:rPr>
        <w:t>2024)</w:t>
      </w:r>
      <w:r w:rsidR="00F73BF2">
        <w:rPr>
          <w:noProof/>
          <w:lang w:val="es-ES" w:eastAsia="es-ES"/>
        </w:rPr>
        <w:t>:</w:t>
      </w:r>
    </w:p>
    <w:p w14:paraId="4DEDED74" w14:textId="77777777" w:rsidR="005C58FD" w:rsidRPr="005C58FD" w:rsidRDefault="005C58FD" w:rsidP="0015136C">
      <w:pPr>
        <w:pStyle w:val="Prrafodelista"/>
        <w:numPr>
          <w:ilvl w:val="0"/>
          <w:numId w:val="22"/>
        </w:numPr>
        <w:spacing w:line="480" w:lineRule="auto"/>
        <w:rPr>
          <w:rFonts w:ascii="Times New Roman" w:hAnsi="Times New Roman"/>
        </w:rPr>
      </w:pPr>
      <w:r w:rsidRPr="005C58FD">
        <w:rPr>
          <w:rFonts w:ascii="Times New Roman" w:hAnsi="Times New Roman"/>
        </w:rPr>
        <w:t>Algodón: 3,500 hectáreas</w:t>
      </w:r>
    </w:p>
    <w:p w14:paraId="3BBB6624" w14:textId="77777777" w:rsidR="005C58FD" w:rsidRPr="005C58FD" w:rsidRDefault="005C58FD" w:rsidP="0015136C">
      <w:pPr>
        <w:pStyle w:val="Prrafodelista"/>
        <w:numPr>
          <w:ilvl w:val="0"/>
          <w:numId w:val="22"/>
        </w:numPr>
        <w:spacing w:line="480" w:lineRule="auto"/>
        <w:rPr>
          <w:rFonts w:ascii="Times New Roman" w:hAnsi="Times New Roman"/>
        </w:rPr>
      </w:pPr>
      <w:r w:rsidRPr="005C58FD">
        <w:rPr>
          <w:rFonts w:ascii="Times New Roman" w:hAnsi="Times New Roman"/>
        </w:rPr>
        <w:t>Arroz: 4,200 hectáreas</w:t>
      </w:r>
    </w:p>
    <w:p w14:paraId="1F4A353E" w14:textId="77777777" w:rsidR="005C58FD" w:rsidRPr="005C58FD" w:rsidRDefault="005C58FD" w:rsidP="0015136C">
      <w:pPr>
        <w:pStyle w:val="Prrafodelista"/>
        <w:numPr>
          <w:ilvl w:val="0"/>
          <w:numId w:val="22"/>
        </w:numPr>
        <w:spacing w:line="480" w:lineRule="auto"/>
        <w:rPr>
          <w:rFonts w:ascii="Times New Roman" w:hAnsi="Times New Roman"/>
        </w:rPr>
      </w:pPr>
      <w:r w:rsidRPr="005C58FD">
        <w:rPr>
          <w:rFonts w:ascii="Times New Roman" w:hAnsi="Times New Roman"/>
        </w:rPr>
        <w:t>Maíz: 2,000 hectáreas</w:t>
      </w:r>
    </w:p>
    <w:p w14:paraId="7CE94DE8" w14:textId="77777777" w:rsidR="005C58FD" w:rsidRPr="005C58FD" w:rsidRDefault="005C58FD" w:rsidP="0015136C">
      <w:pPr>
        <w:pStyle w:val="Prrafodelista"/>
        <w:numPr>
          <w:ilvl w:val="0"/>
          <w:numId w:val="22"/>
        </w:numPr>
        <w:spacing w:line="480" w:lineRule="auto"/>
        <w:rPr>
          <w:rFonts w:ascii="Times New Roman" w:hAnsi="Times New Roman"/>
        </w:rPr>
      </w:pPr>
      <w:r w:rsidRPr="005C58FD">
        <w:rPr>
          <w:rFonts w:ascii="Times New Roman" w:hAnsi="Times New Roman"/>
        </w:rPr>
        <w:t>Yuca: 1,500 hectáreas</w:t>
      </w:r>
    </w:p>
    <w:p w14:paraId="1D5EBAF0" w14:textId="77777777" w:rsidR="005C58FD" w:rsidRPr="005C58FD" w:rsidRDefault="005C58FD" w:rsidP="0015136C">
      <w:pPr>
        <w:pStyle w:val="Prrafodelista"/>
        <w:numPr>
          <w:ilvl w:val="0"/>
          <w:numId w:val="22"/>
        </w:numPr>
        <w:spacing w:line="480" w:lineRule="auto"/>
        <w:rPr>
          <w:rFonts w:ascii="Times New Roman" w:hAnsi="Times New Roman"/>
        </w:rPr>
      </w:pPr>
      <w:r w:rsidRPr="005C58FD">
        <w:rPr>
          <w:rFonts w:ascii="Times New Roman" w:hAnsi="Times New Roman"/>
        </w:rPr>
        <w:t>Palma de Aceite: 2,500 hectáreas</w:t>
      </w:r>
    </w:p>
    <w:p w14:paraId="56365431" w14:textId="77777777" w:rsidR="005C58FD" w:rsidRPr="005C58FD" w:rsidRDefault="005C58FD" w:rsidP="0015136C">
      <w:pPr>
        <w:pStyle w:val="Prrafodelista"/>
        <w:numPr>
          <w:ilvl w:val="0"/>
          <w:numId w:val="22"/>
        </w:numPr>
        <w:spacing w:line="480" w:lineRule="auto"/>
        <w:rPr>
          <w:rFonts w:ascii="Times New Roman" w:hAnsi="Times New Roman"/>
        </w:rPr>
      </w:pPr>
      <w:r w:rsidRPr="005C58FD">
        <w:rPr>
          <w:rFonts w:ascii="Times New Roman" w:hAnsi="Times New Roman"/>
        </w:rPr>
        <w:t>Frijol: 1,300 hectáreas</w:t>
      </w:r>
    </w:p>
    <w:p w14:paraId="7D48AED1" w14:textId="77777777" w:rsidR="005C58FD" w:rsidRDefault="005C58FD" w:rsidP="0015136C">
      <w:pPr>
        <w:pStyle w:val="Prrafodelista"/>
        <w:numPr>
          <w:ilvl w:val="0"/>
          <w:numId w:val="22"/>
        </w:numPr>
        <w:spacing w:line="480" w:lineRule="auto"/>
        <w:rPr>
          <w:rFonts w:ascii="Times New Roman" w:hAnsi="Times New Roman"/>
        </w:rPr>
      </w:pPr>
      <w:r w:rsidRPr="005C58FD">
        <w:rPr>
          <w:rFonts w:ascii="Times New Roman" w:hAnsi="Times New Roman"/>
        </w:rPr>
        <w:lastRenderedPageBreak/>
        <w:t>Mango: 1,000 hectáreas</w:t>
      </w:r>
    </w:p>
    <w:p w14:paraId="0895822D" w14:textId="77777777" w:rsidR="005C58FD" w:rsidRPr="005C58FD" w:rsidRDefault="005C58FD" w:rsidP="0015136C">
      <w:pPr>
        <w:pStyle w:val="Prrafodelista"/>
        <w:spacing w:line="480" w:lineRule="auto"/>
        <w:ind w:left="1429" w:firstLine="0"/>
        <w:rPr>
          <w:rFonts w:ascii="Times New Roman" w:hAnsi="Times New Roman"/>
        </w:rPr>
      </w:pPr>
    </w:p>
    <w:p w14:paraId="68679204" w14:textId="11803EF3" w:rsidR="005C58FD" w:rsidRDefault="005C58FD" w:rsidP="0015136C">
      <w:pPr>
        <w:spacing w:line="480" w:lineRule="auto"/>
      </w:pPr>
      <w:r>
        <w:t xml:space="preserve">Esta diversidad de cultivos, sumada a los rendimientos agrícolas favorables (por ejemplo, 4,500 kg/ha para el arroz y 3,200 kg/ha para el maíz), proporciona un suministro constante de materias primas para la producción agroindustrial durante todo el año </w:t>
      </w:r>
      <w:r w:rsidR="00901E21">
        <w:rPr>
          <w:noProof/>
          <w:lang w:val="es-ES"/>
        </w:rPr>
        <w:t>MinAgricultura (2024)</w:t>
      </w:r>
      <w:r>
        <w:t>. La capacidad de producción sostenible y rentable de estos cultivos es una característica que podría diferenciar a Aguachica de otras zonas francas en el país.</w:t>
      </w:r>
    </w:p>
    <w:p w14:paraId="508F4539" w14:textId="77777777" w:rsidR="005C58FD" w:rsidRPr="00901E21" w:rsidRDefault="005C58FD" w:rsidP="0015136C">
      <w:pPr>
        <w:spacing w:line="480" w:lineRule="auto"/>
        <w:rPr>
          <w:b/>
          <w:iCs/>
        </w:rPr>
      </w:pPr>
      <w:r w:rsidRPr="00901E21">
        <w:rPr>
          <w:b/>
          <w:iCs/>
        </w:rPr>
        <w:t>Infraestructura Pecuaria y Capacidad Productiva</w:t>
      </w:r>
    </w:p>
    <w:p w14:paraId="235F70E7" w14:textId="4886BC4E" w:rsidR="005C58FD" w:rsidRDefault="005C58FD" w:rsidP="0015136C">
      <w:pPr>
        <w:spacing w:line="480" w:lineRule="auto"/>
      </w:pPr>
      <w:r>
        <w:t>Aguachica cuenta con un inventario pecuario de 95,143 cabezas de ganado bovino, complementado por 15,000 cerdos, 8,500 ovejas y 3,000 cabras</w:t>
      </w:r>
      <w:r w:rsidR="00901E21">
        <w:t xml:space="preserve"> </w:t>
      </w:r>
      <w:r w:rsidR="00901E21">
        <w:rPr>
          <w:noProof/>
          <w:lang w:val="es-ES"/>
        </w:rPr>
        <w:t>MinAgricultura (2024)</w:t>
      </w:r>
      <w:r>
        <w:t>. La combinación de cultivos y productos cárnicos y lácteos posiciona al municipio como un potencial proveedor de materias primas tanto para la agroindustria como para la industria alimentaria. La diversificación de la producción agropecuaria contribuye a la resiliencia económica de la región y permite satisfacer la demanda de distintos segmentos industriales.</w:t>
      </w:r>
    </w:p>
    <w:p w14:paraId="4FF68E93" w14:textId="77777777" w:rsidR="005C58FD" w:rsidRPr="00901E21" w:rsidRDefault="005C58FD" w:rsidP="0015136C">
      <w:pPr>
        <w:spacing w:line="480" w:lineRule="auto"/>
        <w:rPr>
          <w:b/>
          <w:iCs/>
        </w:rPr>
      </w:pPr>
      <w:r w:rsidRPr="00901E21">
        <w:rPr>
          <w:b/>
          <w:iCs/>
        </w:rPr>
        <w:t>Disponibilidad de Suelo y Potencial de Expansión</w:t>
      </w:r>
    </w:p>
    <w:p w14:paraId="40C87AC3" w14:textId="77777777" w:rsidR="005C58FD" w:rsidRDefault="005C58FD" w:rsidP="0015136C">
      <w:pPr>
        <w:spacing w:line="480" w:lineRule="auto"/>
      </w:pPr>
      <w:r>
        <w:t>El municipio cuenta con un total de 40,000 hectáreas de suelo cultivable disponible y un potencial adicional de 15,000 hectáreas para la expansión agroindustrial. Esta disponibilidad de terreno es una ventaja clave que podría ser utilizada para atraer inversiones y expandir la capacidad productiva de la zona franca. La flexibilidad en el uso del suelo permite desarrollar proyectos a gran escala y adaptarse a las necesidades específicas de las empresas interesadas en establecer operaciones en la región.</w:t>
      </w:r>
    </w:p>
    <w:p w14:paraId="1F72636B" w14:textId="77777777" w:rsidR="005C58FD" w:rsidRPr="00901E21" w:rsidRDefault="005C58FD" w:rsidP="0015136C">
      <w:pPr>
        <w:spacing w:line="480" w:lineRule="auto"/>
        <w:rPr>
          <w:b/>
          <w:iCs/>
        </w:rPr>
      </w:pPr>
      <w:r w:rsidRPr="00901E21">
        <w:rPr>
          <w:b/>
          <w:iCs/>
        </w:rPr>
        <w:t>Calidad de las Vías de Transporte y Conectividad Logística</w:t>
      </w:r>
    </w:p>
    <w:p w14:paraId="3A3F24A9" w14:textId="06F4074C" w:rsidR="005C58FD" w:rsidRDefault="005C58FD" w:rsidP="0015136C">
      <w:pPr>
        <w:spacing w:line="480" w:lineRule="auto"/>
      </w:pPr>
      <w:r>
        <w:lastRenderedPageBreak/>
        <w:t xml:space="preserve">Aguachica se encuentra en una ubicación estratégica con buena conectividad terrestre y acceso a infraestructura multimodal en el municipio vecino de Gamarra, que está a solo 15 km. La infraestructura vial y ferroviaria en desarrollo convierte a la región en un punto de convergencia para el transporte de mercancías a nivel regional y nacional. Los principales elementos que respaldan la competitividad logística de Aguachica son </w:t>
      </w:r>
      <w:r w:rsidR="00901E21" w:rsidRPr="00EA290E">
        <w:rPr>
          <w:noProof/>
          <w:lang w:val="es-ES"/>
        </w:rPr>
        <w:t xml:space="preserve">ESAP </w:t>
      </w:r>
      <w:r w:rsidR="00901E21">
        <w:rPr>
          <w:noProof/>
          <w:lang w:val="es-ES"/>
        </w:rPr>
        <w:t>(</w:t>
      </w:r>
      <w:r w:rsidR="00901E21" w:rsidRPr="00EA290E">
        <w:rPr>
          <w:noProof/>
          <w:lang w:val="es-ES"/>
        </w:rPr>
        <w:t>2001)</w:t>
      </w:r>
      <w:r>
        <w:t>:</w:t>
      </w:r>
    </w:p>
    <w:p w14:paraId="236E2A03" w14:textId="77777777" w:rsidR="005C58FD" w:rsidRPr="005C58FD" w:rsidRDefault="005C58FD" w:rsidP="0015136C">
      <w:pPr>
        <w:pStyle w:val="Prrafodelista"/>
        <w:numPr>
          <w:ilvl w:val="0"/>
          <w:numId w:val="23"/>
        </w:numPr>
        <w:spacing w:line="480" w:lineRule="auto"/>
        <w:rPr>
          <w:rFonts w:ascii="Times New Roman" w:hAnsi="Times New Roman"/>
        </w:rPr>
      </w:pPr>
      <w:r w:rsidRPr="005C58FD">
        <w:rPr>
          <w:rFonts w:ascii="Times New Roman" w:hAnsi="Times New Roman"/>
        </w:rPr>
        <w:t>Infraestructura Aérea: El Aeropuerto Hacaritama, con una pista de alta calidad, actualmente opera rutas limitadas con capacidad para pasajeros, lo cual es adecuado, pero restringido para el transporte de carga.</w:t>
      </w:r>
    </w:p>
    <w:p w14:paraId="544E6B90" w14:textId="77777777" w:rsidR="005C58FD" w:rsidRPr="005C58FD" w:rsidRDefault="005C58FD" w:rsidP="0015136C">
      <w:pPr>
        <w:pStyle w:val="Prrafodelista"/>
        <w:numPr>
          <w:ilvl w:val="0"/>
          <w:numId w:val="23"/>
        </w:numPr>
        <w:spacing w:line="480" w:lineRule="auto"/>
        <w:rPr>
          <w:rFonts w:ascii="Times New Roman" w:hAnsi="Times New Roman"/>
        </w:rPr>
      </w:pPr>
      <w:r w:rsidRPr="005C58FD">
        <w:rPr>
          <w:rFonts w:ascii="Times New Roman" w:hAnsi="Times New Roman"/>
        </w:rPr>
        <w:t>Infraestructura Terrestre: Buenas conexiones con corregimientos y municipios circundantes, pero se requieren mejoras para el manejo eficiente de carga pesada.</w:t>
      </w:r>
    </w:p>
    <w:p w14:paraId="56F2C9CC" w14:textId="55FD08F6" w:rsidR="005C58FD" w:rsidRPr="00901E21" w:rsidRDefault="005C58FD" w:rsidP="00901E21">
      <w:pPr>
        <w:pStyle w:val="Prrafodelista"/>
        <w:numPr>
          <w:ilvl w:val="0"/>
          <w:numId w:val="23"/>
        </w:numPr>
        <w:spacing w:line="480" w:lineRule="auto"/>
        <w:rPr>
          <w:rFonts w:ascii="Times New Roman" w:hAnsi="Times New Roman"/>
        </w:rPr>
      </w:pPr>
      <w:r w:rsidRPr="005C58FD">
        <w:rPr>
          <w:rFonts w:ascii="Times New Roman" w:hAnsi="Times New Roman"/>
        </w:rPr>
        <w:t>Infraestructura Fluvial y Férrea: El puerto multimodal de Gamarra, junto con la recuperación de la línea férrea, incrementa el potencial de Aguachica para convertirse en un nodo logístico clave.</w:t>
      </w:r>
    </w:p>
    <w:p w14:paraId="7EC73F58" w14:textId="77777777" w:rsidR="005C58FD" w:rsidRPr="00901E21" w:rsidRDefault="005C58FD" w:rsidP="0015136C">
      <w:pPr>
        <w:spacing w:line="480" w:lineRule="auto"/>
        <w:rPr>
          <w:b/>
          <w:iCs/>
        </w:rPr>
      </w:pPr>
      <w:r w:rsidRPr="00901E21">
        <w:rPr>
          <w:b/>
          <w:iCs/>
        </w:rPr>
        <w:t>Perspectivas y Desafíos de Diferenciación</w:t>
      </w:r>
    </w:p>
    <w:p w14:paraId="7C2BAAD5" w14:textId="135DF838" w:rsidR="005C58FD" w:rsidRDefault="005C58FD" w:rsidP="0015136C">
      <w:pPr>
        <w:spacing w:line="480" w:lineRule="auto"/>
      </w:pPr>
      <w:r>
        <w:t>Aunque Aguachica presenta características distintivas que la hacen un candidato fuerte para una zona franca agroindustrial, existen desafíos relacionados con la falta de infraestructura especializada y de un entorno regulatorio que apoye el desarrollo de este tipo de iniciativas. Además, la ausencia de convenios formales entre el sector educativo y el sector productivo limita la capacidad de la región para formar la mano de obra calificada necesaria para operaciones industriales avanzadas. Superar estos desafíos requerirá una estrategia integral de desarrollo que incluya inversiones en infraestructura, políticas de incentivos para atraer a empresas y un enfoque en la creación de capacidades a través de alianzas público-privadas.</w:t>
      </w:r>
    </w:p>
    <w:p w14:paraId="3245B380" w14:textId="0282E87E" w:rsidR="005C58FD" w:rsidRPr="00470F1F" w:rsidRDefault="005C58FD" w:rsidP="0015136C">
      <w:pPr>
        <w:spacing w:line="480" w:lineRule="auto"/>
        <w:rPr>
          <w:b/>
        </w:rPr>
      </w:pPr>
      <w:r w:rsidRPr="00470F1F">
        <w:rPr>
          <w:b/>
        </w:rPr>
        <w:t>Calificación</w:t>
      </w:r>
      <w:r w:rsidR="00470F1F" w:rsidRPr="00470F1F">
        <w:rPr>
          <w:b/>
        </w:rPr>
        <w:t xml:space="preserve"> Global</w:t>
      </w:r>
      <w:r w:rsidRPr="00470F1F">
        <w:rPr>
          <w:b/>
        </w:rPr>
        <w:t>: 3.5/5</w:t>
      </w:r>
    </w:p>
    <w:p w14:paraId="37059847" w14:textId="08D5032B" w:rsidR="006652FD" w:rsidRPr="006652FD" w:rsidRDefault="005C58FD" w:rsidP="0015136C">
      <w:pPr>
        <w:spacing w:line="480" w:lineRule="auto"/>
      </w:pPr>
      <w:r>
        <w:lastRenderedPageBreak/>
        <w:t>Aguachica tiene un entorno propicio para la implementación de una zona franca agroindustrial gracias a su disponibilidad de recursos naturales, diversidad de cultivos y capacidad pecuaria. Además, su potencial de expansión de suelo y la calidad de las vías de transporte proporcionan una base sólida para la diferenciación. Sin embargo, se enfrenta a desafíos significativos en términos de infraestructura especializada y formación de capital humano</w:t>
      </w:r>
      <w:r w:rsidR="00470F1F">
        <w:t>.</w:t>
      </w:r>
    </w:p>
    <w:p w14:paraId="0E5C2D4C" w14:textId="0B2E4B73" w:rsidR="0093652A" w:rsidRPr="00901E21" w:rsidRDefault="00CA4797" w:rsidP="00901E21">
      <w:pPr>
        <w:pStyle w:val="Prrafodelista"/>
        <w:numPr>
          <w:ilvl w:val="0"/>
          <w:numId w:val="24"/>
        </w:numPr>
        <w:spacing w:line="480" w:lineRule="auto"/>
        <w:rPr>
          <w:rFonts w:ascii="Times New Roman" w:hAnsi="Times New Roman"/>
          <w:b/>
          <w:iCs/>
        </w:rPr>
      </w:pPr>
      <w:r w:rsidRPr="00901E21">
        <w:rPr>
          <w:rFonts w:ascii="Times New Roman" w:hAnsi="Times New Roman"/>
          <w:b/>
          <w:iCs/>
        </w:rPr>
        <w:t>Competencia en Sectores Específicos: Identificación de competidores directos en industrias específicas que se beneficiarán de la zona franca</w:t>
      </w:r>
      <w:r w:rsidR="00901E21">
        <w:rPr>
          <w:rFonts w:ascii="Times New Roman" w:hAnsi="Times New Roman"/>
          <w:b/>
          <w:iCs/>
        </w:rPr>
        <w:t>.</w:t>
      </w:r>
    </w:p>
    <w:p w14:paraId="27D6B251" w14:textId="7BEFFA5D" w:rsidR="00C4324D" w:rsidRPr="00C4324D" w:rsidRDefault="00C4324D" w:rsidP="0015136C">
      <w:pPr>
        <w:spacing w:line="480" w:lineRule="auto"/>
      </w:pPr>
      <w:r w:rsidRPr="00C4324D">
        <w:t>El análisis del entorno competitivo para Aguachica en relación con las zonas francas cercanas en el departamento del Cesar y la región Caribe revela limitaciones significativas. Aunque las ciudades de Barranquilla, Cartagena y Santa Marta cuentan con varias zonas francas especializadas en manufactura, comercio, servicios logísticos y turismo, Aguachica no tiene una zona franca propia que permita competir directamente en estos sectores. La distancia promedio a las zonas francas más cercanas representa un desafío para la interacción directa y limita la capacidad de atraer inversiones que puedan beneficiarse de los incentivos tributarios y aduaneros que ofrecen estos entornos.</w:t>
      </w:r>
    </w:p>
    <w:p w14:paraId="3CC38F42" w14:textId="1BFD3761" w:rsidR="00C4324D" w:rsidRDefault="00C4324D" w:rsidP="0015136C">
      <w:pPr>
        <w:spacing w:line="480" w:lineRule="auto"/>
      </w:pPr>
      <w:r w:rsidRPr="00C4324D">
        <w:t>Sin embargo, la posición estratégica de Aguachica y su proximidad a corredores logísticos importantes proporcionan oportunidades para vincularse con las zonas francas existentes en la región a través de alianzas estratégicas y proyectos de inversión conjunta. A corto plazo, la creación de infraestructura logística local y la promoción de incentivos regionales pueden mejorar la competitividad del municipio frente a sus vecinos.</w:t>
      </w:r>
    </w:p>
    <w:p w14:paraId="0A2EC370" w14:textId="77777777" w:rsidR="00C82F98" w:rsidRPr="00C82F98" w:rsidRDefault="00C82F98" w:rsidP="0015136C">
      <w:pPr>
        <w:spacing w:line="480" w:lineRule="auto"/>
        <w:rPr>
          <w:b/>
          <w:bCs/>
          <w:szCs w:val="18"/>
        </w:rPr>
      </w:pPr>
      <w:r w:rsidRPr="00C82F98">
        <w:rPr>
          <w:b/>
          <w:bCs/>
          <w:szCs w:val="18"/>
        </w:rPr>
        <w:t>Calificación: 2.5/5</w:t>
      </w:r>
    </w:p>
    <w:p w14:paraId="355BB5E9" w14:textId="77777777" w:rsidR="00C4324D" w:rsidRPr="00901E21" w:rsidRDefault="00C4324D" w:rsidP="0015136C">
      <w:pPr>
        <w:spacing w:line="480" w:lineRule="auto"/>
        <w:ind w:firstLine="720"/>
        <w:rPr>
          <w:b/>
          <w:bCs/>
          <w:iCs/>
          <w:szCs w:val="18"/>
        </w:rPr>
      </w:pPr>
      <w:r w:rsidRPr="00901E21">
        <w:rPr>
          <w:b/>
          <w:bCs/>
          <w:iCs/>
          <w:szCs w:val="18"/>
        </w:rPr>
        <w:t>Puntos a considerar para la calificación:</w:t>
      </w:r>
    </w:p>
    <w:p w14:paraId="37FFCE8A" w14:textId="77777777" w:rsidR="00C4324D" w:rsidRPr="00C82F98" w:rsidRDefault="00C4324D" w:rsidP="0015136C">
      <w:pPr>
        <w:pStyle w:val="Prrafodelista"/>
        <w:numPr>
          <w:ilvl w:val="0"/>
          <w:numId w:val="24"/>
        </w:numPr>
        <w:spacing w:line="480" w:lineRule="auto"/>
        <w:rPr>
          <w:rFonts w:ascii="Times New Roman" w:hAnsi="Times New Roman"/>
          <w:bCs/>
          <w:szCs w:val="18"/>
        </w:rPr>
      </w:pPr>
      <w:r w:rsidRPr="00C82F98">
        <w:rPr>
          <w:rFonts w:ascii="Times New Roman" w:hAnsi="Times New Roman"/>
          <w:bCs/>
          <w:szCs w:val="18"/>
        </w:rPr>
        <w:lastRenderedPageBreak/>
        <w:t>Desventaja geográfica: La distancia con las principales zonas francas limita la interacción y el aprovechamiento de los beneficios de estas áreas.</w:t>
      </w:r>
    </w:p>
    <w:p w14:paraId="6BA34578" w14:textId="77777777" w:rsidR="00C4324D" w:rsidRPr="00C82F98" w:rsidRDefault="00C4324D" w:rsidP="0015136C">
      <w:pPr>
        <w:pStyle w:val="Prrafodelista"/>
        <w:numPr>
          <w:ilvl w:val="0"/>
          <w:numId w:val="24"/>
        </w:numPr>
        <w:spacing w:line="480" w:lineRule="auto"/>
        <w:rPr>
          <w:rFonts w:ascii="Times New Roman" w:hAnsi="Times New Roman"/>
          <w:bCs/>
          <w:szCs w:val="18"/>
        </w:rPr>
      </w:pPr>
      <w:r w:rsidRPr="00C82F98">
        <w:rPr>
          <w:rFonts w:ascii="Times New Roman" w:hAnsi="Times New Roman"/>
          <w:bCs/>
          <w:szCs w:val="18"/>
        </w:rPr>
        <w:t>Ausencia de infraestructura: Falta de infraestructura especializada y conectividad local que soporte actividades económicas de alto valor agregado.</w:t>
      </w:r>
    </w:p>
    <w:p w14:paraId="62ACF8B3" w14:textId="1661879F" w:rsidR="00901E21" w:rsidRDefault="00C4324D" w:rsidP="006C3145">
      <w:pPr>
        <w:pStyle w:val="Prrafodelista"/>
        <w:numPr>
          <w:ilvl w:val="0"/>
          <w:numId w:val="24"/>
        </w:numPr>
        <w:spacing w:line="480" w:lineRule="auto"/>
        <w:rPr>
          <w:rFonts w:ascii="Times New Roman" w:hAnsi="Times New Roman"/>
          <w:bCs/>
          <w:szCs w:val="18"/>
        </w:rPr>
      </w:pPr>
      <w:r w:rsidRPr="00C82F98">
        <w:rPr>
          <w:rFonts w:ascii="Times New Roman" w:hAnsi="Times New Roman"/>
          <w:bCs/>
          <w:szCs w:val="18"/>
        </w:rPr>
        <w:t xml:space="preserve">Oportunidad a futuro: </w:t>
      </w:r>
      <w:r w:rsidR="00C82F98">
        <w:rPr>
          <w:rFonts w:ascii="Times New Roman" w:hAnsi="Times New Roman"/>
          <w:bCs/>
          <w:szCs w:val="18"/>
        </w:rPr>
        <w:t>E</w:t>
      </w:r>
      <w:r w:rsidRPr="00C82F98">
        <w:rPr>
          <w:rFonts w:ascii="Times New Roman" w:hAnsi="Times New Roman"/>
          <w:bCs/>
          <w:szCs w:val="18"/>
        </w:rPr>
        <w:t>l posicionamiento logístico de Aguachica ofrecen un punto de partida para estrategias de integración y diferenciación</w:t>
      </w:r>
    </w:p>
    <w:p w14:paraId="3AEDDB2A" w14:textId="77777777" w:rsidR="00FA319E" w:rsidRPr="006C3145" w:rsidRDefault="00FA319E" w:rsidP="00FA319E">
      <w:pPr>
        <w:pStyle w:val="Prrafodelista"/>
        <w:spacing w:line="480" w:lineRule="auto"/>
        <w:ind w:left="1429" w:firstLine="0"/>
        <w:rPr>
          <w:rFonts w:ascii="Times New Roman" w:hAnsi="Times New Roman"/>
          <w:bCs/>
          <w:szCs w:val="18"/>
        </w:rPr>
      </w:pPr>
    </w:p>
    <w:p w14:paraId="562B41CD" w14:textId="0A1133F4" w:rsidR="005E1BBA" w:rsidRDefault="005E1BBA" w:rsidP="0015136C">
      <w:pPr>
        <w:pStyle w:val="Ttulo3"/>
        <w:spacing w:line="480" w:lineRule="auto"/>
      </w:pPr>
      <w:bookmarkStart w:id="125" w:name="_Toc183783059"/>
      <w:r>
        <w:t>Matriz de evaluación de factores internos.</w:t>
      </w:r>
      <w:bookmarkEnd w:id="125"/>
    </w:p>
    <w:p w14:paraId="7ED9CC1F" w14:textId="77777777" w:rsidR="00FA319E" w:rsidRPr="00FA319E" w:rsidRDefault="00FA319E" w:rsidP="00FA319E"/>
    <w:p w14:paraId="5387D2AA" w14:textId="1FC83A6C" w:rsidR="00901E21" w:rsidRPr="00901E21" w:rsidRDefault="00901E21" w:rsidP="00901E21">
      <w:pPr>
        <w:pStyle w:val="Descripcin"/>
        <w:spacing w:after="0"/>
        <w:rPr>
          <w:b/>
          <w:bCs/>
          <w:i w:val="0"/>
          <w:iCs w:val="0"/>
          <w:color w:val="auto"/>
          <w:sz w:val="24"/>
          <w:szCs w:val="22"/>
        </w:rPr>
      </w:pPr>
      <w:bookmarkStart w:id="126" w:name="_Toc178689030"/>
      <w:bookmarkStart w:id="127" w:name="_Toc183783103"/>
      <w:r w:rsidRPr="00901E21">
        <w:rPr>
          <w:b/>
          <w:bCs/>
          <w:i w:val="0"/>
          <w:iCs w:val="0"/>
          <w:color w:val="auto"/>
          <w:sz w:val="24"/>
          <w:szCs w:val="22"/>
        </w:rPr>
        <w:t xml:space="preserve">Tabla </w:t>
      </w:r>
      <w:r w:rsidRPr="00901E21">
        <w:rPr>
          <w:b/>
          <w:bCs/>
          <w:i w:val="0"/>
          <w:iCs w:val="0"/>
          <w:color w:val="auto"/>
          <w:sz w:val="24"/>
          <w:szCs w:val="22"/>
        </w:rPr>
        <w:fldChar w:fldCharType="begin"/>
      </w:r>
      <w:r w:rsidRPr="00901E21">
        <w:rPr>
          <w:b/>
          <w:bCs/>
          <w:i w:val="0"/>
          <w:iCs w:val="0"/>
          <w:color w:val="auto"/>
          <w:sz w:val="24"/>
          <w:szCs w:val="22"/>
        </w:rPr>
        <w:instrText xml:space="preserve"> SEQ Tabla \* ARABIC </w:instrText>
      </w:r>
      <w:r w:rsidRPr="00901E21">
        <w:rPr>
          <w:b/>
          <w:bCs/>
          <w:i w:val="0"/>
          <w:iCs w:val="0"/>
          <w:color w:val="auto"/>
          <w:sz w:val="24"/>
          <w:szCs w:val="22"/>
        </w:rPr>
        <w:fldChar w:fldCharType="separate"/>
      </w:r>
      <w:r>
        <w:rPr>
          <w:b/>
          <w:bCs/>
          <w:i w:val="0"/>
          <w:iCs w:val="0"/>
          <w:noProof/>
          <w:color w:val="auto"/>
          <w:sz w:val="24"/>
          <w:szCs w:val="22"/>
        </w:rPr>
        <w:t>15</w:t>
      </w:r>
      <w:r w:rsidRPr="00901E21">
        <w:rPr>
          <w:b/>
          <w:bCs/>
          <w:i w:val="0"/>
          <w:iCs w:val="0"/>
          <w:color w:val="auto"/>
          <w:sz w:val="24"/>
          <w:szCs w:val="22"/>
        </w:rPr>
        <w:fldChar w:fldCharType="end"/>
      </w:r>
      <w:r w:rsidRPr="00901E21">
        <w:rPr>
          <w:b/>
          <w:bCs/>
          <w:i w:val="0"/>
          <w:iCs w:val="0"/>
          <w:color w:val="auto"/>
          <w:sz w:val="24"/>
          <w:szCs w:val="22"/>
        </w:rPr>
        <w:t>:</w:t>
      </w:r>
      <w:bookmarkEnd w:id="126"/>
      <w:bookmarkEnd w:id="127"/>
      <w:r w:rsidRPr="00901E21">
        <w:rPr>
          <w:b/>
          <w:bCs/>
          <w:i w:val="0"/>
          <w:iCs w:val="0"/>
          <w:color w:val="auto"/>
          <w:sz w:val="24"/>
          <w:szCs w:val="22"/>
        </w:rPr>
        <w:t xml:space="preserve"> </w:t>
      </w:r>
    </w:p>
    <w:p w14:paraId="5102BB75" w14:textId="0686A4AC" w:rsidR="00901E21" w:rsidRPr="006C3145" w:rsidRDefault="00901E21" w:rsidP="00901E21">
      <w:pPr>
        <w:pStyle w:val="Descripcin"/>
        <w:spacing w:after="0"/>
        <w:rPr>
          <w:i w:val="0"/>
          <w:iCs w:val="0"/>
          <w:color w:val="auto"/>
          <w:sz w:val="24"/>
          <w:szCs w:val="22"/>
        </w:rPr>
      </w:pPr>
      <w:bookmarkStart w:id="128" w:name="_Toc178689031"/>
      <w:bookmarkStart w:id="129" w:name="_Toc183783104"/>
      <w:r w:rsidRPr="006C3145">
        <w:rPr>
          <w:i w:val="0"/>
          <w:iCs w:val="0"/>
          <w:color w:val="auto"/>
          <w:sz w:val="24"/>
          <w:szCs w:val="22"/>
        </w:rPr>
        <w:t>Matriz de factores internos</w:t>
      </w:r>
      <w:bookmarkEnd w:id="128"/>
      <w:bookmarkEnd w:id="129"/>
    </w:p>
    <w:p w14:paraId="76680FFB" w14:textId="77777777" w:rsidR="00901E21" w:rsidRPr="00901E21" w:rsidRDefault="00901E21" w:rsidP="00901E21"/>
    <w:tbl>
      <w:tblPr>
        <w:tblW w:w="8784"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547"/>
        <w:gridCol w:w="2693"/>
        <w:gridCol w:w="1394"/>
        <w:gridCol w:w="874"/>
        <w:gridCol w:w="1276"/>
      </w:tblGrid>
      <w:tr w:rsidR="0067572C" w:rsidRPr="00A36EE9" w14:paraId="3FA97CF9" w14:textId="77777777" w:rsidTr="00901E21">
        <w:trPr>
          <w:trHeight w:val="300"/>
          <w:jc w:val="center"/>
        </w:trPr>
        <w:tc>
          <w:tcPr>
            <w:tcW w:w="8784" w:type="dxa"/>
            <w:gridSpan w:val="5"/>
            <w:tcBorders>
              <w:top w:val="single" w:sz="4" w:space="0" w:color="auto"/>
              <w:bottom w:val="single" w:sz="4" w:space="0" w:color="auto"/>
            </w:tcBorders>
            <w:shd w:val="clear" w:color="auto" w:fill="auto"/>
            <w:noWrap/>
            <w:vAlign w:val="bottom"/>
            <w:hideMark/>
          </w:tcPr>
          <w:p w14:paraId="5C6C3E93" w14:textId="7A2D1323"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Factores Internos</w:t>
            </w:r>
          </w:p>
        </w:tc>
      </w:tr>
      <w:tr w:rsidR="005E1BBA" w:rsidRPr="00A36EE9" w14:paraId="7FF82A17" w14:textId="77777777" w:rsidTr="00901E21">
        <w:trPr>
          <w:trHeight w:val="900"/>
          <w:jc w:val="center"/>
        </w:trPr>
        <w:tc>
          <w:tcPr>
            <w:tcW w:w="2547" w:type="dxa"/>
            <w:tcBorders>
              <w:top w:val="single" w:sz="4" w:space="0" w:color="auto"/>
              <w:bottom w:val="single" w:sz="4" w:space="0" w:color="auto"/>
            </w:tcBorders>
            <w:shd w:val="clear" w:color="auto" w:fill="auto"/>
            <w:vAlign w:val="center"/>
            <w:hideMark/>
          </w:tcPr>
          <w:p w14:paraId="642C21B0"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Factor</w:t>
            </w:r>
          </w:p>
        </w:tc>
        <w:tc>
          <w:tcPr>
            <w:tcW w:w="2693" w:type="dxa"/>
            <w:tcBorders>
              <w:top w:val="single" w:sz="4" w:space="0" w:color="auto"/>
              <w:bottom w:val="single" w:sz="4" w:space="0" w:color="auto"/>
            </w:tcBorders>
            <w:shd w:val="clear" w:color="auto" w:fill="auto"/>
            <w:vAlign w:val="center"/>
            <w:hideMark/>
          </w:tcPr>
          <w:p w14:paraId="0C1556D9"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Descripción</w:t>
            </w:r>
          </w:p>
        </w:tc>
        <w:tc>
          <w:tcPr>
            <w:tcW w:w="1418" w:type="dxa"/>
            <w:tcBorders>
              <w:top w:val="single" w:sz="4" w:space="0" w:color="auto"/>
              <w:bottom w:val="single" w:sz="4" w:space="0" w:color="auto"/>
            </w:tcBorders>
            <w:shd w:val="clear" w:color="auto" w:fill="auto"/>
            <w:vAlign w:val="center"/>
            <w:hideMark/>
          </w:tcPr>
          <w:p w14:paraId="29B18A9D"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Peso Relativo (%)</w:t>
            </w:r>
          </w:p>
        </w:tc>
        <w:tc>
          <w:tcPr>
            <w:tcW w:w="850" w:type="dxa"/>
            <w:tcBorders>
              <w:top w:val="single" w:sz="4" w:space="0" w:color="auto"/>
              <w:bottom w:val="single" w:sz="4" w:space="0" w:color="auto"/>
            </w:tcBorders>
            <w:shd w:val="clear" w:color="auto" w:fill="auto"/>
            <w:vAlign w:val="center"/>
            <w:hideMark/>
          </w:tcPr>
          <w:p w14:paraId="1B1F8354"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Puntaje (1-5)</w:t>
            </w:r>
          </w:p>
        </w:tc>
        <w:tc>
          <w:tcPr>
            <w:tcW w:w="1276" w:type="dxa"/>
            <w:tcBorders>
              <w:top w:val="single" w:sz="4" w:space="0" w:color="auto"/>
              <w:bottom w:val="single" w:sz="4" w:space="0" w:color="auto"/>
            </w:tcBorders>
            <w:shd w:val="clear" w:color="auto" w:fill="auto"/>
            <w:vAlign w:val="center"/>
            <w:hideMark/>
          </w:tcPr>
          <w:p w14:paraId="22FDDC46"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Puntuación Ponderada</w:t>
            </w:r>
          </w:p>
        </w:tc>
      </w:tr>
      <w:tr w:rsidR="0067572C" w:rsidRPr="00A36EE9" w14:paraId="29A904B3" w14:textId="77777777" w:rsidTr="00901E21">
        <w:trPr>
          <w:trHeight w:val="600"/>
          <w:jc w:val="center"/>
        </w:trPr>
        <w:tc>
          <w:tcPr>
            <w:tcW w:w="5240" w:type="dxa"/>
            <w:gridSpan w:val="2"/>
            <w:tcBorders>
              <w:top w:val="single" w:sz="4" w:space="0" w:color="auto"/>
            </w:tcBorders>
            <w:shd w:val="clear" w:color="auto" w:fill="auto"/>
            <w:vAlign w:val="center"/>
            <w:hideMark/>
          </w:tcPr>
          <w:p w14:paraId="6E73AB30"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Capacidad Infraestructural</w:t>
            </w:r>
          </w:p>
        </w:tc>
        <w:tc>
          <w:tcPr>
            <w:tcW w:w="2268" w:type="dxa"/>
            <w:gridSpan w:val="2"/>
            <w:tcBorders>
              <w:top w:val="single" w:sz="4" w:space="0" w:color="auto"/>
            </w:tcBorders>
            <w:shd w:val="clear" w:color="auto" w:fill="auto"/>
            <w:vAlign w:val="center"/>
            <w:hideMark/>
          </w:tcPr>
          <w:p w14:paraId="667B53EF"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36%</w:t>
            </w:r>
          </w:p>
        </w:tc>
        <w:tc>
          <w:tcPr>
            <w:tcW w:w="1276" w:type="dxa"/>
            <w:tcBorders>
              <w:top w:val="single" w:sz="4" w:space="0" w:color="auto"/>
            </w:tcBorders>
            <w:shd w:val="clear" w:color="auto" w:fill="auto"/>
            <w:vAlign w:val="center"/>
            <w:hideMark/>
          </w:tcPr>
          <w:p w14:paraId="244FEFA3" w14:textId="77777777" w:rsidR="0067572C" w:rsidRPr="00A36EE9" w:rsidRDefault="0067572C" w:rsidP="00901E21">
            <w:pPr>
              <w:spacing w:after="0" w:line="240" w:lineRule="auto"/>
              <w:ind w:firstLine="0"/>
              <w:jc w:val="right"/>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 xml:space="preserve">1,1 </w:t>
            </w:r>
          </w:p>
        </w:tc>
      </w:tr>
      <w:tr w:rsidR="005E1BBA" w:rsidRPr="00A36EE9" w14:paraId="4DAE0798" w14:textId="77777777" w:rsidTr="00901E21">
        <w:trPr>
          <w:trHeight w:val="900"/>
          <w:jc w:val="center"/>
        </w:trPr>
        <w:tc>
          <w:tcPr>
            <w:tcW w:w="2547" w:type="dxa"/>
            <w:shd w:val="clear" w:color="auto" w:fill="auto"/>
            <w:vAlign w:val="center"/>
            <w:hideMark/>
          </w:tcPr>
          <w:p w14:paraId="5426219D"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Calidad de las Vías de Transporte</w:t>
            </w:r>
          </w:p>
        </w:tc>
        <w:tc>
          <w:tcPr>
            <w:tcW w:w="2693" w:type="dxa"/>
            <w:shd w:val="clear" w:color="auto" w:fill="auto"/>
            <w:vAlign w:val="center"/>
            <w:hideMark/>
          </w:tcPr>
          <w:p w14:paraId="55E47507"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Estado y capacidad de carreteras, acceso a puertos y aeropuertos</w:t>
            </w:r>
          </w:p>
        </w:tc>
        <w:tc>
          <w:tcPr>
            <w:tcW w:w="1418" w:type="dxa"/>
            <w:shd w:val="clear" w:color="auto" w:fill="auto"/>
            <w:vAlign w:val="center"/>
            <w:hideMark/>
          </w:tcPr>
          <w:p w14:paraId="386A6416"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14%</w:t>
            </w:r>
          </w:p>
        </w:tc>
        <w:tc>
          <w:tcPr>
            <w:tcW w:w="850" w:type="dxa"/>
            <w:shd w:val="clear" w:color="auto" w:fill="auto"/>
            <w:vAlign w:val="center"/>
            <w:hideMark/>
          </w:tcPr>
          <w:p w14:paraId="648E71F6"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4</w:t>
            </w:r>
          </w:p>
        </w:tc>
        <w:tc>
          <w:tcPr>
            <w:tcW w:w="1276" w:type="dxa"/>
            <w:shd w:val="clear" w:color="auto" w:fill="auto"/>
            <w:vAlign w:val="center"/>
            <w:hideMark/>
          </w:tcPr>
          <w:p w14:paraId="47B6DFA1"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0,56</w:t>
            </w:r>
          </w:p>
        </w:tc>
      </w:tr>
      <w:tr w:rsidR="005E1BBA" w:rsidRPr="00A36EE9" w14:paraId="78AA447F" w14:textId="77777777" w:rsidTr="00901E21">
        <w:trPr>
          <w:trHeight w:val="900"/>
          <w:jc w:val="center"/>
        </w:trPr>
        <w:tc>
          <w:tcPr>
            <w:tcW w:w="2547" w:type="dxa"/>
            <w:shd w:val="clear" w:color="auto" w:fill="auto"/>
            <w:vAlign w:val="center"/>
            <w:hideMark/>
          </w:tcPr>
          <w:p w14:paraId="28661F79"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Disponibilidad de Servicios Básicos</w:t>
            </w:r>
          </w:p>
        </w:tc>
        <w:tc>
          <w:tcPr>
            <w:tcW w:w="2693" w:type="dxa"/>
            <w:shd w:val="clear" w:color="auto" w:fill="auto"/>
            <w:vAlign w:val="center"/>
            <w:hideMark/>
          </w:tcPr>
          <w:p w14:paraId="70D222D8"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Agua, electricidad, internet y servicios de telecomunicaciones</w:t>
            </w:r>
          </w:p>
        </w:tc>
        <w:tc>
          <w:tcPr>
            <w:tcW w:w="1418" w:type="dxa"/>
            <w:shd w:val="clear" w:color="auto" w:fill="auto"/>
            <w:vAlign w:val="center"/>
            <w:hideMark/>
          </w:tcPr>
          <w:p w14:paraId="488FBA05"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14%</w:t>
            </w:r>
          </w:p>
        </w:tc>
        <w:tc>
          <w:tcPr>
            <w:tcW w:w="850" w:type="dxa"/>
            <w:shd w:val="clear" w:color="auto" w:fill="auto"/>
            <w:vAlign w:val="center"/>
            <w:hideMark/>
          </w:tcPr>
          <w:p w14:paraId="4CE02DE7"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2</w:t>
            </w:r>
          </w:p>
        </w:tc>
        <w:tc>
          <w:tcPr>
            <w:tcW w:w="1276" w:type="dxa"/>
            <w:shd w:val="clear" w:color="auto" w:fill="auto"/>
            <w:vAlign w:val="center"/>
            <w:hideMark/>
          </w:tcPr>
          <w:p w14:paraId="4F4DD9D3"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0,28</w:t>
            </w:r>
          </w:p>
        </w:tc>
      </w:tr>
      <w:tr w:rsidR="005E1BBA" w:rsidRPr="00A36EE9" w14:paraId="596B759F" w14:textId="77777777" w:rsidTr="00901E21">
        <w:trPr>
          <w:trHeight w:val="600"/>
          <w:jc w:val="center"/>
        </w:trPr>
        <w:tc>
          <w:tcPr>
            <w:tcW w:w="2547" w:type="dxa"/>
            <w:shd w:val="clear" w:color="auto" w:fill="auto"/>
            <w:vAlign w:val="center"/>
            <w:hideMark/>
          </w:tcPr>
          <w:p w14:paraId="3712BBF7"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Capacidad Logística</w:t>
            </w:r>
          </w:p>
        </w:tc>
        <w:tc>
          <w:tcPr>
            <w:tcW w:w="2693" w:type="dxa"/>
            <w:shd w:val="clear" w:color="auto" w:fill="auto"/>
            <w:vAlign w:val="center"/>
            <w:hideMark/>
          </w:tcPr>
          <w:p w14:paraId="64C1C812"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Centros de distribución y transporte eficiente</w:t>
            </w:r>
          </w:p>
        </w:tc>
        <w:tc>
          <w:tcPr>
            <w:tcW w:w="1418" w:type="dxa"/>
            <w:shd w:val="clear" w:color="auto" w:fill="auto"/>
            <w:vAlign w:val="center"/>
            <w:hideMark/>
          </w:tcPr>
          <w:p w14:paraId="79255678"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8%</w:t>
            </w:r>
          </w:p>
        </w:tc>
        <w:tc>
          <w:tcPr>
            <w:tcW w:w="850" w:type="dxa"/>
            <w:shd w:val="clear" w:color="auto" w:fill="auto"/>
            <w:vAlign w:val="center"/>
            <w:hideMark/>
          </w:tcPr>
          <w:p w14:paraId="28732412"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3</w:t>
            </w:r>
          </w:p>
        </w:tc>
        <w:tc>
          <w:tcPr>
            <w:tcW w:w="1276" w:type="dxa"/>
            <w:shd w:val="clear" w:color="auto" w:fill="auto"/>
            <w:vAlign w:val="center"/>
            <w:hideMark/>
          </w:tcPr>
          <w:p w14:paraId="643B7E5C"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0,24</w:t>
            </w:r>
          </w:p>
        </w:tc>
      </w:tr>
      <w:tr w:rsidR="0067572C" w:rsidRPr="00A36EE9" w14:paraId="2FEA0348" w14:textId="77777777" w:rsidTr="00901E21">
        <w:trPr>
          <w:trHeight w:val="300"/>
          <w:jc w:val="center"/>
        </w:trPr>
        <w:tc>
          <w:tcPr>
            <w:tcW w:w="5240" w:type="dxa"/>
            <w:gridSpan w:val="2"/>
            <w:shd w:val="clear" w:color="auto" w:fill="auto"/>
            <w:vAlign w:val="center"/>
            <w:hideMark/>
          </w:tcPr>
          <w:p w14:paraId="0A8C4BAD"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Capital Humano</w:t>
            </w:r>
          </w:p>
        </w:tc>
        <w:tc>
          <w:tcPr>
            <w:tcW w:w="2268" w:type="dxa"/>
            <w:gridSpan w:val="2"/>
            <w:shd w:val="clear" w:color="auto" w:fill="auto"/>
            <w:vAlign w:val="center"/>
            <w:hideMark/>
          </w:tcPr>
          <w:p w14:paraId="433FE970"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30%</w:t>
            </w:r>
          </w:p>
        </w:tc>
        <w:tc>
          <w:tcPr>
            <w:tcW w:w="1276" w:type="dxa"/>
            <w:shd w:val="clear" w:color="auto" w:fill="auto"/>
            <w:vAlign w:val="center"/>
            <w:hideMark/>
          </w:tcPr>
          <w:p w14:paraId="05EB535E" w14:textId="77777777" w:rsidR="0067572C" w:rsidRPr="00A36EE9" w:rsidRDefault="0067572C" w:rsidP="00901E21">
            <w:pPr>
              <w:spacing w:after="0" w:line="240" w:lineRule="auto"/>
              <w:ind w:firstLine="0"/>
              <w:jc w:val="right"/>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0,94</w:t>
            </w:r>
          </w:p>
        </w:tc>
      </w:tr>
      <w:tr w:rsidR="005E1BBA" w:rsidRPr="00A36EE9" w14:paraId="277C6E55" w14:textId="77777777" w:rsidTr="00901E21">
        <w:trPr>
          <w:trHeight w:val="600"/>
          <w:jc w:val="center"/>
        </w:trPr>
        <w:tc>
          <w:tcPr>
            <w:tcW w:w="2547" w:type="dxa"/>
            <w:shd w:val="clear" w:color="auto" w:fill="auto"/>
            <w:vAlign w:val="center"/>
            <w:hideMark/>
          </w:tcPr>
          <w:p w14:paraId="3F8CBB98"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Tasa de Desempleo</w:t>
            </w:r>
          </w:p>
        </w:tc>
        <w:tc>
          <w:tcPr>
            <w:tcW w:w="2693" w:type="dxa"/>
            <w:shd w:val="clear" w:color="auto" w:fill="auto"/>
            <w:vAlign w:val="center"/>
            <w:hideMark/>
          </w:tcPr>
          <w:p w14:paraId="15059947"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Disponibilidad de mano de obra local</w:t>
            </w:r>
          </w:p>
        </w:tc>
        <w:tc>
          <w:tcPr>
            <w:tcW w:w="1418" w:type="dxa"/>
            <w:shd w:val="clear" w:color="auto" w:fill="auto"/>
            <w:vAlign w:val="center"/>
            <w:hideMark/>
          </w:tcPr>
          <w:p w14:paraId="12D5F138"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6%</w:t>
            </w:r>
          </w:p>
        </w:tc>
        <w:tc>
          <w:tcPr>
            <w:tcW w:w="850" w:type="dxa"/>
            <w:shd w:val="clear" w:color="auto" w:fill="auto"/>
            <w:vAlign w:val="center"/>
            <w:hideMark/>
          </w:tcPr>
          <w:p w14:paraId="34939C34"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2,5</w:t>
            </w:r>
          </w:p>
        </w:tc>
        <w:tc>
          <w:tcPr>
            <w:tcW w:w="1276" w:type="dxa"/>
            <w:shd w:val="clear" w:color="auto" w:fill="auto"/>
            <w:vAlign w:val="center"/>
            <w:hideMark/>
          </w:tcPr>
          <w:p w14:paraId="1DDC4CD6"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0,15</w:t>
            </w:r>
          </w:p>
        </w:tc>
      </w:tr>
      <w:tr w:rsidR="005E1BBA" w:rsidRPr="00A36EE9" w14:paraId="5B3D61D1" w14:textId="77777777" w:rsidTr="00901E21">
        <w:trPr>
          <w:trHeight w:val="900"/>
          <w:jc w:val="center"/>
        </w:trPr>
        <w:tc>
          <w:tcPr>
            <w:tcW w:w="2547" w:type="dxa"/>
            <w:shd w:val="clear" w:color="auto" w:fill="auto"/>
            <w:vAlign w:val="center"/>
            <w:hideMark/>
          </w:tcPr>
          <w:p w14:paraId="6BA17C62"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Nivel de Educación</w:t>
            </w:r>
          </w:p>
        </w:tc>
        <w:tc>
          <w:tcPr>
            <w:tcW w:w="2693" w:type="dxa"/>
            <w:shd w:val="clear" w:color="auto" w:fill="auto"/>
            <w:vAlign w:val="center"/>
            <w:hideMark/>
          </w:tcPr>
          <w:p w14:paraId="2D2D9CB6"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Proporción de la población con educación técnica, tecnológica y universitaria</w:t>
            </w:r>
          </w:p>
        </w:tc>
        <w:tc>
          <w:tcPr>
            <w:tcW w:w="1418" w:type="dxa"/>
            <w:shd w:val="clear" w:color="auto" w:fill="auto"/>
            <w:vAlign w:val="center"/>
            <w:hideMark/>
          </w:tcPr>
          <w:p w14:paraId="49E1B52D"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10%</w:t>
            </w:r>
          </w:p>
        </w:tc>
        <w:tc>
          <w:tcPr>
            <w:tcW w:w="850" w:type="dxa"/>
            <w:shd w:val="clear" w:color="auto" w:fill="auto"/>
            <w:vAlign w:val="center"/>
            <w:hideMark/>
          </w:tcPr>
          <w:p w14:paraId="72F06EFD"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2</w:t>
            </w:r>
          </w:p>
        </w:tc>
        <w:tc>
          <w:tcPr>
            <w:tcW w:w="1276" w:type="dxa"/>
            <w:shd w:val="clear" w:color="auto" w:fill="auto"/>
            <w:vAlign w:val="center"/>
            <w:hideMark/>
          </w:tcPr>
          <w:p w14:paraId="0CDED27B"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0,2</w:t>
            </w:r>
          </w:p>
        </w:tc>
      </w:tr>
      <w:tr w:rsidR="005E1BBA" w:rsidRPr="00A36EE9" w14:paraId="00D152F0" w14:textId="77777777" w:rsidTr="00901E21">
        <w:trPr>
          <w:trHeight w:val="600"/>
          <w:jc w:val="center"/>
        </w:trPr>
        <w:tc>
          <w:tcPr>
            <w:tcW w:w="2547" w:type="dxa"/>
            <w:shd w:val="clear" w:color="auto" w:fill="auto"/>
            <w:vAlign w:val="center"/>
            <w:hideMark/>
          </w:tcPr>
          <w:p w14:paraId="5CDE8469"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Programas de Capacitación</w:t>
            </w:r>
          </w:p>
        </w:tc>
        <w:tc>
          <w:tcPr>
            <w:tcW w:w="2693" w:type="dxa"/>
            <w:shd w:val="clear" w:color="auto" w:fill="auto"/>
            <w:vAlign w:val="center"/>
            <w:hideMark/>
          </w:tcPr>
          <w:p w14:paraId="5F8AA927"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Programas de formación profesional y técnica</w:t>
            </w:r>
          </w:p>
        </w:tc>
        <w:tc>
          <w:tcPr>
            <w:tcW w:w="1418" w:type="dxa"/>
            <w:shd w:val="clear" w:color="auto" w:fill="auto"/>
            <w:vAlign w:val="center"/>
            <w:hideMark/>
          </w:tcPr>
          <w:p w14:paraId="6588246B"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6%</w:t>
            </w:r>
          </w:p>
        </w:tc>
        <w:tc>
          <w:tcPr>
            <w:tcW w:w="850" w:type="dxa"/>
            <w:shd w:val="clear" w:color="auto" w:fill="auto"/>
            <w:vAlign w:val="center"/>
            <w:hideMark/>
          </w:tcPr>
          <w:p w14:paraId="32EA0240"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4,5</w:t>
            </w:r>
          </w:p>
        </w:tc>
        <w:tc>
          <w:tcPr>
            <w:tcW w:w="1276" w:type="dxa"/>
            <w:shd w:val="clear" w:color="auto" w:fill="auto"/>
            <w:vAlign w:val="center"/>
            <w:hideMark/>
          </w:tcPr>
          <w:p w14:paraId="566521DF"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0,27</w:t>
            </w:r>
          </w:p>
        </w:tc>
      </w:tr>
      <w:tr w:rsidR="005E1BBA" w:rsidRPr="00A36EE9" w14:paraId="51B54941" w14:textId="77777777" w:rsidTr="00901E21">
        <w:trPr>
          <w:trHeight w:val="900"/>
          <w:jc w:val="center"/>
        </w:trPr>
        <w:tc>
          <w:tcPr>
            <w:tcW w:w="2547" w:type="dxa"/>
            <w:shd w:val="clear" w:color="auto" w:fill="auto"/>
            <w:vAlign w:val="center"/>
            <w:hideMark/>
          </w:tcPr>
          <w:p w14:paraId="79677C61"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lastRenderedPageBreak/>
              <w:t>Habilidades Específicas</w:t>
            </w:r>
          </w:p>
        </w:tc>
        <w:tc>
          <w:tcPr>
            <w:tcW w:w="2693" w:type="dxa"/>
            <w:shd w:val="clear" w:color="auto" w:fill="auto"/>
            <w:vAlign w:val="center"/>
            <w:hideMark/>
          </w:tcPr>
          <w:p w14:paraId="121B821D"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Habilidades locales en sectores de logística y manufactura</w:t>
            </w:r>
          </w:p>
        </w:tc>
        <w:tc>
          <w:tcPr>
            <w:tcW w:w="1418" w:type="dxa"/>
            <w:shd w:val="clear" w:color="auto" w:fill="auto"/>
            <w:vAlign w:val="center"/>
            <w:hideMark/>
          </w:tcPr>
          <w:p w14:paraId="445B4EB4"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8%</w:t>
            </w:r>
          </w:p>
        </w:tc>
        <w:tc>
          <w:tcPr>
            <w:tcW w:w="850" w:type="dxa"/>
            <w:shd w:val="clear" w:color="auto" w:fill="auto"/>
            <w:vAlign w:val="center"/>
            <w:hideMark/>
          </w:tcPr>
          <w:p w14:paraId="7DE723C2"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4</w:t>
            </w:r>
          </w:p>
        </w:tc>
        <w:tc>
          <w:tcPr>
            <w:tcW w:w="1276" w:type="dxa"/>
            <w:shd w:val="clear" w:color="auto" w:fill="auto"/>
            <w:vAlign w:val="center"/>
            <w:hideMark/>
          </w:tcPr>
          <w:p w14:paraId="2753B78C"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0,32</w:t>
            </w:r>
          </w:p>
        </w:tc>
      </w:tr>
      <w:tr w:rsidR="0067572C" w:rsidRPr="00A36EE9" w14:paraId="26430B1A" w14:textId="77777777" w:rsidTr="00901E21">
        <w:trPr>
          <w:trHeight w:val="300"/>
          <w:jc w:val="center"/>
        </w:trPr>
        <w:tc>
          <w:tcPr>
            <w:tcW w:w="5240" w:type="dxa"/>
            <w:gridSpan w:val="2"/>
            <w:shd w:val="clear" w:color="auto" w:fill="auto"/>
            <w:vAlign w:val="center"/>
            <w:hideMark/>
          </w:tcPr>
          <w:p w14:paraId="32C822D3"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Recursos Naturales y Disponibilidad de Suelo</w:t>
            </w:r>
          </w:p>
        </w:tc>
        <w:tc>
          <w:tcPr>
            <w:tcW w:w="2268" w:type="dxa"/>
            <w:gridSpan w:val="2"/>
            <w:shd w:val="clear" w:color="auto" w:fill="auto"/>
            <w:vAlign w:val="center"/>
            <w:hideMark/>
          </w:tcPr>
          <w:p w14:paraId="42ECB4D2"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34%</w:t>
            </w:r>
          </w:p>
        </w:tc>
        <w:tc>
          <w:tcPr>
            <w:tcW w:w="1276" w:type="dxa"/>
            <w:shd w:val="clear" w:color="auto" w:fill="auto"/>
            <w:vAlign w:val="center"/>
            <w:hideMark/>
          </w:tcPr>
          <w:p w14:paraId="0DE1B0A9" w14:textId="77777777" w:rsidR="0067572C" w:rsidRPr="00A36EE9" w:rsidRDefault="0067572C" w:rsidP="00901E21">
            <w:pPr>
              <w:spacing w:after="0" w:line="240" w:lineRule="auto"/>
              <w:ind w:firstLine="0"/>
              <w:jc w:val="right"/>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1,4</w:t>
            </w:r>
          </w:p>
        </w:tc>
      </w:tr>
      <w:tr w:rsidR="005E1BBA" w:rsidRPr="00A36EE9" w14:paraId="19FC4E02" w14:textId="77777777" w:rsidTr="00901E21">
        <w:trPr>
          <w:trHeight w:val="600"/>
          <w:jc w:val="center"/>
        </w:trPr>
        <w:tc>
          <w:tcPr>
            <w:tcW w:w="2547" w:type="dxa"/>
            <w:shd w:val="clear" w:color="auto" w:fill="auto"/>
            <w:vAlign w:val="center"/>
            <w:hideMark/>
          </w:tcPr>
          <w:p w14:paraId="750DB7C3"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Disponibilidad de Terreno Industrial</w:t>
            </w:r>
          </w:p>
        </w:tc>
        <w:tc>
          <w:tcPr>
            <w:tcW w:w="2693" w:type="dxa"/>
            <w:shd w:val="clear" w:color="auto" w:fill="auto"/>
            <w:vAlign w:val="center"/>
            <w:hideMark/>
          </w:tcPr>
          <w:p w14:paraId="2A4FB372"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Cantidad y calidad de suelo industrial</w:t>
            </w:r>
          </w:p>
        </w:tc>
        <w:tc>
          <w:tcPr>
            <w:tcW w:w="1418" w:type="dxa"/>
            <w:shd w:val="clear" w:color="auto" w:fill="auto"/>
            <w:vAlign w:val="center"/>
            <w:hideMark/>
          </w:tcPr>
          <w:p w14:paraId="4EA3DCC7"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12%</w:t>
            </w:r>
          </w:p>
        </w:tc>
        <w:tc>
          <w:tcPr>
            <w:tcW w:w="850" w:type="dxa"/>
            <w:shd w:val="clear" w:color="auto" w:fill="auto"/>
            <w:vAlign w:val="center"/>
            <w:hideMark/>
          </w:tcPr>
          <w:p w14:paraId="7F599941"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3,75</w:t>
            </w:r>
          </w:p>
        </w:tc>
        <w:tc>
          <w:tcPr>
            <w:tcW w:w="1276" w:type="dxa"/>
            <w:shd w:val="clear" w:color="auto" w:fill="auto"/>
            <w:vAlign w:val="center"/>
            <w:hideMark/>
          </w:tcPr>
          <w:p w14:paraId="2B594016"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0,45</w:t>
            </w:r>
          </w:p>
        </w:tc>
      </w:tr>
      <w:tr w:rsidR="005E1BBA" w:rsidRPr="00A36EE9" w14:paraId="0B64A923" w14:textId="77777777" w:rsidTr="00901E21">
        <w:trPr>
          <w:trHeight w:val="600"/>
          <w:jc w:val="center"/>
        </w:trPr>
        <w:tc>
          <w:tcPr>
            <w:tcW w:w="2547" w:type="dxa"/>
            <w:shd w:val="clear" w:color="auto" w:fill="auto"/>
            <w:vAlign w:val="center"/>
            <w:hideMark/>
          </w:tcPr>
          <w:p w14:paraId="7F49572C"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Recursos Naturales Locales</w:t>
            </w:r>
          </w:p>
        </w:tc>
        <w:tc>
          <w:tcPr>
            <w:tcW w:w="2693" w:type="dxa"/>
            <w:shd w:val="clear" w:color="auto" w:fill="auto"/>
            <w:vAlign w:val="center"/>
            <w:hideMark/>
          </w:tcPr>
          <w:p w14:paraId="3BA238E2"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Presencia de materias primas aprovechables</w:t>
            </w:r>
          </w:p>
        </w:tc>
        <w:tc>
          <w:tcPr>
            <w:tcW w:w="1418" w:type="dxa"/>
            <w:shd w:val="clear" w:color="auto" w:fill="auto"/>
            <w:vAlign w:val="center"/>
            <w:hideMark/>
          </w:tcPr>
          <w:p w14:paraId="596D005B"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12%</w:t>
            </w:r>
          </w:p>
        </w:tc>
        <w:tc>
          <w:tcPr>
            <w:tcW w:w="850" w:type="dxa"/>
            <w:shd w:val="clear" w:color="auto" w:fill="auto"/>
            <w:vAlign w:val="center"/>
            <w:hideMark/>
          </w:tcPr>
          <w:p w14:paraId="45B37D1F"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4</w:t>
            </w:r>
          </w:p>
        </w:tc>
        <w:tc>
          <w:tcPr>
            <w:tcW w:w="1276" w:type="dxa"/>
            <w:shd w:val="clear" w:color="auto" w:fill="auto"/>
            <w:vAlign w:val="center"/>
            <w:hideMark/>
          </w:tcPr>
          <w:p w14:paraId="11D3F4D7"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0,48</w:t>
            </w:r>
          </w:p>
        </w:tc>
      </w:tr>
      <w:tr w:rsidR="005E1BBA" w:rsidRPr="00A36EE9" w14:paraId="32A17C5C" w14:textId="77777777" w:rsidTr="00901E21">
        <w:trPr>
          <w:trHeight w:val="600"/>
          <w:jc w:val="center"/>
        </w:trPr>
        <w:tc>
          <w:tcPr>
            <w:tcW w:w="2547" w:type="dxa"/>
            <w:shd w:val="clear" w:color="auto" w:fill="auto"/>
            <w:vAlign w:val="center"/>
            <w:hideMark/>
          </w:tcPr>
          <w:p w14:paraId="2FB94CB4"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Calidad del Suelo</w:t>
            </w:r>
          </w:p>
        </w:tc>
        <w:tc>
          <w:tcPr>
            <w:tcW w:w="2693" w:type="dxa"/>
            <w:shd w:val="clear" w:color="auto" w:fill="auto"/>
            <w:vAlign w:val="center"/>
            <w:hideMark/>
          </w:tcPr>
          <w:p w14:paraId="72C05693" w14:textId="77777777" w:rsidR="0067572C" w:rsidRPr="00A36EE9" w:rsidRDefault="0067572C" w:rsidP="00901E21">
            <w:pPr>
              <w:spacing w:after="0" w:line="240" w:lineRule="auto"/>
              <w:ind w:firstLine="0"/>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Aptitud para actividades industriales</w:t>
            </w:r>
          </w:p>
        </w:tc>
        <w:tc>
          <w:tcPr>
            <w:tcW w:w="1418" w:type="dxa"/>
            <w:shd w:val="clear" w:color="auto" w:fill="auto"/>
            <w:vAlign w:val="center"/>
            <w:hideMark/>
          </w:tcPr>
          <w:p w14:paraId="57C646A7"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10%</w:t>
            </w:r>
          </w:p>
        </w:tc>
        <w:tc>
          <w:tcPr>
            <w:tcW w:w="850" w:type="dxa"/>
            <w:shd w:val="clear" w:color="auto" w:fill="auto"/>
            <w:vAlign w:val="center"/>
            <w:hideMark/>
          </w:tcPr>
          <w:p w14:paraId="6C915B3E"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4,5</w:t>
            </w:r>
          </w:p>
        </w:tc>
        <w:tc>
          <w:tcPr>
            <w:tcW w:w="1276" w:type="dxa"/>
            <w:shd w:val="clear" w:color="auto" w:fill="auto"/>
            <w:vAlign w:val="center"/>
            <w:hideMark/>
          </w:tcPr>
          <w:p w14:paraId="1F664CEA" w14:textId="77777777" w:rsidR="0067572C" w:rsidRPr="00A36EE9" w:rsidRDefault="0067572C" w:rsidP="00901E21">
            <w:pPr>
              <w:spacing w:after="0" w:line="240" w:lineRule="auto"/>
              <w:ind w:firstLine="0"/>
              <w:jc w:val="right"/>
              <w:rPr>
                <w:rFonts w:eastAsia="Times New Roman" w:cs="Times New Roman"/>
                <w:color w:val="000000"/>
                <w:kern w:val="0"/>
                <w:sz w:val="22"/>
                <w:lang w:eastAsia="es-CO"/>
                <w14:ligatures w14:val="none"/>
              </w:rPr>
            </w:pPr>
            <w:r w:rsidRPr="00A36EE9">
              <w:rPr>
                <w:rFonts w:eastAsia="Times New Roman" w:cs="Times New Roman"/>
                <w:color w:val="000000"/>
                <w:kern w:val="0"/>
                <w:sz w:val="22"/>
                <w:lang w:eastAsia="es-CO"/>
                <w14:ligatures w14:val="none"/>
              </w:rPr>
              <w:t>0,45</w:t>
            </w:r>
          </w:p>
        </w:tc>
      </w:tr>
      <w:tr w:rsidR="0067572C" w:rsidRPr="00A36EE9" w14:paraId="7321CD11" w14:textId="77777777" w:rsidTr="00901E21">
        <w:trPr>
          <w:trHeight w:val="300"/>
          <w:jc w:val="center"/>
        </w:trPr>
        <w:tc>
          <w:tcPr>
            <w:tcW w:w="5240" w:type="dxa"/>
            <w:gridSpan w:val="2"/>
            <w:shd w:val="clear" w:color="auto" w:fill="auto"/>
            <w:vAlign w:val="center"/>
            <w:hideMark/>
          </w:tcPr>
          <w:p w14:paraId="782C969B"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Total Factores Internos</w:t>
            </w:r>
          </w:p>
        </w:tc>
        <w:tc>
          <w:tcPr>
            <w:tcW w:w="2268" w:type="dxa"/>
            <w:gridSpan w:val="2"/>
            <w:shd w:val="clear" w:color="auto" w:fill="auto"/>
            <w:vAlign w:val="center"/>
            <w:hideMark/>
          </w:tcPr>
          <w:p w14:paraId="619AB98F" w14:textId="77777777" w:rsidR="0067572C" w:rsidRPr="00A36EE9" w:rsidRDefault="0067572C" w:rsidP="00901E21">
            <w:pPr>
              <w:spacing w:after="0" w:line="240" w:lineRule="auto"/>
              <w:ind w:firstLine="0"/>
              <w:jc w:val="center"/>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100%</w:t>
            </w:r>
          </w:p>
        </w:tc>
        <w:tc>
          <w:tcPr>
            <w:tcW w:w="1276" w:type="dxa"/>
            <w:shd w:val="clear" w:color="auto" w:fill="auto"/>
            <w:vAlign w:val="center"/>
            <w:hideMark/>
          </w:tcPr>
          <w:p w14:paraId="07CD8988" w14:textId="77777777" w:rsidR="0067572C" w:rsidRPr="00A36EE9" w:rsidRDefault="0067572C" w:rsidP="00901E21">
            <w:pPr>
              <w:spacing w:after="0" w:line="240" w:lineRule="auto"/>
              <w:ind w:firstLine="0"/>
              <w:jc w:val="right"/>
              <w:rPr>
                <w:rFonts w:eastAsia="Times New Roman" w:cs="Times New Roman"/>
                <w:b/>
                <w:bCs/>
                <w:color w:val="000000"/>
                <w:kern w:val="0"/>
                <w:sz w:val="22"/>
                <w:lang w:eastAsia="es-CO"/>
                <w14:ligatures w14:val="none"/>
              </w:rPr>
            </w:pPr>
            <w:r w:rsidRPr="00A36EE9">
              <w:rPr>
                <w:rFonts w:eastAsia="Times New Roman" w:cs="Times New Roman"/>
                <w:b/>
                <w:bCs/>
                <w:color w:val="000000"/>
                <w:kern w:val="0"/>
                <w:sz w:val="22"/>
                <w:lang w:eastAsia="es-CO"/>
                <w14:ligatures w14:val="none"/>
              </w:rPr>
              <w:t>3,4</w:t>
            </w:r>
          </w:p>
        </w:tc>
      </w:tr>
    </w:tbl>
    <w:p w14:paraId="2F17EAB6" w14:textId="10FD0812" w:rsidR="0067572C" w:rsidRDefault="005E1BBA" w:rsidP="0015136C">
      <w:pPr>
        <w:spacing w:line="480" w:lineRule="auto"/>
        <w:ind w:firstLine="720"/>
        <w:jc w:val="center"/>
        <w:rPr>
          <w:bCs/>
          <w:szCs w:val="18"/>
        </w:rPr>
      </w:pPr>
      <w:r w:rsidRPr="005E1BBA">
        <w:rPr>
          <w:bCs/>
          <w:szCs w:val="18"/>
        </w:rPr>
        <w:t>Nota: Elaboración Propia</w:t>
      </w:r>
    </w:p>
    <w:p w14:paraId="0478C36B" w14:textId="77777777" w:rsidR="00FA319E" w:rsidRPr="005E1BBA" w:rsidRDefault="00FA319E" w:rsidP="00FA319E">
      <w:pPr>
        <w:spacing w:line="276" w:lineRule="auto"/>
        <w:ind w:firstLine="720"/>
        <w:jc w:val="center"/>
        <w:rPr>
          <w:bCs/>
          <w:szCs w:val="18"/>
        </w:rPr>
      </w:pPr>
    </w:p>
    <w:p w14:paraId="210F70FC" w14:textId="735A6756" w:rsidR="005E1BBA" w:rsidRDefault="005E1BBA" w:rsidP="0015136C">
      <w:pPr>
        <w:pStyle w:val="Ttulo3"/>
        <w:spacing w:line="480" w:lineRule="auto"/>
      </w:pPr>
      <w:bookmarkStart w:id="130" w:name="_Toc183783060"/>
      <w:r>
        <w:t>Matriz de evaluación de factores externos.</w:t>
      </w:r>
      <w:bookmarkEnd w:id="130"/>
    </w:p>
    <w:p w14:paraId="582363CA" w14:textId="77777777" w:rsidR="00FA319E" w:rsidRPr="00FA319E" w:rsidRDefault="00FA319E" w:rsidP="00FA319E"/>
    <w:p w14:paraId="4AACED74" w14:textId="36E6C500" w:rsidR="00901E21" w:rsidRDefault="00901E21" w:rsidP="00901E21">
      <w:pPr>
        <w:pStyle w:val="Descripcin"/>
        <w:spacing w:after="0"/>
        <w:rPr>
          <w:b/>
          <w:bCs/>
          <w:i w:val="0"/>
          <w:iCs w:val="0"/>
          <w:color w:val="auto"/>
          <w:sz w:val="24"/>
          <w:szCs w:val="22"/>
        </w:rPr>
      </w:pPr>
      <w:bookmarkStart w:id="131" w:name="_Toc178689032"/>
      <w:bookmarkStart w:id="132" w:name="_Toc183783105"/>
      <w:r w:rsidRPr="00901E21">
        <w:rPr>
          <w:b/>
          <w:bCs/>
          <w:i w:val="0"/>
          <w:iCs w:val="0"/>
          <w:color w:val="auto"/>
          <w:sz w:val="24"/>
          <w:szCs w:val="22"/>
        </w:rPr>
        <w:t xml:space="preserve">Tabla </w:t>
      </w:r>
      <w:r w:rsidRPr="00901E21">
        <w:rPr>
          <w:b/>
          <w:bCs/>
          <w:i w:val="0"/>
          <w:iCs w:val="0"/>
          <w:color w:val="auto"/>
          <w:sz w:val="24"/>
          <w:szCs w:val="22"/>
        </w:rPr>
        <w:fldChar w:fldCharType="begin"/>
      </w:r>
      <w:r w:rsidRPr="00901E21">
        <w:rPr>
          <w:b/>
          <w:bCs/>
          <w:i w:val="0"/>
          <w:iCs w:val="0"/>
          <w:color w:val="auto"/>
          <w:sz w:val="24"/>
          <w:szCs w:val="22"/>
        </w:rPr>
        <w:instrText xml:space="preserve"> SEQ Tabla \* ARABIC </w:instrText>
      </w:r>
      <w:r w:rsidRPr="00901E21">
        <w:rPr>
          <w:b/>
          <w:bCs/>
          <w:i w:val="0"/>
          <w:iCs w:val="0"/>
          <w:color w:val="auto"/>
          <w:sz w:val="24"/>
          <w:szCs w:val="22"/>
        </w:rPr>
        <w:fldChar w:fldCharType="separate"/>
      </w:r>
      <w:r>
        <w:rPr>
          <w:b/>
          <w:bCs/>
          <w:i w:val="0"/>
          <w:iCs w:val="0"/>
          <w:noProof/>
          <w:color w:val="auto"/>
          <w:sz w:val="24"/>
          <w:szCs w:val="22"/>
        </w:rPr>
        <w:t>16</w:t>
      </w:r>
      <w:r w:rsidRPr="00901E21">
        <w:rPr>
          <w:b/>
          <w:bCs/>
          <w:i w:val="0"/>
          <w:iCs w:val="0"/>
          <w:color w:val="auto"/>
          <w:sz w:val="24"/>
          <w:szCs w:val="22"/>
        </w:rPr>
        <w:fldChar w:fldCharType="end"/>
      </w:r>
      <w:r w:rsidRPr="00901E21">
        <w:rPr>
          <w:b/>
          <w:bCs/>
          <w:i w:val="0"/>
          <w:iCs w:val="0"/>
          <w:color w:val="auto"/>
          <w:sz w:val="24"/>
          <w:szCs w:val="22"/>
        </w:rPr>
        <w:t>:</w:t>
      </w:r>
      <w:bookmarkEnd w:id="131"/>
      <w:bookmarkEnd w:id="132"/>
      <w:r w:rsidRPr="00901E21">
        <w:rPr>
          <w:b/>
          <w:bCs/>
          <w:i w:val="0"/>
          <w:iCs w:val="0"/>
          <w:color w:val="auto"/>
          <w:sz w:val="24"/>
          <w:szCs w:val="22"/>
        </w:rPr>
        <w:t xml:space="preserve"> </w:t>
      </w:r>
    </w:p>
    <w:p w14:paraId="6E3B34BE" w14:textId="77138C74" w:rsidR="00901E21" w:rsidRPr="006C3145" w:rsidRDefault="00901E21" w:rsidP="00901E21">
      <w:pPr>
        <w:pStyle w:val="Descripcin"/>
        <w:spacing w:after="0"/>
        <w:rPr>
          <w:i w:val="0"/>
          <w:iCs w:val="0"/>
          <w:color w:val="auto"/>
          <w:sz w:val="24"/>
          <w:szCs w:val="22"/>
        </w:rPr>
      </w:pPr>
      <w:bookmarkStart w:id="133" w:name="_Toc178689033"/>
      <w:bookmarkStart w:id="134" w:name="_Toc183783106"/>
      <w:r w:rsidRPr="006C3145">
        <w:rPr>
          <w:i w:val="0"/>
          <w:iCs w:val="0"/>
          <w:color w:val="auto"/>
          <w:sz w:val="24"/>
          <w:szCs w:val="22"/>
        </w:rPr>
        <w:t>Matriz de factores externos</w:t>
      </w:r>
      <w:bookmarkEnd w:id="133"/>
      <w:bookmarkEnd w:id="134"/>
    </w:p>
    <w:p w14:paraId="4400380D" w14:textId="77777777" w:rsidR="00901E21" w:rsidRPr="00901E21" w:rsidRDefault="00901E21" w:rsidP="00901E21"/>
    <w:tbl>
      <w:tblPr>
        <w:tblW w:w="8784"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557"/>
        <w:gridCol w:w="2683"/>
        <w:gridCol w:w="1418"/>
        <w:gridCol w:w="850"/>
        <w:gridCol w:w="1276"/>
      </w:tblGrid>
      <w:tr w:rsidR="005E1BBA" w:rsidRPr="005E1BBA" w14:paraId="19F8D6CC" w14:textId="77777777" w:rsidTr="00901E21">
        <w:trPr>
          <w:trHeight w:val="300"/>
          <w:jc w:val="center"/>
        </w:trPr>
        <w:tc>
          <w:tcPr>
            <w:tcW w:w="8784" w:type="dxa"/>
            <w:gridSpan w:val="5"/>
            <w:tcBorders>
              <w:top w:val="single" w:sz="4" w:space="0" w:color="auto"/>
              <w:bottom w:val="single" w:sz="4" w:space="0" w:color="auto"/>
            </w:tcBorders>
            <w:shd w:val="clear" w:color="auto" w:fill="auto"/>
            <w:vAlign w:val="center"/>
            <w:hideMark/>
          </w:tcPr>
          <w:p w14:paraId="3A278A7E"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Factores externos</w:t>
            </w:r>
          </w:p>
        </w:tc>
      </w:tr>
      <w:tr w:rsidR="005E1BBA" w:rsidRPr="005E1BBA" w14:paraId="6DF98EED" w14:textId="77777777" w:rsidTr="00901E21">
        <w:trPr>
          <w:trHeight w:val="900"/>
          <w:jc w:val="center"/>
        </w:trPr>
        <w:tc>
          <w:tcPr>
            <w:tcW w:w="2557" w:type="dxa"/>
            <w:tcBorders>
              <w:top w:val="single" w:sz="4" w:space="0" w:color="auto"/>
              <w:bottom w:val="single" w:sz="4" w:space="0" w:color="auto"/>
            </w:tcBorders>
            <w:shd w:val="clear" w:color="auto" w:fill="auto"/>
            <w:vAlign w:val="center"/>
            <w:hideMark/>
          </w:tcPr>
          <w:p w14:paraId="7A550D79"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Factor</w:t>
            </w:r>
          </w:p>
        </w:tc>
        <w:tc>
          <w:tcPr>
            <w:tcW w:w="2683" w:type="dxa"/>
            <w:tcBorders>
              <w:top w:val="single" w:sz="4" w:space="0" w:color="auto"/>
              <w:bottom w:val="single" w:sz="4" w:space="0" w:color="auto"/>
            </w:tcBorders>
            <w:shd w:val="clear" w:color="auto" w:fill="auto"/>
            <w:vAlign w:val="center"/>
            <w:hideMark/>
          </w:tcPr>
          <w:p w14:paraId="2BF2D218"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Descripción</w:t>
            </w:r>
          </w:p>
        </w:tc>
        <w:tc>
          <w:tcPr>
            <w:tcW w:w="1418" w:type="dxa"/>
            <w:tcBorders>
              <w:top w:val="single" w:sz="4" w:space="0" w:color="auto"/>
              <w:bottom w:val="single" w:sz="4" w:space="0" w:color="auto"/>
            </w:tcBorders>
            <w:shd w:val="clear" w:color="auto" w:fill="auto"/>
            <w:vAlign w:val="center"/>
            <w:hideMark/>
          </w:tcPr>
          <w:p w14:paraId="1D72B55E"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Peso Relativo (%)</w:t>
            </w:r>
          </w:p>
        </w:tc>
        <w:tc>
          <w:tcPr>
            <w:tcW w:w="850" w:type="dxa"/>
            <w:tcBorders>
              <w:top w:val="single" w:sz="4" w:space="0" w:color="auto"/>
              <w:bottom w:val="single" w:sz="4" w:space="0" w:color="auto"/>
            </w:tcBorders>
            <w:shd w:val="clear" w:color="auto" w:fill="auto"/>
            <w:vAlign w:val="center"/>
            <w:hideMark/>
          </w:tcPr>
          <w:p w14:paraId="54A49809"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Puntaje (1-5)</w:t>
            </w:r>
          </w:p>
        </w:tc>
        <w:tc>
          <w:tcPr>
            <w:tcW w:w="1276" w:type="dxa"/>
            <w:tcBorders>
              <w:top w:val="single" w:sz="4" w:space="0" w:color="auto"/>
              <w:bottom w:val="single" w:sz="4" w:space="0" w:color="auto"/>
            </w:tcBorders>
            <w:shd w:val="clear" w:color="auto" w:fill="auto"/>
            <w:vAlign w:val="center"/>
            <w:hideMark/>
          </w:tcPr>
          <w:p w14:paraId="496976A6"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Puntuación Ponderada</w:t>
            </w:r>
          </w:p>
        </w:tc>
      </w:tr>
      <w:tr w:rsidR="005E1BBA" w:rsidRPr="005E1BBA" w14:paraId="236F5769" w14:textId="77777777" w:rsidTr="00901E21">
        <w:trPr>
          <w:trHeight w:val="300"/>
          <w:jc w:val="center"/>
        </w:trPr>
        <w:tc>
          <w:tcPr>
            <w:tcW w:w="5240" w:type="dxa"/>
            <w:gridSpan w:val="2"/>
            <w:tcBorders>
              <w:top w:val="single" w:sz="4" w:space="0" w:color="auto"/>
            </w:tcBorders>
            <w:shd w:val="clear" w:color="auto" w:fill="auto"/>
            <w:vAlign w:val="center"/>
            <w:hideMark/>
          </w:tcPr>
          <w:p w14:paraId="19ED0506"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Entorno Económico</w:t>
            </w:r>
          </w:p>
        </w:tc>
        <w:tc>
          <w:tcPr>
            <w:tcW w:w="2268" w:type="dxa"/>
            <w:gridSpan w:val="2"/>
            <w:tcBorders>
              <w:top w:val="single" w:sz="4" w:space="0" w:color="auto"/>
            </w:tcBorders>
            <w:shd w:val="clear" w:color="auto" w:fill="auto"/>
            <w:vAlign w:val="center"/>
            <w:hideMark/>
          </w:tcPr>
          <w:p w14:paraId="34E67273"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33%</w:t>
            </w:r>
          </w:p>
        </w:tc>
        <w:tc>
          <w:tcPr>
            <w:tcW w:w="1276" w:type="dxa"/>
            <w:tcBorders>
              <w:top w:val="single" w:sz="4" w:space="0" w:color="auto"/>
            </w:tcBorders>
            <w:shd w:val="clear" w:color="auto" w:fill="auto"/>
            <w:vAlign w:val="center"/>
            <w:hideMark/>
          </w:tcPr>
          <w:p w14:paraId="07C17342" w14:textId="77777777" w:rsidR="005E1BBA" w:rsidRPr="005E1BBA" w:rsidRDefault="005E1BBA" w:rsidP="00901E21">
            <w:pPr>
              <w:spacing w:after="0" w:line="240" w:lineRule="auto"/>
              <w:ind w:firstLine="0"/>
              <w:jc w:val="right"/>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1,4</w:t>
            </w:r>
          </w:p>
        </w:tc>
      </w:tr>
      <w:tr w:rsidR="005E1BBA" w:rsidRPr="005E1BBA" w14:paraId="0E4F713D" w14:textId="77777777" w:rsidTr="00901E21">
        <w:trPr>
          <w:trHeight w:val="600"/>
          <w:jc w:val="center"/>
        </w:trPr>
        <w:tc>
          <w:tcPr>
            <w:tcW w:w="2557" w:type="dxa"/>
            <w:shd w:val="clear" w:color="auto" w:fill="auto"/>
            <w:vAlign w:val="center"/>
            <w:hideMark/>
          </w:tcPr>
          <w:p w14:paraId="017925F9"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Tasa de Crecimiento Económico</w:t>
            </w:r>
          </w:p>
        </w:tc>
        <w:tc>
          <w:tcPr>
            <w:tcW w:w="2683" w:type="dxa"/>
            <w:shd w:val="clear" w:color="auto" w:fill="auto"/>
            <w:vAlign w:val="center"/>
            <w:hideMark/>
          </w:tcPr>
          <w:p w14:paraId="1FB2783B"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Indicadores de crecimiento del PIB local y regional</w:t>
            </w:r>
          </w:p>
        </w:tc>
        <w:tc>
          <w:tcPr>
            <w:tcW w:w="1418" w:type="dxa"/>
            <w:shd w:val="clear" w:color="auto" w:fill="auto"/>
            <w:vAlign w:val="center"/>
            <w:hideMark/>
          </w:tcPr>
          <w:p w14:paraId="1CBB40CF"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8%</w:t>
            </w:r>
          </w:p>
        </w:tc>
        <w:tc>
          <w:tcPr>
            <w:tcW w:w="850" w:type="dxa"/>
            <w:shd w:val="clear" w:color="auto" w:fill="auto"/>
            <w:vAlign w:val="center"/>
            <w:hideMark/>
          </w:tcPr>
          <w:p w14:paraId="56B20E37"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4,5</w:t>
            </w:r>
          </w:p>
        </w:tc>
        <w:tc>
          <w:tcPr>
            <w:tcW w:w="1276" w:type="dxa"/>
            <w:shd w:val="clear" w:color="auto" w:fill="auto"/>
            <w:vAlign w:val="center"/>
            <w:hideMark/>
          </w:tcPr>
          <w:p w14:paraId="07D84158"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0,36</w:t>
            </w:r>
          </w:p>
        </w:tc>
      </w:tr>
      <w:tr w:rsidR="005E1BBA" w:rsidRPr="005E1BBA" w14:paraId="23B8D407" w14:textId="77777777" w:rsidTr="00901E21">
        <w:trPr>
          <w:trHeight w:val="600"/>
          <w:jc w:val="center"/>
        </w:trPr>
        <w:tc>
          <w:tcPr>
            <w:tcW w:w="2557" w:type="dxa"/>
            <w:shd w:val="clear" w:color="auto" w:fill="auto"/>
            <w:vAlign w:val="center"/>
            <w:hideMark/>
          </w:tcPr>
          <w:p w14:paraId="18B7E157"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Inflación</w:t>
            </w:r>
          </w:p>
        </w:tc>
        <w:tc>
          <w:tcPr>
            <w:tcW w:w="2683" w:type="dxa"/>
            <w:shd w:val="clear" w:color="auto" w:fill="auto"/>
            <w:vAlign w:val="center"/>
            <w:hideMark/>
          </w:tcPr>
          <w:p w14:paraId="614C9893"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Efecto de la inflación en los costos de operación</w:t>
            </w:r>
          </w:p>
        </w:tc>
        <w:tc>
          <w:tcPr>
            <w:tcW w:w="1418" w:type="dxa"/>
            <w:shd w:val="clear" w:color="auto" w:fill="auto"/>
            <w:vAlign w:val="center"/>
            <w:hideMark/>
          </w:tcPr>
          <w:p w14:paraId="528634AA"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7%</w:t>
            </w:r>
          </w:p>
        </w:tc>
        <w:tc>
          <w:tcPr>
            <w:tcW w:w="850" w:type="dxa"/>
            <w:shd w:val="clear" w:color="auto" w:fill="auto"/>
            <w:vAlign w:val="center"/>
            <w:hideMark/>
          </w:tcPr>
          <w:p w14:paraId="019F41DE"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4</w:t>
            </w:r>
          </w:p>
        </w:tc>
        <w:tc>
          <w:tcPr>
            <w:tcW w:w="1276" w:type="dxa"/>
            <w:shd w:val="clear" w:color="auto" w:fill="auto"/>
            <w:vAlign w:val="center"/>
            <w:hideMark/>
          </w:tcPr>
          <w:p w14:paraId="55AE8889"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0,28</w:t>
            </w:r>
          </w:p>
        </w:tc>
      </w:tr>
      <w:tr w:rsidR="005E1BBA" w:rsidRPr="005E1BBA" w14:paraId="741BCAA2" w14:textId="77777777" w:rsidTr="00901E21">
        <w:trPr>
          <w:trHeight w:val="600"/>
          <w:jc w:val="center"/>
        </w:trPr>
        <w:tc>
          <w:tcPr>
            <w:tcW w:w="2557" w:type="dxa"/>
            <w:shd w:val="clear" w:color="auto" w:fill="auto"/>
            <w:vAlign w:val="center"/>
            <w:hideMark/>
          </w:tcPr>
          <w:p w14:paraId="04AAD0D6"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Niveles de Comercio Exterior</w:t>
            </w:r>
          </w:p>
        </w:tc>
        <w:tc>
          <w:tcPr>
            <w:tcW w:w="2683" w:type="dxa"/>
            <w:shd w:val="clear" w:color="auto" w:fill="auto"/>
            <w:vAlign w:val="center"/>
            <w:hideMark/>
          </w:tcPr>
          <w:p w14:paraId="281A4F60"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Volumen de bienes importados y exportados</w:t>
            </w:r>
          </w:p>
        </w:tc>
        <w:tc>
          <w:tcPr>
            <w:tcW w:w="1418" w:type="dxa"/>
            <w:shd w:val="clear" w:color="auto" w:fill="auto"/>
            <w:vAlign w:val="center"/>
            <w:hideMark/>
          </w:tcPr>
          <w:p w14:paraId="1463E11B"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8%</w:t>
            </w:r>
          </w:p>
        </w:tc>
        <w:tc>
          <w:tcPr>
            <w:tcW w:w="850" w:type="dxa"/>
            <w:shd w:val="clear" w:color="auto" w:fill="auto"/>
            <w:vAlign w:val="center"/>
            <w:hideMark/>
          </w:tcPr>
          <w:p w14:paraId="56BF8A5F"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4</w:t>
            </w:r>
          </w:p>
        </w:tc>
        <w:tc>
          <w:tcPr>
            <w:tcW w:w="1276" w:type="dxa"/>
            <w:shd w:val="clear" w:color="auto" w:fill="auto"/>
            <w:vAlign w:val="center"/>
            <w:hideMark/>
          </w:tcPr>
          <w:p w14:paraId="0D2C35E2"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0,32</w:t>
            </w:r>
          </w:p>
        </w:tc>
      </w:tr>
      <w:tr w:rsidR="005E1BBA" w:rsidRPr="005E1BBA" w14:paraId="7DF22832" w14:textId="77777777" w:rsidTr="00901E21">
        <w:trPr>
          <w:trHeight w:val="600"/>
          <w:jc w:val="center"/>
        </w:trPr>
        <w:tc>
          <w:tcPr>
            <w:tcW w:w="2557" w:type="dxa"/>
            <w:shd w:val="clear" w:color="auto" w:fill="auto"/>
            <w:vAlign w:val="center"/>
            <w:hideMark/>
          </w:tcPr>
          <w:p w14:paraId="69399725"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Incentivos Fiscales</w:t>
            </w:r>
          </w:p>
        </w:tc>
        <w:tc>
          <w:tcPr>
            <w:tcW w:w="2683" w:type="dxa"/>
            <w:shd w:val="clear" w:color="auto" w:fill="auto"/>
            <w:vAlign w:val="center"/>
            <w:hideMark/>
          </w:tcPr>
          <w:p w14:paraId="61684EAA"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Políticas de apoyo a la inversión en zonas francas</w:t>
            </w:r>
          </w:p>
        </w:tc>
        <w:tc>
          <w:tcPr>
            <w:tcW w:w="1418" w:type="dxa"/>
            <w:shd w:val="clear" w:color="auto" w:fill="auto"/>
            <w:vAlign w:val="center"/>
            <w:hideMark/>
          </w:tcPr>
          <w:p w14:paraId="799EC2FF"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10%</w:t>
            </w:r>
          </w:p>
        </w:tc>
        <w:tc>
          <w:tcPr>
            <w:tcW w:w="850" w:type="dxa"/>
            <w:shd w:val="clear" w:color="auto" w:fill="auto"/>
            <w:vAlign w:val="center"/>
            <w:hideMark/>
          </w:tcPr>
          <w:p w14:paraId="5AAB9869"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4,5</w:t>
            </w:r>
          </w:p>
        </w:tc>
        <w:tc>
          <w:tcPr>
            <w:tcW w:w="1276" w:type="dxa"/>
            <w:shd w:val="clear" w:color="auto" w:fill="auto"/>
            <w:vAlign w:val="center"/>
            <w:hideMark/>
          </w:tcPr>
          <w:p w14:paraId="0402E404"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0,45</w:t>
            </w:r>
          </w:p>
        </w:tc>
      </w:tr>
      <w:tr w:rsidR="005E1BBA" w:rsidRPr="005E1BBA" w14:paraId="3438F7D6" w14:textId="77777777" w:rsidTr="00901E21">
        <w:trPr>
          <w:trHeight w:val="300"/>
          <w:jc w:val="center"/>
        </w:trPr>
        <w:tc>
          <w:tcPr>
            <w:tcW w:w="5240" w:type="dxa"/>
            <w:gridSpan w:val="2"/>
            <w:shd w:val="clear" w:color="auto" w:fill="auto"/>
            <w:vAlign w:val="center"/>
            <w:hideMark/>
          </w:tcPr>
          <w:p w14:paraId="4DFCEF96"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Entorno Social</w:t>
            </w:r>
          </w:p>
        </w:tc>
        <w:tc>
          <w:tcPr>
            <w:tcW w:w="2268" w:type="dxa"/>
            <w:gridSpan w:val="2"/>
            <w:shd w:val="clear" w:color="auto" w:fill="auto"/>
            <w:vAlign w:val="center"/>
            <w:hideMark/>
          </w:tcPr>
          <w:p w14:paraId="7B803D35"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20%</w:t>
            </w:r>
          </w:p>
        </w:tc>
        <w:tc>
          <w:tcPr>
            <w:tcW w:w="1276" w:type="dxa"/>
            <w:shd w:val="clear" w:color="auto" w:fill="auto"/>
            <w:vAlign w:val="center"/>
            <w:hideMark/>
          </w:tcPr>
          <w:p w14:paraId="01B913CB" w14:textId="77777777" w:rsidR="005E1BBA" w:rsidRPr="005E1BBA" w:rsidRDefault="005E1BBA" w:rsidP="00901E21">
            <w:pPr>
              <w:spacing w:after="0" w:line="240" w:lineRule="auto"/>
              <w:ind w:firstLine="0"/>
              <w:jc w:val="right"/>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0,8</w:t>
            </w:r>
          </w:p>
        </w:tc>
      </w:tr>
      <w:tr w:rsidR="005E1BBA" w:rsidRPr="005E1BBA" w14:paraId="53A88654" w14:textId="77777777" w:rsidTr="00901E21">
        <w:trPr>
          <w:trHeight w:val="600"/>
          <w:jc w:val="center"/>
        </w:trPr>
        <w:tc>
          <w:tcPr>
            <w:tcW w:w="2557" w:type="dxa"/>
            <w:shd w:val="clear" w:color="auto" w:fill="auto"/>
            <w:vAlign w:val="center"/>
            <w:hideMark/>
          </w:tcPr>
          <w:p w14:paraId="0888A337"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Calidad de Vida</w:t>
            </w:r>
          </w:p>
        </w:tc>
        <w:tc>
          <w:tcPr>
            <w:tcW w:w="2683" w:type="dxa"/>
            <w:shd w:val="clear" w:color="auto" w:fill="auto"/>
            <w:vAlign w:val="center"/>
            <w:hideMark/>
          </w:tcPr>
          <w:p w14:paraId="7CEA309F"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Salud, educación y bienestar social</w:t>
            </w:r>
          </w:p>
        </w:tc>
        <w:tc>
          <w:tcPr>
            <w:tcW w:w="1418" w:type="dxa"/>
            <w:shd w:val="clear" w:color="auto" w:fill="auto"/>
            <w:vAlign w:val="center"/>
            <w:hideMark/>
          </w:tcPr>
          <w:p w14:paraId="3F583414"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10%</w:t>
            </w:r>
          </w:p>
        </w:tc>
        <w:tc>
          <w:tcPr>
            <w:tcW w:w="850" w:type="dxa"/>
            <w:shd w:val="clear" w:color="auto" w:fill="auto"/>
            <w:vAlign w:val="center"/>
            <w:hideMark/>
          </w:tcPr>
          <w:p w14:paraId="35D2C7E5"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3,8</w:t>
            </w:r>
          </w:p>
        </w:tc>
        <w:tc>
          <w:tcPr>
            <w:tcW w:w="1276" w:type="dxa"/>
            <w:shd w:val="clear" w:color="auto" w:fill="auto"/>
            <w:vAlign w:val="center"/>
            <w:hideMark/>
          </w:tcPr>
          <w:p w14:paraId="724B73DB"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0,4</w:t>
            </w:r>
          </w:p>
        </w:tc>
      </w:tr>
      <w:tr w:rsidR="005E1BBA" w:rsidRPr="005E1BBA" w14:paraId="55A0DC80" w14:textId="77777777" w:rsidTr="00901E21">
        <w:trPr>
          <w:trHeight w:val="900"/>
          <w:jc w:val="center"/>
        </w:trPr>
        <w:tc>
          <w:tcPr>
            <w:tcW w:w="2557" w:type="dxa"/>
            <w:shd w:val="clear" w:color="auto" w:fill="auto"/>
            <w:vAlign w:val="center"/>
            <w:hideMark/>
          </w:tcPr>
          <w:p w14:paraId="03362268"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Percepción de Zonas Francas</w:t>
            </w:r>
          </w:p>
        </w:tc>
        <w:tc>
          <w:tcPr>
            <w:tcW w:w="2683" w:type="dxa"/>
            <w:shd w:val="clear" w:color="auto" w:fill="auto"/>
            <w:vAlign w:val="center"/>
            <w:hideMark/>
          </w:tcPr>
          <w:p w14:paraId="4ED293BF"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Aceptación y entendimiento de expertos y empresarios</w:t>
            </w:r>
          </w:p>
        </w:tc>
        <w:tc>
          <w:tcPr>
            <w:tcW w:w="1418" w:type="dxa"/>
            <w:shd w:val="clear" w:color="auto" w:fill="auto"/>
            <w:vAlign w:val="center"/>
            <w:hideMark/>
          </w:tcPr>
          <w:p w14:paraId="7F7AE76B"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5%</w:t>
            </w:r>
          </w:p>
        </w:tc>
        <w:tc>
          <w:tcPr>
            <w:tcW w:w="850" w:type="dxa"/>
            <w:shd w:val="clear" w:color="auto" w:fill="auto"/>
            <w:vAlign w:val="center"/>
            <w:hideMark/>
          </w:tcPr>
          <w:p w14:paraId="290CED55"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4</w:t>
            </w:r>
          </w:p>
        </w:tc>
        <w:tc>
          <w:tcPr>
            <w:tcW w:w="1276" w:type="dxa"/>
            <w:shd w:val="clear" w:color="auto" w:fill="auto"/>
            <w:vAlign w:val="center"/>
            <w:hideMark/>
          </w:tcPr>
          <w:p w14:paraId="6FF99A49"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0,2</w:t>
            </w:r>
          </w:p>
        </w:tc>
      </w:tr>
      <w:tr w:rsidR="005E1BBA" w:rsidRPr="005E1BBA" w14:paraId="0F222F7F" w14:textId="77777777" w:rsidTr="00901E21">
        <w:trPr>
          <w:trHeight w:val="600"/>
          <w:jc w:val="center"/>
        </w:trPr>
        <w:tc>
          <w:tcPr>
            <w:tcW w:w="2557" w:type="dxa"/>
            <w:shd w:val="clear" w:color="auto" w:fill="auto"/>
            <w:vAlign w:val="center"/>
            <w:hideMark/>
          </w:tcPr>
          <w:p w14:paraId="17380F9E"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lastRenderedPageBreak/>
              <w:t>Proyectos Sociales</w:t>
            </w:r>
          </w:p>
        </w:tc>
        <w:tc>
          <w:tcPr>
            <w:tcW w:w="2683" w:type="dxa"/>
            <w:shd w:val="clear" w:color="auto" w:fill="auto"/>
            <w:vAlign w:val="center"/>
            <w:hideMark/>
          </w:tcPr>
          <w:p w14:paraId="5CBBD034"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Iniciativas que pueden influir en la aceptación</w:t>
            </w:r>
          </w:p>
        </w:tc>
        <w:tc>
          <w:tcPr>
            <w:tcW w:w="1418" w:type="dxa"/>
            <w:shd w:val="clear" w:color="auto" w:fill="auto"/>
            <w:vAlign w:val="center"/>
            <w:hideMark/>
          </w:tcPr>
          <w:p w14:paraId="2C2F3063"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5%</w:t>
            </w:r>
          </w:p>
        </w:tc>
        <w:tc>
          <w:tcPr>
            <w:tcW w:w="850" w:type="dxa"/>
            <w:shd w:val="clear" w:color="auto" w:fill="auto"/>
            <w:vAlign w:val="center"/>
            <w:hideMark/>
          </w:tcPr>
          <w:p w14:paraId="2960031C"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4</w:t>
            </w:r>
          </w:p>
        </w:tc>
        <w:tc>
          <w:tcPr>
            <w:tcW w:w="1276" w:type="dxa"/>
            <w:shd w:val="clear" w:color="auto" w:fill="auto"/>
            <w:vAlign w:val="center"/>
            <w:hideMark/>
          </w:tcPr>
          <w:p w14:paraId="6364050A"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0,2</w:t>
            </w:r>
          </w:p>
        </w:tc>
      </w:tr>
      <w:tr w:rsidR="005E1BBA" w:rsidRPr="005E1BBA" w14:paraId="5A080834" w14:textId="77777777" w:rsidTr="00901E21">
        <w:trPr>
          <w:trHeight w:val="600"/>
          <w:jc w:val="center"/>
        </w:trPr>
        <w:tc>
          <w:tcPr>
            <w:tcW w:w="5240" w:type="dxa"/>
            <w:gridSpan w:val="2"/>
            <w:shd w:val="clear" w:color="auto" w:fill="auto"/>
            <w:vAlign w:val="center"/>
            <w:hideMark/>
          </w:tcPr>
          <w:p w14:paraId="2D84CCF7"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Entorno Político y Legal</w:t>
            </w:r>
          </w:p>
        </w:tc>
        <w:tc>
          <w:tcPr>
            <w:tcW w:w="2268" w:type="dxa"/>
            <w:gridSpan w:val="2"/>
            <w:shd w:val="clear" w:color="auto" w:fill="auto"/>
            <w:vAlign w:val="center"/>
            <w:hideMark/>
          </w:tcPr>
          <w:p w14:paraId="5AB7F18D"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22%</w:t>
            </w:r>
          </w:p>
        </w:tc>
        <w:tc>
          <w:tcPr>
            <w:tcW w:w="1276" w:type="dxa"/>
            <w:shd w:val="clear" w:color="auto" w:fill="auto"/>
            <w:vAlign w:val="center"/>
            <w:hideMark/>
          </w:tcPr>
          <w:p w14:paraId="5DBA958C" w14:textId="77777777" w:rsidR="005E1BBA" w:rsidRPr="005E1BBA" w:rsidRDefault="005E1BBA" w:rsidP="00901E21">
            <w:pPr>
              <w:spacing w:after="0" w:line="240" w:lineRule="auto"/>
              <w:ind w:firstLine="0"/>
              <w:jc w:val="right"/>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0,9</w:t>
            </w:r>
          </w:p>
        </w:tc>
      </w:tr>
      <w:tr w:rsidR="005E1BBA" w:rsidRPr="005E1BBA" w14:paraId="1876EB29" w14:textId="77777777" w:rsidTr="00901E21">
        <w:trPr>
          <w:trHeight w:val="600"/>
          <w:jc w:val="center"/>
        </w:trPr>
        <w:tc>
          <w:tcPr>
            <w:tcW w:w="2557" w:type="dxa"/>
            <w:shd w:val="clear" w:color="auto" w:fill="auto"/>
            <w:vAlign w:val="center"/>
            <w:hideMark/>
          </w:tcPr>
          <w:p w14:paraId="012FA5C3"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Marco Normativo</w:t>
            </w:r>
          </w:p>
        </w:tc>
        <w:tc>
          <w:tcPr>
            <w:tcW w:w="2683" w:type="dxa"/>
            <w:shd w:val="clear" w:color="auto" w:fill="auto"/>
            <w:vAlign w:val="center"/>
            <w:hideMark/>
          </w:tcPr>
          <w:p w14:paraId="1BF6C86A"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Leyes y regulaciones que rigen las zonas francas</w:t>
            </w:r>
          </w:p>
        </w:tc>
        <w:tc>
          <w:tcPr>
            <w:tcW w:w="1418" w:type="dxa"/>
            <w:shd w:val="clear" w:color="auto" w:fill="auto"/>
            <w:vAlign w:val="center"/>
            <w:hideMark/>
          </w:tcPr>
          <w:p w14:paraId="6573422E"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10%</w:t>
            </w:r>
          </w:p>
        </w:tc>
        <w:tc>
          <w:tcPr>
            <w:tcW w:w="850" w:type="dxa"/>
            <w:shd w:val="clear" w:color="auto" w:fill="auto"/>
            <w:vAlign w:val="center"/>
            <w:hideMark/>
          </w:tcPr>
          <w:p w14:paraId="11BEC27B"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4,7</w:t>
            </w:r>
          </w:p>
        </w:tc>
        <w:tc>
          <w:tcPr>
            <w:tcW w:w="1276" w:type="dxa"/>
            <w:shd w:val="clear" w:color="auto" w:fill="auto"/>
            <w:vAlign w:val="center"/>
            <w:hideMark/>
          </w:tcPr>
          <w:p w14:paraId="5E37A9B8"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0,47</w:t>
            </w:r>
          </w:p>
        </w:tc>
      </w:tr>
      <w:tr w:rsidR="005E1BBA" w:rsidRPr="005E1BBA" w14:paraId="7545E6D9" w14:textId="77777777" w:rsidTr="00901E21">
        <w:trPr>
          <w:trHeight w:val="600"/>
          <w:jc w:val="center"/>
        </w:trPr>
        <w:tc>
          <w:tcPr>
            <w:tcW w:w="2557" w:type="dxa"/>
            <w:shd w:val="clear" w:color="auto" w:fill="auto"/>
            <w:vAlign w:val="center"/>
            <w:hideMark/>
          </w:tcPr>
          <w:p w14:paraId="25284C47"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Estabilidad Política</w:t>
            </w:r>
          </w:p>
        </w:tc>
        <w:tc>
          <w:tcPr>
            <w:tcW w:w="2683" w:type="dxa"/>
            <w:shd w:val="clear" w:color="auto" w:fill="auto"/>
            <w:vAlign w:val="center"/>
            <w:hideMark/>
          </w:tcPr>
          <w:p w14:paraId="1603051B"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Evaluación de la estabilidad en la región</w:t>
            </w:r>
          </w:p>
        </w:tc>
        <w:tc>
          <w:tcPr>
            <w:tcW w:w="1418" w:type="dxa"/>
            <w:shd w:val="clear" w:color="auto" w:fill="auto"/>
            <w:vAlign w:val="center"/>
            <w:hideMark/>
          </w:tcPr>
          <w:p w14:paraId="0CE790F6"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8%</w:t>
            </w:r>
          </w:p>
        </w:tc>
        <w:tc>
          <w:tcPr>
            <w:tcW w:w="850" w:type="dxa"/>
            <w:shd w:val="clear" w:color="auto" w:fill="auto"/>
            <w:vAlign w:val="center"/>
            <w:hideMark/>
          </w:tcPr>
          <w:p w14:paraId="2AB0F107"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3,5</w:t>
            </w:r>
          </w:p>
        </w:tc>
        <w:tc>
          <w:tcPr>
            <w:tcW w:w="1276" w:type="dxa"/>
            <w:shd w:val="clear" w:color="auto" w:fill="auto"/>
            <w:vAlign w:val="center"/>
            <w:hideMark/>
          </w:tcPr>
          <w:p w14:paraId="611B7434"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0,28</w:t>
            </w:r>
          </w:p>
        </w:tc>
      </w:tr>
      <w:tr w:rsidR="005E1BBA" w:rsidRPr="005E1BBA" w14:paraId="66785099" w14:textId="77777777" w:rsidTr="00901E21">
        <w:trPr>
          <w:trHeight w:val="600"/>
          <w:jc w:val="center"/>
        </w:trPr>
        <w:tc>
          <w:tcPr>
            <w:tcW w:w="2557" w:type="dxa"/>
            <w:shd w:val="clear" w:color="auto" w:fill="auto"/>
            <w:vAlign w:val="center"/>
            <w:hideMark/>
          </w:tcPr>
          <w:p w14:paraId="15B60B9F"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Facilidad para Invertir</w:t>
            </w:r>
          </w:p>
        </w:tc>
        <w:tc>
          <w:tcPr>
            <w:tcW w:w="2683" w:type="dxa"/>
            <w:shd w:val="clear" w:color="auto" w:fill="auto"/>
            <w:vAlign w:val="center"/>
            <w:hideMark/>
          </w:tcPr>
          <w:p w14:paraId="03E87EC0"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Clasificación para atraer inversiones</w:t>
            </w:r>
          </w:p>
        </w:tc>
        <w:tc>
          <w:tcPr>
            <w:tcW w:w="1418" w:type="dxa"/>
            <w:shd w:val="clear" w:color="auto" w:fill="auto"/>
            <w:vAlign w:val="center"/>
            <w:hideMark/>
          </w:tcPr>
          <w:p w14:paraId="095330C5"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4%</w:t>
            </w:r>
          </w:p>
        </w:tc>
        <w:tc>
          <w:tcPr>
            <w:tcW w:w="850" w:type="dxa"/>
            <w:shd w:val="clear" w:color="auto" w:fill="auto"/>
            <w:vAlign w:val="center"/>
            <w:hideMark/>
          </w:tcPr>
          <w:p w14:paraId="57829EB3"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3</w:t>
            </w:r>
          </w:p>
        </w:tc>
        <w:tc>
          <w:tcPr>
            <w:tcW w:w="1276" w:type="dxa"/>
            <w:shd w:val="clear" w:color="auto" w:fill="auto"/>
            <w:vAlign w:val="center"/>
            <w:hideMark/>
          </w:tcPr>
          <w:p w14:paraId="490F2E84"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0,12</w:t>
            </w:r>
          </w:p>
        </w:tc>
      </w:tr>
      <w:tr w:rsidR="005E1BBA" w:rsidRPr="005E1BBA" w14:paraId="1E75E502" w14:textId="77777777" w:rsidTr="00901E21">
        <w:trPr>
          <w:trHeight w:val="300"/>
          <w:jc w:val="center"/>
        </w:trPr>
        <w:tc>
          <w:tcPr>
            <w:tcW w:w="5240" w:type="dxa"/>
            <w:gridSpan w:val="2"/>
            <w:shd w:val="clear" w:color="auto" w:fill="auto"/>
            <w:vAlign w:val="center"/>
            <w:hideMark/>
          </w:tcPr>
          <w:p w14:paraId="30B8E4D6"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Entorno Tecnológico</w:t>
            </w:r>
          </w:p>
        </w:tc>
        <w:tc>
          <w:tcPr>
            <w:tcW w:w="2268" w:type="dxa"/>
            <w:gridSpan w:val="2"/>
            <w:shd w:val="clear" w:color="auto" w:fill="auto"/>
            <w:vAlign w:val="center"/>
            <w:hideMark/>
          </w:tcPr>
          <w:p w14:paraId="402FA4C2"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10%</w:t>
            </w:r>
          </w:p>
        </w:tc>
        <w:tc>
          <w:tcPr>
            <w:tcW w:w="1276" w:type="dxa"/>
            <w:shd w:val="clear" w:color="auto" w:fill="auto"/>
            <w:vAlign w:val="center"/>
            <w:hideMark/>
          </w:tcPr>
          <w:p w14:paraId="7ED07719" w14:textId="77777777" w:rsidR="005E1BBA" w:rsidRPr="005E1BBA" w:rsidRDefault="005E1BBA" w:rsidP="00901E21">
            <w:pPr>
              <w:spacing w:after="0" w:line="240" w:lineRule="auto"/>
              <w:ind w:firstLine="0"/>
              <w:jc w:val="right"/>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0,2</w:t>
            </w:r>
          </w:p>
        </w:tc>
      </w:tr>
      <w:tr w:rsidR="005E1BBA" w:rsidRPr="005E1BBA" w14:paraId="7201E06A" w14:textId="77777777" w:rsidTr="00901E21">
        <w:trPr>
          <w:trHeight w:val="900"/>
          <w:jc w:val="center"/>
        </w:trPr>
        <w:tc>
          <w:tcPr>
            <w:tcW w:w="2557" w:type="dxa"/>
            <w:shd w:val="clear" w:color="auto" w:fill="auto"/>
            <w:vAlign w:val="center"/>
            <w:hideMark/>
          </w:tcPr>
          <w:p w14:paraId="2BDF38FF"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Acceso a Tecnología</w:t>
            </w:r>
          </w:p>
        </w:tc>
        <w:tc>
          <w:tcPr>
            <w:tcW w:w="2683" w:type="dxa"/>
            <w:shd w:val="clear" w:color="auto" w:fill="auto"/>
            <w:vAlign w:val="center"/>
            <w:hideMark/>
          </w:tcPr>
          <w:p w14:paraId="2D9A5C1D"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Disponibilidad de tecnologías avanzadas en la región</w:t>
            </w:r>
          </w:p>
        </w:tc>
        <w:tc>
          <w:tcPr>
            <w:tcW w:w="1418" w:type="dxa"/>
            <w:shd w:val="clear" w:color="auto" w:fill="auto"/>
            <w:vAlign w:val="center"/>
            <w:hideMark/>
          </w:tcPr>
          <w:p w14:paraId="15CC9755"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5%</w:t>
            </w:r>
          </w:p>
        </w:tc>
        <w:tc>
          <w:tcPr>
            <w:tcW w:w="850" w:type="dxa"/>
            <w:shd w:val="clear" w:color="auto" w:fill="auto"/>
            <w:vAlign w:val="center"/>
            <w:hideMark/>
          </w:tcPr>
          <w:p w14:paraId="64D666B4"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2</w:t>
            </w:r>
          </w:p>
        </w:tc>
        <w:tc>
          <w:tcPr>
            <w:tcW w:w="1276" w:type="dxa"/>
            <w:shd w:val="clear" w:color="auto" w:fill="auto"/>
            <w:vAlign w:val="center"/>
            <w:hideMark/>
          </w:tcPr>
          <w:p w14:paraId="102EE488"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0,1</w:t>
            </w:r>
          </w:p>
        </w:tc>
      </w:tr>
      <w:tr w:rsidR="005E1BBA" w:rsidRPr="005E1BBA" w14:paraId="231C6C3C" w14:textId="77777777" w:rsidTr="00901E21">
        <w:trPr>
          <w:trHeight w:val="600"/>
          <w:jc w:val="center"/>
        </w:trPr>
        <w:tc>
          <w:tcPr>
            <w:tcW w:w="2557" w:type="dxa"/>
            <w:shd w:val="clear" w:color="auto" w:fill="auto"/>
            <w:vAlign w:val="center"/>
            <w:hideMark/>
          </w:tcPr>
          <w:p w14:paraId="4D0B2663"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Inversión en I+D</w:t>
            </w:r>
          </w:p>
        </w:tc>
        <w:tc>
          <w:tcPr>
            <w:tcW w:w="2683" w:type="dxa"/>
            <w:shd w:val="clear" w:color="auto" w:fill="auto"/>
            <w:vAlign w:val="center"/>
            <w:hideMark/>
          </w:tcPr>
          <w:p w14:paraId="3FCC82C0"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Grados de inversión en investigación y desarrollo</w:t>
            </w:r>
          </w:p>
        </w:tc>
        <w:tc>
          <w:tcPr>
            <w:tcW w:w="1418" w:type="dxa"/>
            <w:shd w:val="clear" w:color="auto" w:fill="auto"/>
            <w:vAlign w:val="center"/>
            <w:hideMark/>
          </w:tcPr>
          <w:p w14:paraId="23C0D0F9"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3%</w:t>
            </w:r>
          </w:p>
        </w:tc>
        <w:tc>
          <w:tcPr>
            <w:tcW w:w="850" w:type="dxa"/>
            <w:shd w:val="clear" w:color="auto" w:fill="auto"/>
            <w:vAlign w:val="center"/>
            <w:hideMark/>
          </w:tcPr>
          <w:p w14:paraId="371DB667"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2,5</w:t>
            </w:r>
          </w:p>
        </w:tc>
        <w:tc>
          <w:tcPr>
            <w:tcW w:w="1276" w:type="dxa"/>
            <w:shd w:val="clear" w:color="auto" w:fill="auto"/>
            <w:vAlign w:val="center"/>
            <w:hideMark/>
          </w:tcPr>
          <w:p w14:paraId="09EB4E03"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0,1</w:t>
            </w:r>
          </w:p>
        </w:tc>
      </w:tr>
      <w:tr w:rsidR="005E1BBA" w:rsidRPr="005E1BBA" w14:paraId="327D409B" w14:textId="77777777" w:rsidTr="00901E21">
        <w:trPr>
          <w:trHeight w:val="600"/>
          <w:jc w:val="center"/>
        </w:trPr>
        <w:tc>
          <w:tcPr>
            <w:tcW w:w="2557" w:type="dxa"/>
            <w:shd w:val="clear" w:color="auto" w:fill="auto"/>
            <w:vAlign w:val="center"/>
            <w:hideMark/>
          </w:tcPr>
          <w:p w14:paraId="1470F48B"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Colaboraciones Universitarias</w:t>
            </w:r>
          </w:p>
        </w:tc>
        <w:tc>
          <w:tcPr>
            <w:tcW w:w="2683" w:type="dxa"/>
            <w:shd w:val="clear" w:color="auto" w:fill="auto"/>
            <w:vAlign w:val="center"/>
            <w:hideMark/>
          </w:tcPr>
          <w:p w14:paraId="4C623B8E"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Alianzas con instituciones educativas</w:t>
            </w:r>
          </w:p>
        </w:tc>
        <w:tc>
          <w:tcPr>
            <w:tcW w:w="1418" w:type="dxa"/>
            <w:shd w:val="clear" w:color="auto" w:fill="auto"/>
            <w:vAlign w:val="center"/>
            <w:hideMark/>
          </w:tcPr>
          <w:p w14:paraId="6F93A63A"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2%</w:t>
            </w:r>
          </w:p>
        </w:tc>
        <w:tc>
          <w:tcPr>
            <w:tcW w:w="850" w:type="dxa"/>
            <w:shd w:val="clear" w:color="auto" w:fill="auto"/>
            <w:vAlign w:val="center"/>
            <w:hideMark/>
          </w:tcPr>
          <w:p w14:paraId="0E5CF1A4"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2</w:t>
            </w:r>
          </w:p>
        </w:tc>
        <w:tc>
          <w:tcPr>
            <w:tcW w:w="1276" w:type="dxa"/>
            <w:shd w:val="clear" w:color="auto" w:fill="auto"/>
            <w:vAlign w:val="center"/>
            <w:hideMark/>
          </w:tcPr>
          <w:p w14:paraId="1EAEC9B7"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0,04</w:t>
            </w:r>
          </w:p>
        </w:tc>
      </w:tr>
      <w:tr w:rsidR="005E1BBA" w:rsidRPr="005E1BBA" w14:paraId="51547CE0" w14:textId="77777777" w:rsidTr="00901E21">
        <w:trPr>
          <w:trHeight w:val="300"/>
          <w:jc w:val="center"/>
        </w:trPr>
        <w:tc>
          <w:tcPr>
            <w:tcW w:w="5240" w:type="dxa"/>
            <w:gridSpan w:val="2"/>
            <w:shd w:val="clear" w:color="auto" w:fill="auto"/>
            <w:vAlign w:val="center"/>
            <w:hideMark/>
          </w:tcPr>
          <w:p w14:paraId="0A244CF5"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Entorno Competitivo</w:t>
            </w:r>
          </w:p>
        </w:tc>
        <w:tc>
          <w:tcPr>
            <w:tcW w:w="2268" w:type="dxa"/>
            <w:gridSpan w:val="2"/>
            <w:shd w:val="clear" w:color="auto" w:fill="auto"/>
            <w:vAlign w:val="center"/>
            <w:hideMark/>
          </w:tcPr>
          <w:p w14:paraId="2DA913E5"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15%</w:t>
            </w:r>
          </w:p>
        </w:tc>
        <w:tc>
          <w:tcPr>
            <w:tcW w:w="1276" w:type="dxa"/>
            <w:shd w:val="clear" w:color="auto" w:fill="auto"/>
            <w:vAlign w:val="center"/>
            <w:hideMark/>
          </w:tcPr>
          <w:p w14:paraId="4A6CF735" w14:textId="77777777" w:rsidR="005E1BBA" w:rsidRPr="005E1BBA" w:rsidRDefault="005E1BBA" w:rsidP="00901E21">
            <w:pPr>
              <w:spacing w:after="0" w:line="240" w:lineRule="auto"/>
              <w:ind w:firstLine="0"/>
              <w:jc w:val="right"/>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0,4</w:t>
            </w:r>
          </w:p>
        </w:tc>
      </w:tr>
      <w:tr w:rsidR="005E1BBA" w:rsidRPr="005E1BBA" w14:paraId="71874D97" w14:textId="77777777" w:rsidTr="00901E21">
        <w:trPr>
          <w:trHeight w:val="600"/>
          <w:jc w:val="center"/>
        </w:trPr>
        <w:tc>
          <w:tcPr>
            <w:tcW w:w="2557" w:type="dxa"/>
            <w:shd w:val="clear" w:color="auto" w:fill="auto"/>
            <w:vAlign w:val="center"/>
            <w:hideMark/>
          </w:tcPr>
          <w:p w14:paraId="3147884D"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Número de Zonas Francas Cercanas</w:t>
            </w:r>
          </w:p>
        </w:tc>
        <w:tc>
          <w:tcPr>
            <w:tcW w:w="2683" w:type="dxa"/>
            <w:shd w:val="clear" w:color="auto" w:fill="auto"/>
            <w:vAlign w:val="center"/>
            <w:hideMark/>
          </w:tcPr>
          <w:p w14:paraId="2044AD2B"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Existencia de zonas francas activas</w:t>
            </w:r>
          </w:p>
        </w:tc>
        <w:tc>
          <w:tcPr>
            <w:tcW w:w="1418" w:type="dxa"/>
            <w:shd w:val="clear" w:color="auto" w:fill="auto"/>
            <w:vAlign w:val="center"/>
            <w:hideMark/>
          </w:tcPr>
          <w:p w14:paraId="05B41122"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5%</w:t>
            </w:r>
          </w:p>
        </w:tc>
        <w:tc>
          <w:tcPr>
            <w:tcW w:w="850" w:type="dxa"/>
            <w:shd w:val="clear" w:color="auto" w:fill="auto"/>
            <w:vAlign w:val="center"/>
            <w:hideMark/>
          </w:tcPr>
          <w:p w14:paraId="6801F5E7"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2,5</w:t>
            </w:r>
          </w:p>
        </w:tc>
        <w:tc>
          <w:tcPr>
            <w:tcW w:w="1276" w:type="dxa"/>
            <w:shd w:val="clear" w:color="auto" w:fill="auto"/>
            <w:vAlign w:val="center"/>
            <w:hideMark/>
          </w:tcPr>
          <w:p w14:paraId="2E4393BC"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0,13</w:t>
            </w:r>
          </w:p>
        </w:tc>
      </w:tr>
      <w:tr w:rsidR="005E1BBA" w:rsidRPr="005E1BBA" w14:paraId="02B54737" w14:textId="77777777" w:rsidTr="00901E21">
        <w:trPr>
          <w:trHeight w:val="900"/>
          <w:jc w:val="center"/>
        </w:trPr>
        <w:tc>
          <w:tcPr>
            <w:tcW w:w="2557" w:type="dxa"/>
            <w:shd w:val="clear" w:color="auto" w:fill="auto"/>
            <w:vAlign w:val="center"/>
            <w:hideMark/>
          </w:tcPr>
          <w:p w14:paraId="6EB87FD5"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Estrategias de Diferenciación</w:t>
            </w:r>
          </w:p>
        </w:tc>
        <w:tc>
          <w:tcPr>
            <w:tcW w:w="2683" w:type="dxa"/>
            <w:shd w:val="clear" w:color="auto" w:fill="auto"/>
            <w:vAlign w:val="center"/>
            <w:hideMark/>
          </w:tcPr>
          <w:p w14:paraId="370CF076"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Capacidades que diferencian a Aguachica de otras zonas</w:t>
            </w:r>
          </w:p>
        </w:tc>
        <w:tc>
          <w:tcPr>
            <w:tcW w:w="1418" w:type="dxa"/>
            <w:shd w:val="clear" w:color="auto" w:fill="auto"/>
            <w:vAlign w:val="center"/>
            <w:hideMark/>
          </w:tcPr>
          <w:p w14:paraId="0671AFDE"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5%</w:t>
            </w:r>
          </w:p>
        </w:tc>
        <w:tc>
          <w:tcPr>
            <w:tcW w:w="850" w:type="dxa"/>
            <w:shd w:val="clear" w:color="auto" w:fill="auto"/>
            <w:vAlign w:val="center"/>
            <w:hideMark/>
          </w:tcPr>
          <w:p w14:paraId="527498AF"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3,5</w:t>
            </w:r>
          </w:p>
        </w:tc>
        <w:tc>
          <w:tcPr>
            <w:tcW w:w="1276" w:type="dxa"/>
            <w:shd w:val="clear" w:color="auto" w:fill="auto"/>
            <w:vAlign w:val="center"/>
            <w:hideMark/>
          </w:tcPr>
          <w:p w14:paraId="5E1264E3"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0,18</w:t>
            </w:r>
          </w:p>
        </w:tc>
      </w:tr>
      <w:tr w:rsidR="005E1BBA" w:rsidRPr="005E1BBA" w14:paraId="7C9EA54C" w14:textId="77777777" w:rsidTr="00901E21">
        <w:trPr>
          <w:trHeight w:val="600"/>
          <w:jc w:val="center"/>
        </w:trPr>
        <w:tc>
          <w:tcPr>
            <w:tcW w:w="2557" w:type="dxa"/>
            <w:shd w:val="clear" w:color="auto" w:fill="auto"/>
            <w:vAlign w:val="center"/>
            <w:hideMark/>
          </w:tcPr>
          <w:p w14:paraId="7F79A7EC"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Competencia en Sectores Específicos</w:t>
            </w:r>
          </w:p>
        </w:tc>
        <w:tc>
          <w:tcPr>
            <w:tcW w:w="2683" w:type="dxa"/>
            <w:shd w:val="clear" w:color="auto" w:fill="auto"/>
            <w:vAlign w:val="center"/>
            <w:hideMark/>
          </w:tcPr>
          <w:p w14:paraId="792C099C" w14:textId="77777777" w:rsidR="005E1BBA" w:rsidRPr="005E1BBA" w:rsidRDefault="005E1BBA" w:rsidP="00901E21">
            <w:pPr>
              <w:spacing w:after="0" w:line="240" w:lineRule="auto"/>
              <w:ind w:firstLine="0"/>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Competidores directos en sectores relevantes</w:t>
            </w:r>
          </w:p>
        </w:tc>
        <w:tc>
          <w:tcPr>
            <w:tcW w:w="1418" w:type="dxa"/>
            <w:shd w:val="clear" w:color="auto" w:fill="auto"/>
            <w:vAlign w:val="center"/>
            <w:hideMark/>
          </w:tcPr>
          <w:p w14:paraId="2979A6C6"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5%</w:t>
            </w:r>
          </w:p>
        </w:tc>
        <w:tc>
          <w:tcPr>
            <w:tcW w:w="850" w:type="dxa"/>
            <w:shd w:val="clear" w:color="auto" w:fill="auto"/>
            <w:vAlign w:val="center"/>
            <w:hideMark/>
          </w:tcPr>
          <w:p w14:paraId="3AFFD292"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2,5</w:t>
            </w:r>
          </w:p>
        </w:tc>
        <w:tc>
          <w:tcPr>
            <w:tcW w:w="1276" w:type="dxa"/>
            <w:shd w:val="clear" w:color="auto" w:fill="auto"/>
            <w:vAlign w:val="center"/>
            <w:hideMark/>
          </w:tcPr>
          <w:p w14:paraId="033E0050" w14:textId="77777777" w:rsidR="005E1BBA" w:rsidRPr="005E1BBA" w:rsidRDefault="005E1BBA" w:rsidP="00901E21">
            <w:pPr>
              <w:spacing w:after="0" w:line="240" w:lineRule="auto"/>
              <w:ind w:firstLine="0"/>
              <w:jc w:val="right"/>
              <w:rPr>
                <w:rFonts w:ascii="Calibri" w:eastAsia="Times New Roman" w:hAnsi="Calibri" w:cs="Calibri"/>
                <w:color w:val="000000"/>
                <w:kern w:val="0"/>
                <w:sz w:val="22"/>
                <w:lang w:eastAsia="es-CO"/>
                <w14:ligatures w14:val="none"/>
              </w:rPr>
            </w:pPr>
            <w:r w:rsidRPr="005E1BBA">
              <w:rPr>
                <w:rFonts w:ascii="Calibri" w:eastAsia="Times New Roman" w:hAnsi="Calibri" w:cs="Calibri"/>
                <w:color w:val="000000"/>
                <w:kern w:val="0"/>
                <w:sz w:val="22"/>
                <w:lang w:eastAsia="es-CO"/>
                <w14:ligatures w14:val="none"/>
              </w:rPr>
              <w:t>0,125</w:t>
            </w:r>
          </w:p>
        </w:tc>
      </w:tr>
      <w:tr w:rsidR="005E1BBA" w:rsidRPr="005E1BBA" w14:paraId="47A60A35" w14:textId="77777777" w:rsidTr="00901E21">
        <w:trPr>
          <w:trHeight w:val="600"/>
          <w:jc w:val="center"/>
        </w:trPr>
        <w:tc>
          <w:tcPr>
            <w:tcW w:w="5240" w:type="dxa"/>
            <w:gridSpan w:val="2"/>
            <w:shd w:val="clear" w:color="auto" w:fill="auto"/>
            <w:vAlign w:val="center"/>
            <w:hideMark/>
          </w:tcPr>
          <w:p w14:paraId="6D384334"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Total Factores Externos</w:t>
            </w:r>
          </w:p>
        </w:tc>
        <w:tc>
          <w:tcPr>
            <w:tcW w:w="2268" w:type="dxa"/>
            <w:gridSpan w:val="2"/>
            <w:shd w:val="clear" w:color="auto" w:fill="auto"/>
            <w:vAlign w:val="center"/>
            <w:hideMark/>
          </w:tcPr>
          <w:p w14:paraId="227716B5" w14:textId="77777777" w:rsidR="005E1BBA" w:rsidRPr="005E1BBA" w:rsidRDefault="005E1BBA" w:rsidP="00901E21">
            <w:pPr>
              <w:spacing w:after="0" w:line="240" w:lineRule="auto"/>
              <w:ind w:firstLine="0"/>
              <w:jc w:val="center"/>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100%</w:t>
            </w:r>
          </w:p>
        </w:tc>
        <w:tc>
          <w:tcPr>
            <w:tcW w:w="1276" w:type="dxa"/>
            <w:shd w:val="clear" w:color="auto" w:fill="auto"/>
            <w:vAlign w:val="center"/>
            <w:hideMark/>
          </w:tcPr>
          <w:p w14:paraId="4DAED81F" w14:textId="77777777" w:rsidR="005E1BBA" w:rsidRPr="005E1BBA" w:rsidRDefault="005E1BBA" w:rsidP="00901E21">
            <w:pPr>
              <w:spacing w:after="0" w:line="240" w:lineRule="auto"/>
              <w:ind w:firstLine="0"/>
              <w:jc w:val="right"/>
              <w:rPr>
                <w:rFonts w:ascii="Calibri" w:eastAsia="Times New Roman" w:hAnsi="Calibri" w:cs="Calibri"/>
                <w:b/>
                <w:bCs/>
                <w:color w:val="000000"/>
                <w:kern w:val="0"/>
                <w:sz w:val="22"/>
                <w:lang w:eastAsia="es-CO"/>
                <w14:ligatures w14:val="none"/>
              </w:rPr>
            </w:pPr>
            <w:r w:rsidRPr="005E1BBA">
              <w:rPr>
                <w:rFonts w:ascii="Calibri" w:eastAsia="Times New Roman" w:hAnsi="Calibri" w:cs="Calibri"/>
                <w:b/>
                <w:bCs/>
                <w:color w:val="000000"/>
                <w:kern w:val="0"/>
                <w:sz w:val="22"/>
                <w:lang w:eastAsia="es-CO"/>
                <w14:ligatures w14:val="none"/>
              </w:rPr>
              <w:t>3,7</w:t>
            </w:r>
          </w:p>
        </w:tc>
      </w:tr>
    </w:tbl>
    <w:p w14:paraId="58BD9852" w14:textId="369CA9EA" w:rsidR="005E1BBA" w:rsidRDefault="005E1BBA" w:rsidP="0015136C">
      <w:pPr>
        <w:spacing w:line="480" w:lineRule="auto"/>
        <w:ind w:firstLine="720"/>
        <w:jc w:val="center"/>
        <w:rPr>
          <w:bCs/>
          <w:szCs w:val="18"/>
        </w:rPr>
      </w:pPr>
      <w:r w:rsidRPr="005E1BBA">
        <w:rPr>
          <w:bCs/>
          <w:szCs w:val="18"/>
        </w:rPr>
        <w:t>Nota: Elaboración Propia</w:t>
      </w:r>
    </w:p>
    <w:p w14:paraId="76D07AE5" w14:textId="77777777" w:rsidR="00D50BA5" w:rsidRDefault="00D50BA5" w:rsidP="00901E21">
      <w:pPr>
        <w:pStyle w:val="Descripcin"/>
        <w:spacing w:after="0"/>
        <w:rPr>
          <w:b/>
          <w:bCs/>
          <w:i w:val="0"/>
          <w:iCs w:val="0"/>
          <w:color w:val="auto"/>
          <w:sz w:val="24"/>
          <w:szCs w:val="22"/>
        </w:rPr>
      </w:pPr>
      <w:bookmarkStart w:id="135" w:name="_Toc178689034"/>
      <w:bookmarkStart w:id="136" w:name="_Toc183783107"/>
    </w:p>
    <w:p w14:paraId="44210751" w14:textId="77777777" w:rsidR="00901E21" w:rsidRPr="00901E21" w:rsidRDefault="00901E21" w:rsidP="00901E21">
      <w:pPr>
        <w:pStyle w:val="Descripcin"/>
        <w:spacing w:after="0"/>
        <w:rPr>
          <w:b/>
          <w:bCs/>
          <w:i w:val="0"/>
          <w:iCs w:val="0"/>
          <w:color w:val="auto"/>
          <w:sz w:val="24"/>
          <w:szCs w:val="22"/>
        </w:rPr>
      </w:pPr>
      <w:r w:rsidRPr="00901E21">
        <w:rPr>
          <w:b/>
          <w:bCs/>
          <w:i w:val="0"/>
          <w:iCs w:val="0"/>
          <w:color w:val="auto"/>
          <w:sz w:val="24"/>
          <w:szCs w:val="22"/>
        </w:rPr>
        <w:t xml:space="preserve">Tabla </w:t>
      </w:r>
      <w:r w:rsidRPr="00901E21">
        <w:rPr>
          <w:b/>
          <w:bCs/>
          <w:i w:val="0"/>
          <w:iCs w:val="0"/>
          <w:color w:val="auto"/>
          <w:sz w:val="24"/>
          <w:szCs w:val="22"/>
        </w:rPr>
        <w:fldChar w:fldCharType="begin"/>
      </w:r>
      <w:r w:rsidRPr="00901E21">
        <w:rPr>
          <w:b/>
          <w:bCs/>
          <w:i w:val="0"/>
          <w:iCs w:val="0"/>
          <w:color w:val="auto"/>
          <w:sz w:val="24"/>
          <w:szCs w:val="22"/>
        </w:rPr>
        <w:instrText xml:space="preserve"> SEQ Tabla \* ARABIC </w:instrText>
      </w:r>
      <w:r w:rsidRPr="00901E21">
        <w:rPr>
          <w:b/>
          <w:bCs/>
          <w:i w:val="0"/>
          <w:iCs w:val="0"/>
          <w:color w:val="auto"/>
          <w:sz w:val="24"/>
          <w:szCs w:val="22"/>
        </w:rPr>
        <w:fldChar w:fldCharType="separate"/>
      </w:r>
      <w:r w:rsidRPr="00901E21">
        <w:rPr>
          <w:b/>
          <w:bCs/>
          <w:i w:val="0"/>
          <w:iCs w:val="0"/>
          <w:color w:val="auto"/>
          <w:sz w:val="24"/>
          <w:szCs w:val="22"/>
        </w:rPr>
        <w:t>17</w:t>
      </w:r>
      <w:r w:rsidRPr="00901E21">
        <w:rPr>
          <w:b/>
          <w:bCs/>
          <w:i w:val="0"/>
          <w:iCs w:val="0"/>
          <w:color w:val="auto"/>
          <w:sz w:val="24"/>
          <w:szCs w:val="22"/>
        </w:rPr>
        <w:fldChar w:fldCharType="end"/>
      </w:r>
      <w:r w:rsidRPr="00901E21">
        <w:rPr>
          <w:b/>
          <w:bCs/>
          <w:i w:val="0"/>
          <w:iCs w:val="0"/>
          <w:color w:val="auto"/>
          <w:sz w:val="24"/>
          <w:szCs w:val="22"/>
        </w:rPr>
        <w:t>:</w:t>
      </w:r>
      <w:bookmarkEnd w:id="135"/>
      <w:bookmarkEnd w:id="136"/>
      <w:r w:rsidRPr="00901E21">
        <w:rPr>
          <w:b/>
          <w:bCs/>
          <w:i w:val="0"/>
          <w:iCs w:val="0"/>
          <w:color w:val="auto"/>
          <w:sz w:val="24"/>
          <w:szCs w:val="22"/>
        </w:rPr>
        <w:t xml:space="preserve"> </w:t>
      </w:r>
    </w:p>
    <w:p w14:paraId="747FC16D" w14:textId="5E416A0A" w:rsidR="00901E21" w:rsidRPr="006C3145" w:rsidRDefault="00901E21" w:rsidP="00901E21">
      <w:pPr>
        <w:pStyle w:val="Descripcin"/>
        <w:spacing w:after="0"/>
        <w:rPr>
          <w:i w:val="0"/>
          <w:iCs w:val="0"/>
          <w:color w:val="auto"/>
          <w:sz w:val="24"/>
          <w:szCs w:val="22"/>
        </w:rPr>
      </w:pPr>
      <w:bookmarkStart w:id="137" w:name="_Toc178689035"/>
      <w:bookmarkStart w:id="138" w:name="_Toc183783108"/>
      <w:r w:rsidRPr="006C3145">
        <w:rPr>
          <w:i w:val="0"/>
          <w:iCs w:val="0"/>
          <w:color w:val="auto"/>
          <w:sz w:val="24"/>
          <w:szCs w:val="22"/>
        </w:rPr>
        <w:t>Matriz de evaluación de factores</w:t>
      </w:r>
      <w:bookmarkEnd w:id="137"/>
      <w:bookmarkEnd w:id="138"/>
    </w:p>
    <w:p w14:paraId="0E8DE8AA" w14:textId="77777777" w:rsidR="00901E21" w:rsidRPr="00901E21" w:rsidRDefault="00901E21" w:rsidP="00901E21">
      <w:pPr>
        <w:rPr>
          <w:i/>
          <w:iCs/>
        </w:rPr>
      </w:pP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97"/>
        <w:gridCol w:w="4697"/>
      </w:tblGrid>
      <w:tr w:rsidR="00FD452F" w14:paraId="73857AF7" w14:textId="77777777" w:rsidTr="006C3145">
        <w:tc>
          <w:tcPr>
            <w:tcW w:w="4697" w:type="dxa"/>
            <w:tcBorders>
              <w:top w:val="single" w:sz="4" w:space="0" w:color="auto"/>
              <w:bottom w:val="single" w:sz="4" w:space="0" w:color="auto"/>
            </w:tcBorders>
            <w:vAlign w:val="center"/>
          </w:tcPr>
          <w:p w14:paraId="2F8F5B45" w14:textId="42426B96" w:rsidR="00FD452F" w:rsidRDefault="008A509C" w:rsidP="0015136C">
            <w:pPr>
              <w:spacing w:line="480" w:lineRule="auto"/>
              <w:ind w:firstLine="0"/>
              <w:jc w:val="center"/>
              <w:rPr>
                <w:b/>
                <w:bCs/>
                <w:szCs w:val="18"/>
              </w:rPr>
            </w:pPr>
            <w:r>
              <w:rPr>
                <w:b/>
                <w:bCs/>
                <w:szCs w:val="18"/>
              </w:rPr>
              <w:t>Factor</w:t>
            </w:r>
          </w:p>
        </w:tc>
        <w:tc>
          <w:tcPr>
            <w:tcW w:w="4697" w:type="dxa"/>
            <w:tcBorders>
              <w:top w:val="single" w:sz="4" w:space="0" w:color="auto"/>
              <w:bottom w:val="single" w:sz="4" w:space="0" w:color="auto"/>
            </w:tcBorders>
            <w:vAlign w:val="center"/>
          </w:tcPr>
          <w:p w14:paraId="29AD2C33" w14:textId="2C5BD4A8" w:rsidR="00FD452F" w:rsidRDefault="008A509C" w:rsidP="0015136C">
            <w:pPr>
              <w:spacing w:line="480" w:lineRule="auto"/>
              <w:ind w:firstLine="0"/>
              <w:jc w:val="center"/>
              <w:rPr>
                <w:b/>
                <w:bCs/>
                <w:szCs w:val="18"/>
              </w:rPr>
            </w:pPr>
            <w:r>
              <w:rPr>
                <w:b/>
                <w:bCs/>
                <w:szCs w:val="18"/>
              </w:rPr>
              <w:t>Puntaje</w:t>
            </w:r>
          </w:p>
        </w:tc>
      </w:tr>
      <w:tr w:rsidR="00FD452F" w14:paraId="3D4450CD" w14:textId="77777777" w:rsidTr="006C3145">
        <w:tc>
          <w:tcPr>
            <w:tcW w:w="4697" w:type="dxa"/>
            <w:tcBorders>
              <w:top w:val="single" w:sz="4" w:space="0" w:color="auto"/>
            </w:tcBorders>
            <w:vAlign w:val="center"/>
          </w:tcPr>
          <w:p w14:paraId="62CB38C9" w14:textId="45BFE4EC" w:rsidR="00FD452F" w:rsidRPr="008A509C" w:rsidRDefault="00FD452F" w:rsidP="0015136C">
            <w:pPr>
              <w:spacing w:line="480" w:lineRule="auto"/>
              <w:ind w:firstLine="0"/>
              <w:jc w:val="center"/>
              <w:rPr>
                <w:bCs/>
                <w:szCs w:val="18"/>
              </w:rPr>
            </w:pPr>
            <w:r w:rsidRPr="008A509C">
              <w:rPr>
                <w:bCs/>
                <w:szCs w:val="18"/>
              </w:rPr>
              <w:t>Factores Internos</w:t>
            </w:r>
          </w:p>
        </w:tc>
        <w:tc>
          <w:tcPr>
            <w:tcW w:w="4697" w:type="dxa"/>
            <w:tcBorders>
              <w:top w:val="single" w:sz="4" w:space="0" w:color="auto"/>
            </w:tcBorders>
            <w:vAlign w:val="center"/>
          </w:tcPr>
          <w:p w14:paraId="294E55F5" w14:textId="2D0B8C61" w:rsidR="00FD452F" w:rsidRPr="008A509C" w:rsidRDefault="00FD452F" w:rsidP="0015136C">
            <w:pPr>
              <w:spacing w:line="480" w:lineRule="auto"/>
              <w:ind w:firstLine="0"/>
              <w:jc w:val="center"/>
              <w:rPr>
                <w:bCs/>
                <w:szCs w:val="18"/>
              </w:rPr>
            </w:pPr>
            <w:r w:rsidRPr="008A509C">
              <w:rPr>
                <w:bCs/>
                <w:szCs w:val="18"/>
              </w:rPr>
              <w:t>3,4</w:t>
            </w:r>
          </w:p>
        </w:tc>
      </w:tr>
      <w:tr w:rsidR="00FD452F" w14:paraId="48060B66" w14:textId="77777777" w:rsidTr="006C3145">
        <w:tc>
          <w:tcPr>
            <w:tcW w:w="4697" w:type="dxa"/>
            <w:vAlign w:val="center"/>
          </w:tcPr>
          <w:p w14:paraId="00DC962D" w14:textId="5C4CFD82" w:rsidR="00FD452F" w:rsidRPr="008A509C" w:rsidRDefault="00FD452F" w:rsidP="0015136C">
            <w:pPr>
              <w:spacing w:line="480" w:lineRule="auto"/>
              <w:ind w:firstLine="0"/>
              <w:jc w:val="center"/>
              <w:rPr>
                <w:bCs/>
                <w:szCs w:val="18"/>
              </w:rPr>
            </w:pPr>
            <w:r w:rsidRPr="008A509C">
              <w:rPr>
                <w:bCs/>
                <w:szCs w:val="18"/>
              </w:rPr>
              <w:t>Factores externos</w:t>
            </w:r>
          </w:p>
        </w:tc>
        <w:tc>
          <w:tcPr>
            <w:tcW w:w="4697" w:type="dxa"/>
            <w:vAlign w:val="center"/>
          </w:tcPr>
          <w:p w14:paraId="2979FDB0" w14:textId="10A63BAC" w:rsidR="00FD452F" w:rsidRPr="008A509C" w:rsidRDefault="00FD452F" w:rsidP="0015136C">
            <w:pPr>
              <w:spacing w:line="480" w:lineRule="auto"/>
              <w:ind w:firstLine="0"/>
              <w:jc w:val="center"/>
              <w:rPr>
                <w:bCs/>
                <w:szCs w:val="18"/>
              </w:rPr>
            </w:pPr>
            <w:r w:rsidRPr="008A509C">
              <w:rPr>
                <w:bCs/>
                <w:szCs w:val="18"/>
              </w:rPr>
              <w:t>3,7</w:t>
            </w:r>
          </w:p>
        </w:tc>
      </w:tr>
      <w:tr w:rsidR="00FD452F" w14:paraId="32075943" w14:textId="77777777" w:rsidTr="006C3145">
        <w:tc>
          <w:tcPr>
            <w:tcW w:w="4697" w:type="dxa"/>
            <w:vAlign w:val="center"/>
          </w:tcPr>
          <w:p w14:paraId="0897C1A0" w14:textId="544BE7FC" w:rsidR="00FD452F" w:rsidRDefault="00FD452F" w:rsidP="0015136C">
            <w:pPr>
              <w:spacing w:line="480" w:lineRule="auto"/>
              <w:ind w:firstLine="0"/>
              <w:jc w:val="center"/>
              <w:rPr>
                <w:b/>
                <w:bCs/>
                <w:szCs w:val="18"/>
              </w:rPr>
            </w:pPr>
            <w:r>
              <w:rPr>
                <w:b/>
                <w:bCs/>
                <w:szCs w:val="18"/>
              </w:rPr>
              <w:t>Calificación Final</w:t>
            </w:r>
          </w:p>
        </w:tc>
        <w:tc>
          <w:tcPr>
            <w:tcW w:w="4697" w:type="dxa"/>
            <w:vAlign w:val="center"/>
          </w:tcPr>
          <w:p w14:paraId="40EBD2EB" w14:textId="59F9FFC8" w:rsidR="00FD452F" w:rsidRDefault="008A509C" w:rsidP="0015136C">
            <w:pPr>
              <w:spacing w:line="480" w:lineRule="auto"/>
              <w:ind w:firstLine="0"/>
              <w:jc w:val="center"/>
              <w:rPr>
                <w:b/>
                <w:bCs/>
                <w:szCs w:val="18"/>
              </w:rPr>
            </w:pPr>
            <w:r>
              <w:rPr>
                <w:b/>
                <w:bCs/>
                <w:szCs w:val="18"/>
              </w:rPr>
              <w:t>3,55</w:t>
            </w:r>
          </w:p>
        </w:tc>
      </w:tr>
    </w:tbl>
    <w:p w14:paraId="4965FA37" w14:textId="77777777" w:rsidR="00901E21" w:rsidRDefault="00901E21" w:rsidP="0015136C">
      <w:pPr>
        <w:spacing w:line="480" w:lineRule="auto"/>
      </w:pPr>
    </w:p>
    <w:p w14:paraId="5975D450" w14:textId="0B91D3D6" w:rsidR="008A509C" w:rsidRPr="008A509C" w:rsidRDefault="008A509C" w:rsidP="0015136C">
      <w:pPr>
        <w:spacing w:line="480" w:lineRule="auto"/>
      </w:pPr>
      <w:r w:rsidRPr="008A509C">
        <w:t xml:space="preserve">La calificación final de </w:t>
      </w:r>
      <w:r>
        <w:rPr>
          <w:b/>
        </w:rPr>
        <w:t>3,</w:t>
      </w:r>
      <w:r w:rsidRPr="008A509C">
        <w:rPr>
          <w:b/>
        </w:rPr>
        <w:t>55</w:t>
      </w:r>
      <w:r w:rsidRPr="008A509C">
        <w:t xml:space="preserve"> sugiere que Aguac</w:t>
      </w:r>
      <w:r>
        <w:t>hica posee un potencial aceptable</w:t>
      </w:r>
      <w:r w:rsidR="0096072B">
        <w:t xml:space="preserve"> o moderado</w:t>
      </w:r>
      <w:r w:rsidRPr="008A509C">
        <w:t xml:space="preserve"> para establecer una zona franca. Sin embargo, hay varios desafíos que necesitan ser abordados para maximizar este potencial. En primer lugar, se requiere realizar mejoras en infraestructura, lo que implica una inversión significativa en las instalaciones y servicios básicos necesarios para operar eficientemente en una zona franca. Esto incluye el desarrollo de carreteras, acceso a puertos y aeropuertos, así como la mejora de servicios como agua, electricidad e internet.</w:t>
      </w:r>
    </w:p>
    <w:p w14:paraId="0E648F07" w14:textId="46D2FA16" w:rsidR="008A509C" w:rsidRPr="008A509C" w:rsidRDefault="008A509C" w:rsidP="0015136C">
      <w:pPr>
        <w:spacing w:line="480" w:lineRule="auto"/>
      </w:pPr>
      <w:r w:rsidRPr="008A509C">
        <w:t>Otro desafío importante es el desarrollo del capital humano. Es esencial mejorar el nivel de educación de la población y proporcionar capacitación adecuada para aumentar la disponibilidad de mano de obra calificada. La implementación de programas de formación profesional y técnica puede contribuir a preparar a la fuerza laboral local para las demandas del mercado.</w:t>
      </w:r>
    </w:p>
    <w:p w14:paraId="34FF7965" w14:textId="26D0FE5A" w:rsidR="008A509C" w:rsidRPr="008A509C" w:rsidRDefault="008A509C" w:rsidP="0015136C">
      <w:pPr>
        <w:spacing w:line="480" w:lineRule="auto"/>
      </w:pPr>
      <w:r w:rsidRPr="008A509C">
        <w:t>La comunicación social y aceptación también juegan un papel crucial en el éxito de la zona franca. Es fundamental trabajar en la percepción que tiene la comunidad sobre las zonas francas y desarrollar proyectos sociales que beneficien directamente a la población local. Esto no solo generará apoyo, sino que también facilitará la integración de la zona franca en la comunidad.</w:t>
      </w:r>
    </w:p>
    <w:p w14:paraId="1A207148" w14:textId="3ABA8CCD" w:rsidR="008A509C" w:rsidRDefault="008A509C" w:rsidP="0015136C">
      <w:pPr>
        <w:spacing w:line="480" w:lineRule="auto"/>
      </w:pPr>
      <w:r w:rsidRPr="008A509C">
        <w:t>Por último, el entorno político y legal debe ser fortalecido. Es necesario asegurar una mayor estabilidad política y facilitar las condiciones que atraigan inversiones. La creación de un marco normativo claro y amigable para los inversores es clave para fomentar la confianza en la zona franca.</w:t>
      </w:r>
    </w:p>
    <w:p w14:paraId="69A69532" w14:textId="77777777" w:rsidR="008A509C" w:rsidRPr="008A509C" w:rsidRDefault="008A509C" w:rsidP="0015136C">
      <w:pPr>
        <w:spacing w:line="480" w:lineRule="auto"/>
        <w:rPr>
          <w:b/>
        </w:rPr>
      </w:pPr>
      <w:r w:rsidRPr="008A509C">
        <w:rPr>
          <w:b/>
        </w:rPr>
        <w:t>Recomendaciones</w:t>
      </w:r>
    </w:p>
    <w:p w14:paraId="2F4AAD5B" w14:textId="21B8609A" w:rsidR="008A509C" w:rsidRPr="008A509C" w:rsidRDefault="008A509C" w:rsidP="0015136C">
      <w:pPr>
        <w:spacing w:line="480" w:lineRule="auto"/>
      </w:pPr>
      <w:r w:rsidRPr="008A509C">
        <w:t xml:space="preserve">Para abordar estos desafíos, se recomienda priorizar inversiones en infraestructura, especialmente en el transporte y servicios básicos, que son esenciales para el funcionamiento de la </w:t>
      </w:r>
      <w:r w:rsidRPr="008A509C">
        <w:lastRenderedPageBreak/>
        <w:t>zona franca. Asimismo, la implementación de programas de capacitación es crucial para fomentar la formación de la mano de obra local en sectores relevantes, garantizando que la población esté preparada para aprovechar las oportunidades laborales que surjan.</w:t>
      </w:r>
    </w:p>
    <w:p w14:paraId="36C81ECA" w14:textId="2A4E7DA7" w:rsidR="008A509C" w:rsidRPr="008A509C" w:rsidRDefault="008A509C" w:rsidP="0015136C">
      <w:pPr>
        <w:spacing w:line="480" w:lineRule="auto"/>
      </w:pPr>
      <w:r w:rsidRPr="008A509C">
        <w:t>Además, es importante desarrollar iniciativas sociales que mejoren la calidad de vida de la población y fomenten la aceptación social de la zona franca. Estos proyectos no solo beneficiarán a la comunidad, sino que también crearán un ambiente propicio para el éxito de la zona franca.</w:t>
      </w:r>
    </w:p>
    <w:p w14:paraId="0403C8DB" w14:textId="395EBC67" w:rsidR="008A509C" w:rsidRPr="008A509C" w:rsidRDefault="008A509C" w:rsidP="0015136C">
      <w:pPr>
        <w:spacing w:line="480" w:lineRule="auto"/>
      </w:pPr>
      <w:r w:rsidRPr="008A509C">
        <w:t>Asegurar claridad y estabilidad legal es otra recomendación clave. Un entorno legal que facilite la inversión y ofrezca seguridad a los inversores generará confianza y atraerá más capital.</w:t>
      </w:r>
    </w:p>
    <w:p w14:paraId="1B19D6E1" w14:textId="203D35CE" w:rsidR="00FD137C" w:rsidRDefault="008A509C" w:rsidP="0015136C">
      <w:pPr>
        <w:spacing w:line="480" w:lineRule="auto"/>
      </w:pPr>
      <w:r w:rsidRPr="008A509C">
        <w:t>Finalmente, es recomendable promover la inversión en tecnología, fomentando la colaboración con universidades e instituciones para mejorar la infraestructura tecnológica en la región. Esta estrategia permitirá a Aguachica no solo atraer inversiones, sino también posicionarse competitivamente en el contexto de zonas francas, creando un ecosistema que favorezca el desarrollo económico y social.</w:t>
      </w:r>
    </w:p>
    <w:p w14:paraId="6C9EFC51" w14:textId="77777777" w:rsidR="00A50D2A" w:rsidRDefault="00A50D2A" w:rsidP="0015136C">
      <w:pPr>
        <w:spacing w:line="480" w:lineRule="auto"/>
      </w:pPr>
    </w:p>
    <w:p w14:paraId="5DF94688" w14:textId="77777777" w:rsidR="00A50D2A" w:rsidRDefault="00A50D2A" w:rsidP="00A50D2A">
      <w:pPr>
        <w:pStyle w:val="Ttulo2"/>
      </w:pPr>
      <w:bookmarkStart w:id="139" w:name="_Toc183783061"/>
      <w:r>
        <w:t>DISCUSIÓN</w:t>
      </w:r>
      <w:bookmarkEnd w:id="139"/>
    </w:p>
    <w:p w14:paraId="388885B0" w14:textId="77777777" w:rsidR="00A50D2A" w:rsidRDefault="00A50D2A" w:rsidP="00A50D2A"/>
    <w:p w14:paraId="249C18A7" w14:textId="2A42B3D3" w:rsidR="00A50D2A" w:rsidRDefault="00A50D2A" w:rsidP="00A50D2A">
      <w:pPr>
        <w:spacing w:line="480" w:lineRule="auto"/>
      </w:pPr>
      <w:r>
        <w:t xml:space="preserve"> Este proyecto tiene el potencial de hacer una valiosa aportación al conocimiento dentro del campo de las ciencias económicas, especialmente en el área de las políticas de desarrollo regional. Al analizar la viabilidad de establecer una Zona Franca en Aguachica, la investigación no solo se enfoca en evaluar factores económicos, sociales y legales, sino que también explora cómo las políticas de incentivos fiscales y aduaneros pueden impactar el crecimiento económico en regiones en desarrollo.</w:t>
      </w:r>
    </w:p>
    <w:p w14:paraId="136A846E" w14:textId="77777777" w:rsidR="00A50D2A" w:rsidRDefault="00A50D2A" w:rsidP="00A50D2A">
      <w:pPr>
        <w:spacing w:line="480" w:lineRule="auto"/>
      </w:pPr>
      <w:r>
        <w:lastRenderedPageBreak/>
        <w:t>Desde una perspectiva teórica, el proyecto se alinea con principios económicos que abordan el fomento de la competitividad y la atracción de inversión extranjera directa. Estos factores son fundamentales en la creación de economías regionales más sólidas y en el impulso del comercio exterior. A través de esta investigación, se aporta una comprensión más profunda de los efectos positivos que una zona de régimen especial podría tener sobre la economía local de Aguachica, contribuyendo de manera directa al diálogo académico sobre las estrategias de desarrollo regional.</w:t>
      </w:r>
    </w:p>
    <w:p w14:paraId="55A9CFDF" w14:textId="5BF97DFE" w:rsidR="00A50D2A" w:rsidRDefault="00A50D2A" w:rsidP="00A50D2A">
      <w:pPr>
        <w:spacing w:line="480" w:lineRule="auto"/>
      </w:pPr>
      <w:r>
        <w:t>Asimismo, el estudio se enmarca dentro de los objetivos de política económica nacional orientados a reducir las brechas de desarrollo entre regiones. Al evaluar los beneficios y posibles limitaciones de una Zona Franca en Aguachica, el proyecto analiza de manera práctica cómo una política económica enfocada en el desarrollo regional puede ayudar a reconfigurar las dinámicas productivas de zonas menos desarrolladas. Este enfoque no solo incrementa el valor académico del estudio, sino que también lo convierte en un caso de referencia para futuras investigaciones sobre políticas de desarrollo en contextos similares dentro de Colombia.</w:t>
      </w:r>
    </w:p>
    <w:p w14:paraId="6E9887CF" w14:textId="488AE501" w:rsidR="00A50D2A" w:rsidRDefault="00A50D2A" w:rsidP="00A50D2A">
      <w:pPr>
        <w:spacing w:line="480" w:lineRule="auto"/>
      </w:pPr>
      <w:r>
        <w:t>Finalmente, la investigación aporta una perspectiva sobre los retos asociados a las zonas francas, tales como la dependencia de incentivos fiscales y la sostenibilidad de estas iniciativas a largo plazo. Los hallazgos obtenidos pueden ofrecer lecciones significativas para la literatura en ciencias económicas, proporcionando un marco de referencia útil para otros proyectos de investigación centrados en la implementación de políticas de desarrollo regional.</w:t>
      </w:r>
    </w:p>
    <w:p w14:paraId="13804330" w14:textId="2D854987" w:rsidR="00ED3B21" w:rsidRDefault="00ED3B21">
      <w:pPr>
        <w:spacing w:line="259" w:lineRule="auto"/>
        <w:ind w:firstLine="0"/>
        <w:jc w:val="left"/>
      </w:pPr>
      <w:r>
        <w:br w:type="page"/>
      </w:r>
    </w:p>
    <w:p w14:paraId="0BB0A152" w14:textId="7ED72BE6" w:rsidR="0038031F" w:rsidRDefault="0093652A" w:rsidP="00901E21">
      <w:pPr>
        <w:pStyle w:val="Ttulo1"/>
      </w:pPr>
      <w:bookmarkStart w:id="140" w:name="_Toc183783062"/>
      <w:r w:rsidRPr="00901E21">
        <w:lastRenderedPageBreak/>
        <w:t>CONCLUSIONES Y RECOMENDACIONES</w:t>
      </w:r>
      <w:bookmarkEnd w:id="140"/>
      <w:r w:rsidRPr="00901E21">
        <w:t xml:space="preserve"> </w:t>
      </w:r>
    </w:p>
    <w:p w14:paraId="203749E2" w14:textId="77777777" w:rsidR="00D50BA5" w:rsidRPr="00D50BA5" w:rsidRDefault="00D50BA5" w:rsidP="00D50BA5">
      <w:pPr>
        <w:rPr>
          <w:lang w:val="x-none" w:eastAsia="es-ES"/>
        </w:rPr>
      </w:pPr>
    </w:p>
    <w:p w14:paraId="56BFCF69" w14:textId="606C0619" w:rsidR="00D2705A" w:rsidRDefault="00D2705A" w:rsidP="00D2705A">
      <w:pPr>
        <w:spacing w:line="480" w:lineRule="auto"/>
      </w:pPr>
      <w:r>
        <w:t>Este</w:t>
      </w:r>
      <w:r w:rsidRPr="00D2705A">
        <w:t xml:space="preserve"> capítulo final sintetiza los hallazgos y observaciones claves obtenidas a lo largo del estudio, y ofrece un conjunto de recomendaciones estratégicas basadas en los resultados alcanzados. Las conclusiones se enfocan en evaluar la viabilidad y el impacto potencial de establecer una Zona Franca en Aguachica, considerando tanto las ventajas como las posibles limitaciones. Asimismo, las recomendaciones proponen acciones específicas para facilitar la implementación de la zona franca y maximizar sus beneficios para la economía local y regional. Este capítulo representa el cierre de la investigación, resaltando la importancia de una planificación cuidadosa y de un monitoreo continuo de las condiciones del entorno para asegurar el éxito y la sostenibilidad del proyecto.</w:t>
      </w:r>
    </w:p>
    <w:p w14:paraId="041A3141" w14:textId="77777777" w:rsidR="00D50BA5" w:rsidRPr="00901E21" w:rsidRDefault="00D50BA5" w:rsidP="00D50BA5">
      <w:pPr>
        <w:spacing w:line="276" w:lineRule="auto"/>
      </w:pPr>
    </w:p>
    <w:p w14:paraId="6BCED72F" w14:textId="72495702" w:rsidR="00835F43" w:rsidRDefault="00901E21" w:rsidP="00901E21">
      <w:pPr>
        <w:pStyle w:val="Ttulo2"/>
      </w:pPr>
      <w:bookmarkStart w:id="141" w:name="_Toc183783063"/>
      <w:r w:rsidRPr="00901E21">
        <w:t>CONCLUSIONES.</w:t>
      </w:r>
      <w:bookmarkEnd w:id="141"/>
    </w:p>
    <w:p w14:paraId="511C7CB9" w14:textId="77777777" w:rsidR="00D50BA5" w:rsidRPr="00D50BA5" w:rsidRDefault="00D50BA5" w:rsidP="00D50BA5"/>
    <w:p w14:paraId="07D12AD3" w14:textId="7C72350F" w:rsidR="00C85D56" w:rsidRDefault="00C85D56" w:rsidP="00C85D56">
      <w:pPr>
        <w:spacing w:line="480" w:lineRule="auto"/>
      </w:pPr>
      <w:r>
        <w:t>La Ley 1004 de 2005 y su normativa complementaria brindan un marco legal robusto y favorable para la creación de una Zona Franca en Aguachica, Cesar. Esta legislación ofrece incentivos tributarios y aduaneros significativos, tales como la reducción del impuesto sobre la renta al 20% y la exención de IVA y aranceles. Estos beneficios resultan determinantes para atraer inversiones nacionales e internacionales, creando un entorno propicio para la entrada de capital y el establecimiento de una base industrial sólida en la región. Experiencias de otras zonas francas exitosas en América Latina, como la Zona Franca de Colón en Panamá y la Zona Franca de Manaos en Brasil, han demostrado que marcos regulatorios similares pueden impulsar significativamente el desarrollo económico local y regional.</w:t>
      </w:r>
    </w:p>
    <w:p w14:paraId="7E649CEE" w14:textId="77777777" w:rsidR="00C85D56" w:rsidRDefault="00C85D56" w:rsidP="00C85D56">
      <w:pPr>
        <w:spacing w:line="480" w:lineRule="auto"/>
      </w:pPr>
      <w:r>
        <w:lastRenderedPageBreak/>
        <w:t>La implementación de una Zona Franca en Aguachica tiene el potencial de actuar como un catalizador para el crecimiento económico, promoviendo la generación de empleo y la diversificación de la economía local. Sin embargo, para que estos beneficios se materialicen plenamente, será fundamental el cumplimiento de los requisitos de infraestructura y una gestión eficiente. Al igual que en la Zona Franca de Punta Cana en República Dominicana, donde la inversión en infraestructura y la simplificación de trámites han sido elementos clave para su éxito, una planificación y gestión cuidadosa en Aguachica permitirá crear un entorno atractivo y competitivo para las empresas.</w:t>
      </w:r>
    </w:p>
    <w:p w14:paraId="1B19D1FA" w14:textId="77777777" w:rsidR="00C85D56" w:rsidRDefault="00C85D56" w:rsidP="00C85D56">
      <w:pPr>
        <w:spacing w:line="480" w:lineRule="auto"/>
      </w:pPr>
      <w:r>
        <w:t>Los incentivos fiscales disponibles en la normativa crean un contexto favorable para que las empresas fabricantes y de otros sectores puedan reducir significativamente sus costos operativos. La posibilidad de aplazar impuestos de importación y la exención de IVA en la adquisición de bienes y servicios esenciales para la producción representan ventajas que fortalecen la competitividad de las industrias locales y facilitan la entrada de inversión extranjera. Estos beneficios no solo incentivan la innovación y la expansión de las operaciones empresariales hacia mercados internacionales, sino que también posicionan a Aguachica como un eslabón estratégico dentro de las cadenas globales de suministro.</w:t>
      </w:r>
    </w:p>
    <w:p w14:paraId="36A37350" w14:textId="77777777" w:rsidR="00C85D56" w:rsidRDefault="00C85D56" w:rsidP="00C85D56">
      <w:pPr>
        <w:spacing w:line="480" w:lineRule="auto"/>
      </w:pPr>
      <w:r>
        <w:t>El análisis de factores internos muestra que, aunque Aguachica cuenta con una mano de obra disponible, enfrenta limitaciones importantes en términos de infraestructura, conectividad y tecnología. Estas carencias representan obstáculos para atraer a empresas que dependen de una logística eficiente y de una cadena de suministro ágil. Abordar estos desafíos será crucial para que Aguachica se convierta en un destino atractivo para la inversión y el comercio.</w:t>
      </w:r>
    </w:p>
    <w:p w14:paraId="01C83D82" w14:textId="77777777" w:rsidR="00C85D56" w:rsidRDefault="00C85D56" w:rsidP="00C85D56">
      <w:pPr>
        <w:spacing w:line="480" w:lineRule="auto"/>
      </w:pPr>
      <w:r>
        <w:t xml:space="preserve">Desde una perspectiva externa, el marco legal y los incentivos fiscales ofrecen oportunidades significativas para atraer inversiones, pero la competencia con otras zonas francas </w:t>
      </w:r>
      <w:r>
        <w:lastRenderedPageBreak/>
        <w:t>establecidas en la región Caribe representa un desafío considerable. Para superar estas barreras, Aguachica deberá desarrollar estrategias de diferenciación que resalten sus ventajas competitivas y aprovechen su ubicación estratégica en el departamento del Cesar. A través de políticas orientadas a la mejora de infraestructura y servicios, Aguachica podría posicionarse como un referente de comercio exterior y desarrollo industrial en Colombia.</w:t>
      </w:r>
    </w:p>
    <w:p w14:paraId="6A9E9968" w14:textId="68C15E18" w:rsidR="00ED4638" w:rsidRDefault="00ED4638" w:rsidP="00ED4638">
      <w:pPr>
        <w:spacing w:line="480" w:lineRule="auto"/>
      </w:pPr>
      <w:r>
        <w:t>Además de las oportunidades identificadas, el presente estudio enfrenta ciertas limitaciones que es crucial reconocer. Una de ellas es la disponibilidad de datos actualizados y específicos sobre la economía local de Aguachica, lo cual podría influir en la precisión del análisis de mercado. Asimismo, aunque se evaluaron diversos factores internos y externos mediante matrices estratégicas, no se contemplan estudios ambientales detallados ni simulaciones financieras que podrían reforzar la viabilidad económica y social del proyecto. En cuanto a los desafíos para la implementación de una Zona Franca en Aguachica, es importante destacar los siguientes:</w:t>
      </w:r>
    </w:p>
    <w:p w14:paraId="61701BB2" w14:textId="77777777" w:rsidR="00ED4638" w:rsidRPr="00ED4638" w:rsidRDefault="00ED4638" w:rsidP="00ED4638">
      <w:pPr>
        <w:pStyle w:val="Prrafodelista"/>
        <w:numPr>
          <w:ilvl w:val="0"/>
          <w:numId w:val="34"/>
        </w:numPr>
        <w:spacing w:line="480" w:lineRule="auto"/>
        <w:ind w:left="0" w:firstLine="0"/>
        <w:rPr>
          <w:rFonts w:ascii="Times New Roman" w:hAnsi="Times New Roman"/>
        </w:rPr>
      </w:pPr>
      <w:r w:rsidRPr="00ED4638">
        <w:rPr>
          <w:rFonts w:ascii="Times New Roman" w:hAnsi="Times New Roman"/>
        </w:rPr>
        <w:t>Infraestructura limitada: Aunque la ubicación de Aguachica es estratégica, su infraestructura actual requiere importantes inversiones para cumplir con los estándares que exigen las zonas francas modernas, incluyendo mejoras en transporte y servicios básicos.</w:t>
      </w:r>
    </w:p>
    <w:p w14:paraId="24E3719A" w14:textId="77777777" w:rsidR="00ED4638" w:rsidRPr="00ED4638" w:rsidRDefault="00ED4638" w:rsidP="00ED4638">
      <w:pPr>
        <w:pStyle w:val="Prrafodelista"/>
        <w:numPr>
          <w:ilvl w:val="0"/>
          <w:numId w:val="34"/>
        </w:numPr>
        <w:spacing w:line="480" w:lineRule="auto"/>
        <w:ind w:left="0" w:firstLine="0"/>
        <w:rPr>
          <w:rFonts w:ascii="Times New Roman" w:hAnsi="Times New Roman"/>
        </w:rPr>
      </w:pPr>
      <w:r w:rsidRPr="00ED4638">
        <w:rPr>
          <w:rFonts w:ascii="Times New Roman" w:hAnsi="Times New Roman"/>
        </w:rPr>
        <w:t>Capacitación del capital humano: Existe la necesidad de formar mano de obra calificada que responda a las necesidades específicas de las industrias potencialmente interesadas en operar dentro de la Zona Franca.</w:t>
      </w:r>
    </w:p>
    <w:p w14:paraId="4489F70A" w14:textId="77777777" w:rsidR="00ED4638" w:rsidRPr="00ED4638" w:rsidRDefault="00ED4638" w:rsidP="00ED4638">
      <w:pPr>
        <w:pStyle w:val="Prrafodelista"/>
        <w:numPr>
          <w:ilvl w:val="0"/>
          <w:numId w:val="34"/>
        </w:numPr>
        <w:spacing w:line="480" w:lineRule="auto"/>
        <w:ind w:left="0" w:firstLine="0"/>
        <w:rPr>
          <w:rFonts w:ascii="Times New Roman" w:hAnsi="Times New Roman"/>
        </w:rPr>
      </w:pPr>
      <w:r w:rsidRPr="00ED4638">
        <w:rPr>
          <w:rFonts w:ascii="Times New Roman" w:hAnsi="Times New Roman"/>
        </w:rPr>
        <w:t>Competencia regional: Aguachica debe enfrentar la competencia de otras zonas francas consolidadas en la región Caribe, lo cual demanda estrategias diferenciadoras para atraer inversiones.</w:t>
      </w:r>
    </w:p>
    <w:p w14:paraId="7BD70928" w14:textId="77777777" w:rsidR="00ED4638" w:rsidRPr="00ED4638" w:rsidRDefault="00ED4638" w:rsidP="00ED4638">
      <w:pPr>
        <w:pStyle w:val="Prrafodelista"/>
        <w:numPr>
          <w:ilvl w:val="0"/>
          <w:numId w:val="34"/>
        </w:numPr>
        <w:spacing w:line="480" w:lineRule="auto"/>
        <w:ind w:left="0" w:firstLine="0"/>
        <w:rPr>
          <w:rFonts w:ascii="Times New Roman" w:hAnsi="Times New Roman"/>
        </w:rPr>
      </w:pPr>
      <w:r w:rsidRPr="00ED4638">
        <w:rPr>
          <w:rFonts w:ascii="Times New Roman" w:hAnsi="Times New Roman"/>
        </w:rPr>
        <w:lastRenderedPageBreak/>
        <w:t>Sostenibilidad ambiental: Es indispensable garantizar que el diseño e implementación de la zona franca incluyan medidas que mitiguen los impactos ambientales y fomenten prácticas sostenibles.</w:t>
      </w:r>
    </w:p>
    <w:p w14:paraId="04B42AF8" w14:textId="0556685C" w:rsidR="00ED4638" w:rsidRDefault="00ED4638" w:rsidP="00ED4638">
      <w:pPr>
        <w:spacing w:line="480" w:lineRule="auto"/>
      </w:pPr>
      <w:r>
        <w:t>Por tanto, es necesario que futuros estudios profundicen en los aspectos financieros, ambientales y sociales para proporcionar una visión integral que asegure la viabilidad y sostenibilidad del proyecto en el largo plazo.</w:t>
      </w:r>
    </w:p>
    <w:p w14:paraId="7B54E168" w14:textId="7CAC6381" w:rsidR="00C85D56" w:rsidRDefault="00C85D56" w:rsidP="00C85D56">
      <w:pPr>
        <w:spacing w:line="480" w:lineRule="auto"/>
      </w:pPr>
      <w:r>
        <w:t>Finalmente, la creación de una Zona Franca en Aguachica posee un potencial significativo para dinamizar la economía local y regional, siempre y cuando se dé prioridad a una planificación adecuada, al fortalecimiento de la infraestructura y a una gestión eficaz de los incentivos disponibles.</w:t>
      </w:r>
    </w:p>
    <w:p w14:paraId="4CE9AD5B" w14:textId="77777777" w:rsidR="00D50BA5" w:rsidRDefault="00D50BA5" w:rsidP="00D50BA5">
      <w:pPr>
        <w:spacing w:line="276" w:lineRule="auto"/>
      </w:pPr>
    </w:p>
    <w:p w14:paraId="53F70201" w14:textId="7C0F299A" w:rsidR="00870EE2" w:rsidRDefault="00901E21" w:rsidP="00901E21">
      <w:pPr>
        <w:pStyle w:val="Ttulo2"/>
      </w:pPr>
      <w:bookmarkStart w:id="142" w:name="_Toc183783064"/>
      <w:r w:rsidRPr="00901E21">
        <w:t>RECOMENDACIONES</w:t>
      </w:r>
      <w:bookmarkEnd w:id="142"/>
    </w:p>
    <w:p w14:paraId="5E3DFEC3" w14:textId="77777777" w:rsidR="00D50BA5" w:rsidRPr="00D50BA5" w:rsidRDefault="00D50BA5" w:rsidP="00D50BA5"/>
    <w:p w14:paraId="30A85882" w14:textId="65DF7591" w:rsidR="00BE437B" w:rsidRDefault="00BE437B" w:rsidP="00BE437B">
      <w:pPr>
        <w:spacing w:line="480" w:lineRule="auto"/>
      </w:pPr>
      <w:r>
        <w:t>Para optimizar el potencial de la Zona Franca en Aguachica y mejorar su competitividad, resulta indispensable implementar un plan de promoción robusto que comunique de manera clara y efectiva los beneficios fiscales y aduaneros tanto a inversionistas nacionales como internacionales. Este plan debería resaltar las ventajas competitivas de Aguachica frente a otras regiones del país, enfatizando su ubicación estratégica y el marco fiscal favorable que ofrece. De hecho, la experiencia de la Zona Franca de Colón en Panamá demuestra que un enfoque de promoción centrado en beneficios fiscales y en su conectividad logística puede atraer inversión extranjera de manera efectiva, por lo que aplicar una estrategia similar podría posicionar a Aguachica como un centro atractivo industrial y comercial en la región.</w:t>
      </w:r>
    </w:p>
    <w:p w14:paraId="6674C3A6" w14:textId="48AE3A4F" w:rsidR="00BE437B" w:rsidRDefault="00BE437B" w:rsidP="00BE437B">
      <w:pPr>
        <w:spacing w:line="480" w:lineRule="auto"/>
      </w:pPr>
      <w:r>
        <w:lastRenderedPageBreak/>
        <w:t>Asimismo, es fundamental establecer un sistema de control y auditoría continua que asegure la correcta aplicación de los incentivos fiscales y fomente la transparencia en las operaciones de comercio exterior. Este tipo de sistemas han demostrado su eficacia en zonas como la Zona Franca de Shenzhen en China, donde una auditoría rigurosa ha fortalecido la confianza de los inversionistas y asegurado un ambiente empresarial sano y sostenible. De igual forma, en Aguachica, un enfoque de control y auditoría podría garantizar que los beneficios otorgados se usen de manera adecuada, fortaleciendo la estabilidad y credibilidad del entorno empresarial.</w:t>
      </w:r>
    </w:p>
    <w:p w14:paraId="379C00DC" w14:textId="5EFFB221" w:rsidR="00BE437B" w:rsidRDefault="00BE437B" w:rsidP="00BE437B">
      <w:pPr>
        <w:spacing w:line="480" w:lineRule="auto"/>
      </w:pPr>
      <w:r>
        <w:t>Por otro lado, es recomendable fomentar alianzas estratégicas con empresas e inversionistas interesados ​​en beneficiar de los incentivos fiscales de la Zona Franca, especialmente aquellos atraídos por la reducción de costos operativos y el acceso a mercados globales. Esta estrategia de alianzas ha sido empleada con éxito en la Zona Franca de Punta Cana en República Dominicana, donde la colaboración con empresas extranjeras ha fortalecido tanto la inversión como el comercio. Así, un modelo similar en Aguachica permitiría atraer empresas de manufactura, logística y otros sectores estratégicos, promoviendo un ambiente colaborativo que impulse el crecimiento compartido y el desarrollo económico regional.</w:t>
      </w:r>
    </w:p>
    <w:p w14:paraId="1BB5EA02" w14:textId="12617621" w:rsidR="00BE437B" w:rsidRDefault="00BE437B" w:rsidP="00BE437B">
      <w:pPr>
        <w:spacing w:line="480" w:lineRule="auto"/>
      </w:pPr>
      <w:r>
        <w:t>De la misma manera, para maximizar el atractivo de la Zona Franca es crucial garantizar que las empresas comprendan y accedan con facilidad a los beneficios tributarios y aduaneros. Para ello, resulta útil simplificar los procedimientos y establecer un servicio de asistencia técnica eficaz. La Zona Franca de Manaos en Brasil ha demostrado que la simplificación de trámites permite un acceso rápido y eficiente a los incentivos, lo cual incrementa la inversión. En Aguachica, contar con un servicio de asistencia técnica especializado en normativas fiscales y aduaneras facilitaría que los nuevos operadores aprovechen los beneficios disponibles sin obstáculos administrativos, fortaleciendo así la competitividad de la zona.</w:t>
      </w:r>
    </w:p>
    <w:p w14:paraId="0469BF4A" w14:textId="3FFD972C" w:rsidR="00BE437B" w:rsidRDefault="00BE437B" w:rsidP="00BE437B">
      <w:pPr>
        <w:spacing w:line="480" w:lineRule="auto"/>
      </w:pPr>
      <w:r>
        <w:lastRenderedPageBreak/>
        <w:t>Además, dadas las limitaciones en infraestructura y conectividad de Aguachica, se recomienda implementar un plan de desarrollo infraestructural que mejore el acceso vial y las instalaciones de comunicación. Experiencias como la de la Zona Franca de Colón subrayan que una infraestructura logística eficiente es clave para el éxito de una zona franca. Mejorar la conectividad facilitaría el flujo de bienes y servicios en Aguachica, fortaleciendo su atractivo para empresas que dependen de una cadena de suministro ágil y confiable, y asegurando así el éxito a largo plazo de la Zona Franca.</w:t>
      </w:r>
    </w:p>
    <w:p w14:paraId="24567D88" w14:textId="67DC2005" w:rsidR="00BE437B" w:rsidRDefault="00BE437B" w:rsidP="00BE437B">
      <w:pPr>
        <w:spacing w:line="480" w:lineRule="auto"/>
      </w:pPr>
      <w:r>
        <w:t>Finalmente, para competir efectivamente con otras zonas francas, Aguachica debe destacar sus ventajas únicas a través de una campaña de marketing dirigida a inversionistas internacionales. Esta campaña podría resaltar su ubicación estratégica en el departamento del Cesar y su potencial de desarrollo económico, aprovechando una estrategia similar a la de la Zona Franca de Colón, que ha logrado atraer inversión al enfatizar su conectividad y beneficios fiscales. Una promoción bien dirigida, complementada con incentivos específicos para sectores clave, podría posicionar a Aguachica como un referente en el comercio exterior colombiano y en el desarrollo industrial.</w:t>
      </w:r>
    </w:p>
    <w:p w14:paraId="7BBA5F88" w14:textId="77777777" w:rsidR="0021783C" w:rsidRDefault="0021783C">
      <w:pPr>
        <w:spacing w:line="259" w:lineRule="auto"/>
        <w:ind w:firstLine="0"/>
        <w:jc w:val="left"/>
      </w:pPr>
      <w:r>
        <w:br w:type="page"/>
      </w:r>
    </w:p>
    <w:bookmarkStart w:id="143" w:name="_Toc183783065" w:displacedByCustomXml="next"/>
    <w:sdt>
      <w:sdtPr>
        <w:rPr>
          <w:rFonts w:eastAsiaTheme="minorHAnsi" w:cstheme="minorBidi"/>
          <w:b w:val="0"/>
          <w:kern w:val="2"/>
          <w:szCs w:val="22"/>
          <w:lang w:val="es-ES" w:eastAsia="en-US"/>
          <w14:ligatures w14:val="standardContextual"/>
        </w:rPr>
        <w:id w:val="-307248258"/>
        <w:docPartObj>
          <w:docPartGallery w:val="Bibliographies"/>
          <w:docPartUnique/>
        </w:docPartObj>
      </w:sdtPr>
      <w:sdtEndPr>
        <w:rPr>
          <w:lang w:val="es-CO"/>
        </w:rPr>
      </w:sdtEndPr>
      <w:sdtContent>
        <w:p w14:paraId="20051902" w14:textId="7FCCC99F" w:rsidR="00CB27F5" w:rsidRDefault="00CB27F5" w:rsidP="0021783C">
          <w:pPr>
            <w:pStyle w:val="Ttulo1"/>
            <w:rPr>
              <w:lang w:val="es-ES"/>
            </w:rPr>
          </w:pPr>
          <w:r>
            <w:rPr>
              <w:lang w:val="es-ES"/>
            </w:rPr>
            <w:t>REFERENCIAS</w:t>
          </w:r>
          <w:bookmarkEnd w:id="143"/>
        </w:p>
        <w:p w14:paraId="04DF9F52" w14:textId="77777777" w:rsidR="00DF23CF" w:rsidRPr="00DF23CF" w:rsidRDefault="00DF23CF" w:rsidP="00DF23CF">
          <w:pPr>
            <w:rPr>
              <w:lang w:val="es-ES" w:eastAsia="es-ES"/>
            </w:rPr>
          </w:pPr>
        </w:p>
        <w:sdt>
          <w:sdtPr>
            <w:rPr>
              <w:rFonts w:eastAsiaTheme="minorHAnsi" w:cstheme="minorBidi"/>
              <w:kern w:val="2"/>
              <w:szCs w:val="22"/>
              <w:lang w:eastAsia="en-US"/>
              <w14:ligatures w14:val="standardContextual"/>
            </w:rPr>
            <w:id w:val="-573587230"/>
            <w:bibliography/>
          </w:sdtPr>
          <w:sdtEndPr/>
          <w:sdtContent>
            <w:p w14:paraId="233F9E48" w14:textId="77777777" w:rsidR="0021783C" w:rsidRDefault="00CB27F5" w:rsidP="0021783C">
              <w:pPr>
                <w:pStyle w:val="Bibliografa"/>
                <w:spacing w:line="360" w:lineRule="auto"/>
                <w:ind w:left="720" w:hanging="720"/>
                <w:rPr>
                  <w:noProof/>
                  <w:lang w:val="es-ES"/>
                </w:rPr>
              </w:pPr>
              <w:r>
                <w:fldChar w:fldCharType="begin"/>
              </w:r>
              <w:r w:rsidRPr="00901E21">
                <w:instrText>BIBLIOGRAPHY</w:instrText>
              </w:r>
              <w:r>
                <w:fldChar w:fldCharType="separate"/>
              </w:r>
              <w:r w:rsidR="0021783C">
                <w:rPr>
                  <w:noProof/>
                  <w:lang w:val="es-ES"/>
                </w:rPr>
                <w:t xml:space="preserve">Aguilar, A. D., &amp; Romero, E. A. (2019). </w:t>
              </w:r>
              <w:r w:rsidR="0021783C">
                <w:rPr>
                  <w:i/>
                  <w:iCs/>
                  <w:noProof/>
                  <w:lang w:val="es-ES"/>
                </w:rPr>
                <w:t>Factores políticos y económicos que han influido en el desarrollo logístico y comercial de la Zona Franca de Bogotá 2012-2017 (Trabajo de Grado).</w:t>
              </w:r>
              <w:r w:rsidR="0021783C">
                <w:rPr>
                  <w:noProof/>
                  <w:lang w:val="es-ES"/>
                </w:rPr>
                <w:t xml:space="preserve"> Bogotá: Universidad de La Salle.</w:t>
              </w:r>
            </w:p>
            <w:p w14:paraId="5AA802F3" w14:textId="77777777" w:rsidR="0021783C" w:rsidRDefault="0021783C" w:rsidP="0021783C">
              <w:pPr>
                <w:pStyle w:val="Bibliografa"/>
                <w:spacing w:line="360" w:lineRule="auto"/>
                <w:ind w:left="720" w:hanging="720"/>
                <w:rPr>
                  <w:noProof/>
                  <w:lang w:val="es-ES"/>
                </w:rPr>
              </w:pPr>
              <w:r>
                <w:rPr>
                  <w:noProof/>
                  <w:lang w:val="es-ES"/>
                </w:rPr>
                <w:t xml:space="preserve">Alais, H. F. (2006). </w:t>
              </w:r>
              <w:r>
                <w:rPr>
                  <w:i/>
                  <w:iCs/>
                  <w:noProof/>
                  <w:lang w:val="es-ES"/>
                </w:rPr>
                <w:t>Los principios del Derecho Aduanero (tesis Doctoral): Teoría general y aplicación a la problemática de la infracción de declaración inexacta.</w:t>
              </w:r>
              <w:r>
                <w:rPr>
                  <w:noProof/>
                  <w:lang w:val="es-ES"/>
                </w:rPr>
                <w:t xml:space="preserve"> Buenos Aires: Universidad Austral.</w:t>
              </w:r>
            </w:p>
            <w:p w14:paraId="7A861976" w14:textId="77777777" w:rsidR="0021783C" w:rsidRDefault="0021783C" w:rsidP="0021783C">
              <w:pPr>
                <w:pStyle w:val="Bibliografa"/>
                <w:spacing w:line="360" w:lineRule="auto"/>
                <w:ind w:left="720" w:hanging="720"/>
                <w:rPr>
                  <w:noProof/>
                  <w:lang w:val="es-ES"/>
                </w:rPr>
              </w:pPr>
              <w:r>
                <w:rPr>
                  <w:noProof/>
                  <w:lang w:val="es-ES"/>
                </w:rPr>
                <w:t xml:space="preserve">Alcaldia Mayor de Bogota. (2016). </w:t>
              </w:r>
              <w:r>
                <w:rPr>
                  <w:i/>
                  <w:iCs/>
                  <w:noProof/>
                  <w:lang w:val="es-ES"/>
                </w:rPr>
                <w:t>Decreto 2147 de 2016.</w:t>
              </w:r>
              <w:r>
                <w:rPr>
                  <w:noProof/>
                  <w:lang w:val="es-ES"/>
                </w:rPr>
                <w:t xml:space="preserve"> Bogota . Obtenido de https://www.alcaldiabogota.gov.co/sisjur/normas/Norma1.jsp?i=67953</w:t>
              </w:r>
            </w:p>
            <w:p w14:paraId="058BC75F" w14:textId="77777777" w:rsidR="0021783C" w:rsidRDefault="0021783C" w:rsidP="0021783C">
              <w:pPr>
                <w:pStyle w:val="Bibliografa"/>
                <w:spacing w:line="360" w:lineRule="auto"/>
                <w:ind w:left="720" w:hanging="720"/>
                <w:rPr>
                  <w:noProof/>
                  <w:lang w:val="es-ES"/>
                </w:rPr>
              </w:pPr>
              <w:r>
                <w:rPr>
                  <w:noProof/>
                  <w:lang w:val="es-ES"/>
                </w:rPr>
                <w:t xml:space="preserve">Alcázar, M. C. (2023). Beneficios de las Zonas Francas como Herramienta Operativa para las Empresas Colombianas. </w:t>
              </w:r>
              <w:r>
                <w:rPr>
                  <w:i/>
                  <w:iCs/>
                  <w:noProof/>
                  <w:lang w:val="es-ES"/>
                </w:rPr>
                <w:t>Facultad de Negocios Internacionales</w:t>
              </w:r>
              <w:r>
                <w:rPr>
                  <w:noProof/>
                  <w:lang w:val="es-ES"/>
                </w:rPr>
                <w:t>, 1-31.</w:t>
              </w:r>
            </w:p>
            <w:p w14:paraId="5E6C3298" w14:textId="1E47A84E" w:rsidR="0021783C" w:rsidRDefault="0021783C" w:rsidP="0021783C">
              <w:pPr>
                <w:pStyle w:val="Bibliografa"/>
                <w:spacing w:line="360" w:lineRule="auto"/>
                <w:ind w:left="720" w:hanging="720"/>
                <w:rPr>
                  <w:noProof/>
                  <w:lang w:val="es-ES"/>
                </w:rPr>
              </w:pPr>
              <w:r>
                <w:rPr>
                  <w:noProof/>
                  <w:lang w:val="es-ES"/>
                </w:rPr>
                <w:t xml:space="preserve">Argote, M. A. (2016). </w:t>
              </w:r>
              <w:r w:rsidR="009377F2">
                <w:rPr>
                  <w:noProof/>
                  <w:lang w:val="es-ES"/>
                </w:rPr>
                <w:t>Reflexionando acerca de la agendas prospectivas para la productividad y competitividad</w:t>
              </w:r>
              <w:r>
                <w:rPr>
                  <w:noProof/>
                  <w:lang w:val="es-ES"/>
                </w:rPr>
                <w:t xml:space="preserve"> . </w:t>
              </w:r>
              <w:r>
                <w:rPr>
                  <w:i/>
                  <w:iCs/>
                  <w:noProof/>
                  <w:lang w:val="es-ES"/>
                </w:rPr>
                <w:t>Revista SENA</w:t>
              </w:r>
              <w:r>
                <w:rPr>
                  <w:noProof/>
                  <w:lang w:val="es-ES"/>
                </w:rPr>
                <w:t>, 71-76.</w:t>
              </w:r>
            </w:p>
            <w:p w14:paraId="77DDDC10" w14:textId="77777777" w:rsidR="0021783C" w:rsidRDefault="0021783C" w:rsidP="0021783C">
              <w:pPr>
                <w:pStyle w:val="Bibliografa"/>
                <w:spacing w:line="360" w:lineRule="auto"/>
                <w:ind w:left="720" w:hanging="720"/>
                <w:rPr>
                  <w:noProof/>
                  <w:lang w:val="es-ES"/>
                </w:rPr>
              </w:pPr>
              <w:r>
                <w:rPr>
                  <w:noProof/>
                  <w:lang w:val="es-ES"/>
                </w:rPr>
                <w:t xml:space="preserve">Arratia, R. (10 de Octubre de 2012). </w:t>
              </w:r>
              <w:r>
                <w:rPr>
                  <w:i/>
                  <w:iCs/>
                  <w:noProof/>
                  <w:lang w:val="es-ES"/>
                </w:rPr>
                <w:t>APUNTES JURIDICOS®</w:t>
              </w:r>
              <w:r>
                <w:rPr>
                  <w:noProof/>
                  <w:lang w:val="es-ES"/>
                </w:rPr>
                <w:t>. Obtenido de https://jorgemachicado.blogspot.com/2012/10/oda.html</w:t>
              </w:r>
            </w:p>
            <w:p w14:paraId="155052C4" w14:textId="77777777" w:rsidR="0021783C" w:rsidRDefault="0021783C" w:rsidP="0021783C">
              <w:pPr>
                <w:pStyle w:val="Bibliografa"/>
                <w:spacing w:line="360" w:lineRule="auto"/>
                <w:ind w:left="720" w:hanging="720"/>
                <w:rPr>
                  <w:noProof/>
                  <w:lang w:val="es-ES"/>
                </w:rPr>
              </w:pPr>
              <w:r>
                <w:rPr>
                  <w:noProof/>
                  <w:lang w:val="es-ES"/>
                </w:rPr>
                <w:t xml:space="preserve">Arteaga, O. J., Ferrer, D. P., Miranda, M. M., &amp; Riveras, J. (2016). Estudio y análisis de Zonas Económicas Especiales. Propuestas de mejora para las Zonas Francas españolas actuales. . </w:t>
              </w:r>
              <w:r>
                <w:rPr>
                  <w:i/>
                  <w:iCs/>
                  <w:noProof/>
                  <w:lang w:val="es-ES"/>
                </w:rPr>
                <w:t>Revista Empresa y Humanismo, XIX(2),</w:t>
              </w:r>
              <w:r>
                <w:rPr>
                  <w:noProof/>
                  <w:lang w:val="es-ES"/>
                </w:rPr>
                <w:t>, 7-50.</w:t>
              </w:r>
            </w:p>
            <w:p w14:paraId="4583F3E8" w14:textId="77777777" w:rsidR="0021783C" w:rsidRDefault="0021783C" w:rsidP="0021783C">
              <w:pPr>
                <w:pStyle w:val="Bibliografa"/>
                <w:spacing w:line="360" w:lineRule="auto"/>
                <w:ind w:left="720" w:hanging="720"/>
                <w:rPr>
                  <w:noProof/>
                  <w:lang w:val="es-ES"/>
                </w:rPr>
              </w:pPr>
              <w:r>
                <w:rPr>
                  <w:noProof/>
                  <w:lang w:val="es-ES"/>
                </w:rPr>
                <w:t xml:space="preserve">Baró, H. S. (1966). El desarrollo sostenible : desafío para la humanidad. </w:t>
              </w:r>
              <w:r>
                <w:rPr>
                  <w:i/>
                  <w:iCs/>
                  <w:noProof/>
                  <w:lang w:val="es-ES"/>
                </w:rPr>
                <w:t xml:space="preserve">Economía y desarrollo : publicación de la Facultad de Economía de la Universidad de La Habana. - La Habana, ISSN 0252-8584, ZDB-ID 40937-6. - Vol. 119.1996, 1, </w:t>
              </w:r>
              <w:r>
                <w:rPr>
                  <w:noProof/>
                  <w:lang w:val="es-ES"/>
                </w:rPr>
                <w:t>, 123-140.</w:t>
              </w:r>
            </w:p>
            <w:p w14:paraId="7230E8CA" w14:textId="77777777" w:rsidR="0021783C" w:rsidRDefault="0021783C" w:rsidP="0021783C">
              <w:pPr>
                <w:pStyle w:val="Bibliografa"/>
                <w:spacing w:line="360" w:lineRule="auto"/>
                <w:ind w:left="720" w:hanging="720"/>
                <w:rPr>
                  <w:noProof/>
                  <w:lang w:val="es-ES"/>
                </w:rPr>
              </w:pPr>
              <w:r>
                <w:rPr>
                  <w:noProof/>
                  <w:lang w:val="es-ES"/>
                </w:rPr>
                <w:t xml:space="preserve">Congreso de la Republica . (30 de Diciembre de 2005). </w:t>
              </w:r>
              <w:r>
                <w:rPr>
                  <w:i/>
                  <w:iCs/>
                  <w:noProof/>
                  <w:lang w:val="es-ES"/>
                </w:rPr>
                <w:t>Función Pública.</w:t>
              </w:r>
              <w:r>
                <w:rPr>
                  <w:noProof/>
                  <w:lang w:val="es-ES"/>
                </w:rPr>
                <w:t xml:space="preserve"> Obtenido de https://www.funcionpublica.gov.co/eva/gestornormativo/norma.php?i=18704</w:t>
              </w:r>
            </w:p>
            <w:p w14:paraId="595F8198" w14:textId="77777777" w:rsidR="0021783C" w:rsidRDefault="0021783C" w:rsidP="0021783C">
              <w:pPr>
                <w:pStyle w:val="Bibliografa"/>
                <w:spacing w:line="360" w:lineRule="auto"/>
                <w:ind w:left="720" w:hanging="720"/>
                <w:rPr>
                  <w:noProof/>
                  <w:lang w:val="es-ES"/>
                </w:rPr>
              </w:pPr>
              <w:r>
                <w:rPr>
                  <w:noProof/>
                  <w:lang w:val="es-ES"/>
                </w:rPr>
                <w:t xml:space="preserve">Corte Constitucional de Colombia. (2023). </w:t>
              </w:r>
              <w:r>
                <w:rPr>
                  <w:i/>
                  <w:iCs/>
                  <w:noProof/>
                  <w:lang w:val="es-ES"/>
                </w:rPr>
                <w:t>Sentencia C-384 de 2023.</w:t>
              </w:r>
              <w:r>
                <w:rPr>
                  <w:noProof/>
                  <w:lang w:val="es-ES"/>
                </w:rPr>
                <w:t xml:space="preserve"> Obtenido de chrome-extension://efaidnbmnnnibpcajpcglclefindmkaj/https://www.corteconstitucional.gov.co/comunicados/COMUNICADO%2036%20-%20Octubre%202%20de%202023.pdf</w:t>
              </w:r>
            </w:p>
            <w:p w14:paraId="3FFB99EE" w14:textId="77777777" w:rsidR="0021783C" w:rsidRDefault="0021783C" w:rsidP="0021783C">
              <w:pPr>
                <w:pStyle w:val="Bibliografa"/>
                <w:spacing w:line="360" w:lineRule="auto"/>
                <w:ind w:left="720" w:hanging="720"/>
                <w:rPr>
                  <w:noProof/>
                  <w:lang w:val="es-ES"/>
                </w:rPr>
              </w:pPr>
              <w:r>
                <w:rPr>
                  <w:noProof/>
                  <w:lang w:val="es-ES"/>
                </w:rPr>
                <w:t xml:space="preserve">DANE. (26 de Septiembre de 2024). </w:t>
              </w:r>
              <w:r>
                <w:rPr>
                  <w:i/>
                  <w:iCs/>
                  <w:noProof/>
                  <w:lang w:val="es-ES"/>
                </w:rPr>
                <w:t>Departamento Administrativo Nacional de Planeación</w:t>
              </w:r>
              <w:r>
                <w:rPr>
                  <w:noProof/>
                  <w:lang w:val="es-ES"/>
                </w:rPr>
                <w:t>. Obtenido de https://www.dane.gov.co/</w:t>
              </w:r>
            </w:p>
            <w:p w14:paraId="324D2703" w14:textId="77777777" w:rsidR="0021783C" w:rsidRDefault="0021783C" w:rsidP="0021783C">
              <w:pPr>
                <w:pStyle w:val="Bibliografa"/>
                <w:spacing w:line="360" w:lineRule="auto"/>
                <w:ind w:left="720" w:hanging="720"/>
                <w:rPr>
                  <w:noProof/>
                  <w:lang w:val="es-ES"/>
                </w:rPr>
              </w:pPr>
              <w:r>
                <w:rPr>
                  <w:noProof/>
                  <w:lang w:val="es-ES"/>
                </w:rPr>
                <w:t xml:space="preserve">DANE. (2024). </w:t>
              </w:r>
              <w:r>
                <w:rPr>
                  <w:i/>
                  <w:iCs/>
                  <w:noProof/>
                  <w:lang w:val="es-ES"/>
                </w:rPr>
                <w:t>Zonas Francas.</w:t>
              </w:r>
              <w:r>
                <w:rPr>
                  <w:noProof/>
                  <w:lang w:val="es-ES"/>
                </w:rPr>
                <w:t xml:space="preserve"> Obtenido de https://www.dane.gov.co/index.php/estadisticas-por-tema/comercio-internacional/zonas-francas</w:t>
              </w:r>
            </w:p>
            <w:p w14:paraId="54DE78FA" w14:textId="77777777" w:rsidR="0021783C" w:rsidRDefault="0021783C" w:rsidP="0021783C">
              <w:pPr>
                <w:pStyle w:val="Bibliografa"/>
                <w:spacing w:line="360" w:lineRule="auto"/>
                <w:ind w:left="720" w:hanging="720"/>
                <w:rPr>
                  <w:noProof/>
                  <w:lang w:val="es-ES"/>
                </w:rPr>
              </w:pPr>
              <w:r>
                <w:rPr>
                  <w:noProof/>
                  <w:lang w:val="es-ES"/>
                </w:rPr>
                <w:lastRenderedPageBreak/>
                <w:t xml:space="preserve">Departamento Administrativo de Función Publica. (2005). </w:t>
              </w:r>
              <w:r>
                <w:rPr>
                  <w:i/>
                  <w:iCs/>
                  <w:noProof/>
                  <w:lang w:val="es-ES"/>
                </w:rPr>
                <w:t>Ley 1004 de 2005.</w:t>
              </w:r>
              <w:r>
                <w:rPr>
                  <w:noProof/>
                  <w:lang w:val="es-ES"/>
                </w:rPr>
                <w:t xml:space="preserve"> Obtenido de https://www.funcionpublica.gov.co/eva/gestornormativo/norma.php?i=18704</w:t>
              </w:r>
            </w:p>
            <w:p w14:paraId="75D3F552" w14:textId="77777777" w:rsidR="0021783C" w:rsidRDefault="0021783C" w:rsidP="0021783C">
              <w:pPr>
                <w:pStyle w:val="Bibliografa"/>
                <w:spacing w:line="360" w:lineRule="auto"/>
                <w:ind w:left="720" w:hanging="720"/>
                <w:rPr>
                  <w:noProof/>
                  <w:lang w:val="es-ES"/>
                </w:rPr>
              </w:pPr>
              <w:r>
                <w:rPr>
                  <w:noProof/>
                  <w:lang w:val="es-ES"/>
                </w:rPr>
                <w:t xml:space="preserve">Departamento Administrativo de la Función Pública. (2005). </w:t>
              </w:r>
              <w:r>
                <w:rPr>
                  <w:i/>
                  <w:iCs/>
                  <w:noProof/>
                  <w:lang w:val="es-ES"/>
                </w:rPr>
                <w:t>Ley 1004 de 2005.</w:t>
              </w:r>
              <w:r>
                <w:rPr>
                  <w:noProof/>
                  <w:lang w:val="es-ES"/>
                </w:rPr>
                <w:t xml:space="preserve"> Colombia . Obtenido de https://www.funcionpublica.gov.co/eva/gestornormativo/norma_pdf.php?i=18704#:~:text=Art%C3%ADculo%201%C2%B0.,aduanera%20y%20de%20comercio%20exterior.</w:t>
              </w:r>
            </w:p>
            <w:p w14:paraId="5F773735" w14:textId="42B63181" w:rsidR="0021783C" w:rsidRDefault="0021783C" w:rsidP="0021783C">
              <w:pPr>
                <w:pStyle w:val="Bibliografa"/>
                <w:spacing w:line="360" w:lineRule="auto"/>
                <w:ind w:left="720" w:hanging="720"/>
                <w:rPr>
                  <w:noProof/>
                  <w:lang w:val="es-ES"/>
                </w:rPr>
              </w:pPr>
              <w:r>
                <w:rPr>
                  <w:noProof/>
                  <w:lang w:val="es-ES"/>
                </w:rPr>
                <w:t xml:space="preserve">DIAN. (2008). </w:t>
              </w:r>
              <w:r w:rsidR="009377F2">
                <w:rPr>
                  <w:i/>
                  <w:iCs/>
                  <w:noProof/>
                  <w:lang w:val="es-ES"/>
                </w:rPr>
                <w:t>Circular externa 43 de 2008.</w:t>
              </w:r>
              <w:r w:rsidR="009377F2">
                <w:rPr>
                  <w:noProof/>
                  <w:lang w:val="es-ES"/>
                </w:rPr>
                <w:t xml:space="preserve"> Obtenido de https://normograma.dian.gov.co/dian/compilacion/docs/circular_dian_0043_2008.htm#:~:text=es%20la%20operaci%c3%b3n%20que%20permite%20el%20ingreso%20para%20un%20usuario,usuario%20industrial%20de%20zona%20franca.</w:t>
              </w:r>
            </w:p>
            <w:p w14:paraId="7B8DE629" w14:textId="15FCD306" w:rsidR="0021783C" w:rsidRDefault="009377F2" w:rsidP="0021783C">
              <w:pPr>
                <w:pStyle w:val="Bibliografa"/>
                <w:spacing w:line="360" w:lineRule="auto"/>
                <w:ind w:left="720" w:hanging="720"/>
                <w:rPr>
                  <w:noProof/>
                  <w:lang w:val="es-ES"/>
                </w:rPr>
              </w:pPr>
              <w:r>
                <w:rPr>
                  <w:noProof/>
                  <w:lang w:val="es-ES"/>
                </w:rPr>
                <w:t xml:space="preserve">Dian. (2008). </w:t>
              </w:r>
              <w:r>
                <w:rPr>
                  <w:i/>
                  <w:iCs/>
                  <w:noProof/>
                  <w:lang w:val="es-ES"/>
                </w:rPr>
                <w:t>Circular externa 43 de 2008.</w:t>
              </w:r>
              <w:r w:rsidR="0021783C">
                <w:rPr>
                  <w:noProof/>
                  <w:lang w:val="es-ES"/>
                </w:rPr>
                <w:t xml:space="preserve"> Obtenido de https://normograma.dian.gov.co/dian/compilacion/docs/circular_dian_0043_2008.htm</w:t>
              </w:r>
            </w:p>
            <w:p w14:paraId="0DC3A10B" w14:textId="037C268E" w:rsidR="0021783C" w:rsidRDefault="009377F2" w:rsidP="0021783C">
              <w:pPr>
                <w:pStyle w:val="Bibliografa"/>
                <w:spacing w:line="360" w:lineRule="auto"/>
                <w:ind w:left="720" w:hanging="720"/>
                <w:rPr>
                  <w:noProof/>
                  <w:lang w:val="es-ES"/>
                </w:rPr>
              </w:pPr>
              <w:r>
                <w:rPr>
                  <w:noProof/>
                  <w:lang w:val="es-ES"/>
                </w:rPr>
                <w:t xml:space="preserve">Dian. (2010). </w:t>
              </w:r>
              <w:r>
                <w:rPr>
                  <w:i/>
                  <w:iCs/>
                  <w:noProof/>
                  <w:lang w:val="es-ES"/>
                </w:rPr>
                <w:t>Circular externa 33 de 2010.</w:t>
              </w:r>
              <w:r w:rsidR="0021783C">
                <w:rPr>
                  <w:noProof/>
                  <w:lang w:val="es-ES"/>
                </w:rPr>
                <w:t xml:space="preserve"> Obtenido de https://normograma.dian.gov.co/dian/compilacion/docs/circular_dian_0033_2010.htm</w:t>
              </w:r>
            </w:p>
            <w:p w14:paraId="2505D713" w14:textId="77777777" w:rsidR="0021783C" w:rsidRDefault="0021783C" w:rsidP="0021783C">
              <w:pPr>
                <w:pStyle w:val="Bibliografa"/>
                <w:spacing w:line="360" w:lineRule="auto"/>
                <w:ind w:left="720" w:hanging="720"/>
                <w:rPr>
                  <w:noProof/>
                  <w:lang w:val="es-ES"/>
                </w:rPr>
              </w:pPr>
              <w:r>
                <w:rPr>
                  <w:noProof/>
                  <w:lang w:val="es-ES"/>
                </w:rPr>
                <w:t xml:space="preserve">DIAN. (2019). </w:t>
              </w:r>
              <w:r>
                <w:rPr>
                  <w:i/>
                  <w:iCs/>
                  <w:noProof/>
                  <w:lang w:val="es-ES"/>
                </w:rPr>
                <w:t>Decreto 1165 de 2019.</w:t>
              </w:r>
              <w:r>
                <w:rPr>
                  <w:noProof/>
                  <w:lang w:val="es-ES"/>
                </w:rPr>
                <w:t xml:space="preserve"> Obtenido de chrome-extension://efaidnbmnnnibpcajpcglclefindmkaj/https://www.dian.gov.co/aduanas/aspectecmercancias/Origen1/1-1-1-Decreto-1165-2019-Extracto-regulaciones-relacionadas-con-el-origen.pdf</w:t>
              </w:r>
            </w:p>
            <w:p w14:paraId="6C18B098" w14:textId="77777777" w:rsidR="0021783C" w:rsidRDefault="0021783C" w:rsidP="0021783C">
              <w:pPr>
                <w:pStyle w:val="Bibliografa"/>
                <w:spacing w:line="360" w:lineRule="auto"/>
                <w:ind w:left="720" w:hanging="720"/>
                <w:rPr>
                  <w:noProof/>
                  <w:lang w:val="es-ES"/>
                </w:rPr>
              </w:pPr>
              <w:r>
                <w:rPr>
                  <w:noProof/>
                  <w:lang w:val="es-ES"/>
                </w:rPr>
                <w:t xml:space="preserve">DIAN. (2021). </w:t>
              </w:r>
              <w:r>
                <w:rPr>
                  <w:i/>
                  <w:iCs/>
                  <w:noProof/>
                  <w:lang w:val="es-ES"/>
                </w:rPr>
                <w:t>La Circular 6 de 2021.</w:t>
              </w:r>
              <w:r>
                <w:rPr>
                  <w:noProof/>
                  <w:lang w:val="es-ES"/>
                </w:rPr>
                <w:t xml:space="preserve"> Obtenido de https://normograma.dian.gov.co/dian/compilacion/docs/circular_dian_0006_2021.htm#:~:text=Asunto%3A,presentar%20Declaraci%C3%B3n%20Especial%20de%20Importaci%C3%B3n.</w:t>
              </w:r>
            </w:p>
            <w:p w14:paraId="0A3B9602" w14:textId="77777777" w:rsidR="0021783C" w:rsidRDefault="0021783C" w:rsidP="0021783C">
              <w:pPr>
                <w:pStyle w:val="Bibliografa"/>
                <w:spacing w:line="360" w:lineRule="auto"/>
                <w:ind w:left="720" w:hanging="720"/>
                <w:rPr>
                  <w:noProof/>
                  <w:lang w:val="es-ES"/>
                </w:rPr>
              </w:pPr>
              <w:r>
                <w:rPr>
                  <w:noProof/>
                  <w:lang w:val="es-ES"/>
                </w:rPr>
                <w:t xml:space="preserve">DNP. (26 de septiembre de 2024). </w:t>
              </w:r>
              <w:r>
                <w:rPr>
                  <w:i/>
                  <w:iCs/>
                  <w:noProof/>
                  <w:lang w:val="es-ES"/>
                </w:rPr>
                <w:t>TerriData</w:t>
              </w:r>
              <w:r>
                <w:rPr>
                  <w:noProof/>
                  <w:lang w:val="es-ES"/>
                </w:rPr>
                <w:t>. Obtenido de https://terridata.dnp.gov.co/index-app.html#/comparaciones</w:t>
              </w:r>
            </w:p>
            <w:p w14:paraId="2AF675A9" w14:textId="77777777" w:rsidR="0021783C" w:rsidRDefault="0021783C" w:rsidP="0021783C">
              <w:pPr>
                <w:pStyle w:val="Bibliografa"/>
                <w:spacing w:line="360" w:lineRule="auto"/>
                <w:ind w:left="720" w:hanging="720"/>
                <w:rPr>
                  <w:noProof/>
                  <w:lang w:val="es-ES"/>
                </w:rPr>
              </w:pPr>
              <w:r>
                <w:rPr>
                  <w:noProof/>
                  <w:lang w:val="es-ES"/>
                </w:rPr>
                <w:t xml:space="preserve">Duarte, J. L. (2004). </w:t>
              </w:r>
              <w:r>
                <w:rPr>
                  <w:i/>
                  <w:iCs/>
                  <w:noProof/>
                  <w:lang w:val="es-ES"/>
                </w:rPr>
                <w:t>Factrores determinantes y críticos en empresas y servicios para la obtencion de ventajas competitivas sostenibles y transferibles a estratégias de globalización: un análisis de la industria del siftware.</w:t>
              </w:r>
              <w:r>
                <w:rPr>
                  <w:noProof/>
                  <w:lang w:val="es-ES"/>
                </w:rPr>
                <w:t xml:space="preserve"> Barcelona: Universidad Autónoma de Barcelona.</w:t>
              </w:r>
            </w:p>
            <w:p w14:paraId="4C0CB14E" w14:textId="77777777" w:rsidR="0021783C" w:rsidRDefault="0021783C" w:rsidP="0021783C">
              <w:pPr>
                <w:pStyle w:val="Bibliografa"/>
                <w:spacing w:line="360" w:lineRule="auto"/>
                <w:ind w:left="720" w:hanging="720"/>
                <w:rPr>
                  <w:noProof/>
                  <w:lang w:val="es-ES"/>
                </w:rPr>
              </w:pPr>
              <w:r>
                <w:rPr>
                  <w:noProof/>
                  <w:lang w:val="es-ES"/>
                </w:rPr>
                <w:t xml:space="preserve">ESAP. (1 de diciembre de 2001). </w:t>
              </w:r>
              <w:r>
                <w:rPr>
                  <w:i/>
                  <w:iCs/>
                  <w:noProof/>
                  <w:lang w:val="es-ES"/>
                </w:rPr>
                <w:t>repositoriocdim.esap</w:t>
              </w:r>
              <w:r>
                <w:rPr>
                  <w:noProof/>
                  <w:lang w:val="es-ES"/>
                </w:rPr>
                <w:t>. Obtenido de https://repositoriocdim.esap.edu.co/handle/20.500.14471/10338</w:t>
              </w:r>
            </w:p>
            <w:p w14:paraId="1DFAE02B" w14:textId="77777777" w:rsidR="0021783C" w:rsidRDefault="0021783C" w:rsidP="0021783C">
              <w:pPr>
                <w:pStyle w:val="Bibliografa"/>
                <w:spacing w:line="360" w:lineRule="auto"/>
                <w:ind w:left="720" w:hanging="720"/>
                <w:rPr>
                  <w:noProof/>
                  <w:lang w:val="es-ES"/>
                </w:rPr>
              </w:pPr>
              <w:r>
                <w:rPr>
                  <w:noProof/>
                  <w:lang w:val="es-ES"/>
                </w:rPr>
                <w:t xml:space="preserve">García, R. G., &amp; Ospina, H. R. (2017). Evolución del modelo de zonas francas permanentes en el mundo: Con un énfasis en el caso Latinoamericano. </w:t>
              </w:r>
              <w:r>
                <w:rPr>
                  <w:i/>
                  <w:iCs/>
                  <w:noProof/>
                  <w:lang w:val="es-ES"/>
                </w:rPr>
                <w:t>Revista DYNA, 84(202)</w:t>
              </w:r>
              <w:r>
                <w:rPr>
                  <w:noProof/>
                  <w:lang w:val="es-ES"/>
                </w:rPr>
                <w:t>, 221-229.</w:t>
              </w:r>
            </w:p>
            <w:p w14:paraId="3C769B80" w14:textId="77777777" w:rsidR="0021783C" w:rsidRDefault="0021783C" w:rsidP="0021783C">
              <w:pPr>
                <w:pStyle w:val="Bibliografa"/>
                <w:spacing w:line="360" w:lineRule="auto"/>
                <w:ind w:left="720" w:hanging="720"/>
                <w:rPr>
                  <w:noProof/>
                  <w:lang w:val="es-ES"/>
                </w:rPr>
              </w:pPr>
              <w:r>
                <w:rPr>
                  <w:noProof/>
                  <w:lang w:val="es-ES"/>
                </w:rPr>
                <w:lastRenderedPageBreak/>
                <w:t xml:space="preserve">Gligo, N. (2007). </w:t>
              </w:r>
              <w:r>
                <w:rPr>
                  <w:i/>
                  <w:iCs/>
                  <w:noProof/>
                  <w:lang w:val="es-ES"/>
                </w:rPr>
                <w:t>Políticas activas para atraer inversión extranjera directa en América Latina y el Caribe .</w:t>
              </w:r>
              <w:r>
                <w:rPr>
                  <w:noProof/>
                  <w:lang w:val="es-ES"/>
                </w:rPr>
                <w:t xml:space="preserve"> Santiago de Chile: CEPAL - SERIE Desarrollo productivo.</w:t>
              </w:r>
            </w:p>
            <w:p w14:paraId="2D385B16" w14:textId="77777777" w:rsidR="0021783C" w:rsidRDefault="0021783C" w:rsidP="0021783C">
              <w:pPr>
                <w:pStyle w:val="Bibliografa"/>
                <w:spacing w:line="360" w:lineRule="auto"/>
                <w:ind w:left="720" w:hanging="720"/>
                <w:rPr>
                  <w:noProof/>
                  <w:lang w:val="es-ES"/>
                </w:rPr>
              </w:pPr>
              <w:r>
                <w:rPr>
                  <w:noProof/>
                  <w:lang w:val="es-ES"/>
                </w:rPr>
                <w:t xml:space="preserve">(s.f.). </w:t>
              </w:r>
              <w:r>
                <w:rPr>
                  <w:i/>
                  <w:iCs/>
                  <w:noProof/>
                  <w:lang w:val="es-ES"/>
                </w:rPr>
                <w:t>Guias lega .</w:t>
              </w:r>
              <w:r>
                <w:rPr>
                  <w:noProof/>
                  <w:lang w:val="es-ES"/>
                </w:rPr>
                <w:t xml:space="preserve"> </w:t>
              </w:r>
            </w:p>
            <w:p w14:paraId="660B2FCF" w14:textId="77777777" w:rsidR="0021783C" w:rsidRDefault="0021783C" w:rsidP="0021783C">
              <w:pPr>
                <w:pStyle w:val="Bibliografa"/>
                <w:spacing w:line="360" w:lineRule="auto"/>
                <w:ind w:left="720" w:hanging="720"/>
                <w:rPr>
                  <w:noProof/>
                  <w:lang w:val="es-ES"/>
                </w:rPr>
              </w:pPr>
              <w:r>
                <w:rPr>
                  <w:noProof/>
                  <w:lang w:val="es-ES"/>
                </w:rPr>
                <w:t xml:space="preserve">Gutiérrez, O. L. (2012). Conflictos sociales y violencia en el departamento del Cesar, Colombia. </w:t>
              </w:r>
              <w:r>
                <w:rPr>
                  <w:i/>
                  <w:iCs/>
                  <w:noProof/>
                  <w:lang w:val="es-ES"/>
                </w:rPr>
                <w:t>https://revistas.unal.edu.co/index.php/recs/article/view/31335/39579</w:t>
              </w:r>
              <w:r>
                <w:rPr>
                  <w:noProof/>
                  <w:lang w:val="es-ES"/>
                </w:rPr>
                <w:t>, 1-20.</w:t>
              </w:r>
            </w:p>
            <w:p w14:paraId="563609B7" w14:textId="77777777" w:rsidR="0021783C" w:rsidRDefault="0021783C" w:rsidP="0021783C">
              <w:pPr>
                <w:pStyle w:val="Bibliografa"/>
                <w:spacing w:line="360" w:lineRule="auto"/>
                <w:ind w:left="720" w:hanging="720"/>
                <w:rPr>
                  <w:noProof/>
                  <w:lang w:val="es-ES"/>
                </w:rPr>
              </w:pPr>
              <w:r>
                <w:rPr>
                  <w:noProof/>
                  <w:lang w:val="es-ES"/>
                </w:rPr>
                <w:t xml:space="preserve">Herrera, B. A., Pérez, G. I., &amp; Garavito, Á. K. (2018). </w:t>
              </w:r>
              <w:r>
                <w:rPr>
                  <w:i/>
                  <w:iCs/>
                  <w:noProof/>
                  <w:lang w:val="es-ES"/>
                </w:rPr>
                <w:t>Factores para el desarrollo y crecimiento económico de la Zona Franca de Cúcuta tomando como referencia la Zona Franca de Bogotá (Trabajo de Grado).</w:t>
              </w:r>
              <w:r>
                <w:rPr>
                  <w:noProof/>
                  <w:lang w:val="es-ES"/>
                </w:rPr>
                <w:t xml:space="preserve"> Bogotá, D.C. : Universitaria Agustiniana .</w:t>
              </w:r>
            </w:p>
            <w:p w14:paraId="721F926F" w14:textId="77777777" w:rsidR="0021783C" w:rsidRDefault="0021783C" w:rsidP="0021783C">
              <w:pPr>
                <w:pStyle w:val="Bibliografa"/>
                <w:spacing w:line="360" w:lineRule="auto"/>
                <w:ind w:left="720" w:hanging="720"/>
                <w:rPr>
                  <w:noProof/>
                  <w:lang w:val="es-ES"/>
                </w:rPr>
              </w:pPr>
              <w:r>
                <w:rPr>
                  <w:noProof/>
                  <w:lang w:val="es-ES"/>
                </w:rPr>
                <w:t xml:space="preserve">Krugman, P. R., &amp; Obstfeld, M. (2006). </w:t>
              </w:r>
              <w:r>
                <w:rPr>
                  <w:i/>
                  <w:iCs/>
                  <w:noProof/>
                  <w:lang w:val="es-ES"/>
                </w:rPr>
                <w:t>ECONOMÍA INTERNACIONAL: Teoría y política.</w:t>
              </w:r>
              <w:r>
                <w:rPr>
                  <w:noProof/>
                  <w:lang w:val="es-ES"/>
                </w:rPr>
                <w:t xml:space="preserve"> Madrid: PEARSON EDUCACIÓN, S.A.</w:t>
              </w:r>
            </w:p>
            <w:p w14:paraId="4041AE2D" w14:textId="77777777" w:rsidR="0021783C" w:rsidRDefault="0021783C" w:rsidP="0021783C">
              <w:pPr>
                <w:pStyle w:val="Bibliografa"/>
                <w:spacing w:line="360" w:lineRule="auto"/>
                <w:ind w:left="720" w:hanging="720"/>
                <w:rPr>
                  <w:noProof/>
                  <w:lang w:val="es-ES"/>
                </w:rPr>
              </w:pPr>
              <w:r>
                <w:rPr>
                  <w:noProof/>
                  <w:lang w:val="es-ES"/>
                </w:rPr>
                <w:t xml:space="preserve">Liu, J., Wang, X., &amp; Guo, J. (2021). Eficiencia portuaria y sus factores influyentes en el contexto de las Zonas Francas Piloto. </w:t>
              </w:r>
              <w:r>
                <w:rPr>
                  <w:i/>
                  <w:iCs/>
                  <w:noProof/>
                  <w:lang w:val="es-ES"/>
                </w:rPr>
                <w:t>Transport Policy , 105</w:t>
              </w:r>
              <w:r>
                <w:rPr>
                  <w:noProof/>
                  <w:lang w:val="es-ES"/>
                </w:rPr>
                <w:t>, 67-79.</w:t>
              </w:r>
            </w:p>
            <w:p w14:paraId="32C3C5F2" w14:textId="77777777" w:rsidR="0021783C" w:rsidRDefault="0021783C" w:rsidP="0021783C">
              <w:pPr>
                <w:pStyle w:val="Bibliografa"/>
                <w:spacing w:line="360" w:lineRule="auto"/>
                <w:ind w:left="720" w:hanging="720"/>
                <w:rPr>
                  <w:noProof/>
                  <w:lang w:val="es-ES"/>
                </w:rPr>
              </w:pPr>
              <w:r>
                <w:rPr>
                  <w:noProof/>
                  <w:lang w:val="es-ES"/>
                </w:rPr>
                <w:t xml:space="preserve">Llinás, T. F. (15 de enero de 2011). </w:t>
              </w:r>
              <w:r>
                <w:rPr>
                  <w:i/>
                  <w:iCs/>
                  <w:noProof/>
                  <w:lang w:val="es-ES"/>
                </w:rPr>
                <w:t>Revista Portafolio</w:t>
              </w:r>
              <w:r>
                <w:rPr>
                  <w:noProof/>
                  <w:lang w:val="es-ES"/>
                </w:rPr>
                <w:t>. Obtenido de https://www.portafolio.co/opinion/redaccion-portafolio/zonas-francas-50-anos-despues-124864</w:t>
              </w:r>
            </w:p>
            <w:p w14:paraId="1B8DA756" w14:textId="77777777" w:rsidR="0021783C" w:rsidRDefault="0021783C" w:rsidP="0021783C">
              <w:pPr>
                <w:pStyle w:val="Bibliografa"/>
                <w:spacing w:line="360" w:lineRule="auto"/>
                <w:ind w:left="720" w:hanging="720"/>
                <w:rPr>
                  <w:noProof/>
                  <w:lang w:val="es-ES"/>
                </w:rPr>
              </w:pPr>
              <w:r>
                <w:rPr>
                  <w:noProof/>
                  <w:lang w:val="es-ES"/>
                </w:rPr>
                <w:t xml:space="preserve">Luna, G. A., &amp; Lizarazo, G. A. (2019). Las zonas francas en Colombia: desarrollo empresarial y regional, 2009-2016. </w:t>
              </w:r>
              <w:r>
                <w:rPr>
                  <w:i/>
                  <w:iCs/>
                  <w:noProof/>
                  <w:lang w:val="es-ES"/>
                </w:rPr>
                <w:t>Apuntes del Cenes, vol. 38, núm. 68</w:t>
              </w:r>
              <w:r>
                <w:rPr>
                  <w:noProof/>
                  <w:lang w:val="es-ES"/>
                </w:rPr>
                <w:t>, 151-184.</w:t>
              </w:r>
            </w:p>
            <w:p w14:paraId="24596097" w14:textId="77777777" w:rsidR="0021783C" w:rsidRDefault="0021783C" w:rsidP="0021783C">
              <w:pPr>
                <w:pStyle w:val="Bibliografa"/>
                <w:spacing w:line="360" w:lineRule="auto"/>
                <w:ind w:left="720" w:hanging="720"/>
                <w:rPr>
                  <w:noProof/>
                  <w:lang w:val="es-ES"/>
                </w:rPr>
              </w:pPr>
              <w:r>
                <w:rPr>
                  <w:noProof/>
                  <w:lang w:val="es-ES"/>
                </w:rPr>
                <w:t xml:space="preserve">Martínez, P. J. (2015). Incentivos públicos de nueva generación para la atracción de inversión extranjera directa (IED) en Centroamérica. </w:t>
              </w:r>
              <w:r>
                <w:rPr>
                  <w:i/>
                  <w:iCs/>
                  <w:noProof/>
                  <w:lang w:val="es-ES"/>
                </w:rPr>
                <w:t>Estudios y perspectivas</w:t>
              </w:r>
              <w:r>
                <w:rPr>
                  <w:noProof/>
                  <w:lang w:val="es-ES"/>
                </w:rPr>
                <w:t>, 5-45.</w:t>
              </w:r>
            </w:p>
            <w:p w14:paraId="13DB4C3D" w14:textId="77777777" w:rsidR="0021783C" w:rsidRDefault="0021783C" w:rsidP="0021783C">
              <w:pPr>
                <w:pStyle w:val="Bibliografa"/>
                <w:spacing w:line="360" w:lineRule="auto"/>
                <w:ind w:left="720" w:hanging="720"/>
                <w:rPr>
                  <w:noProof/>
                  <w:lang w:val="es-ES"/>
                </w:rPr>
              </w:pPr>
              <w:r>
                <w:rPr>
                  <w:noProof/>
                  <w:lang w:val="es-ES"/>
                </w:rPr>
                <w:t xml:space="preserve">Mcit. (17 de Octubre de 2012). </w:t>
              </w:r>
              <w:r>
                <w:rPr>
                  <w:i/>
                  <w:iCs/>
                  <w:noProof/>
                  <w:lang w:val="es-ES"/>
                </w:rPr>
                <w:t>Ministerio de comercio, industria y turismo.</w:t>
              </w:r>
              <w:r>
                <w:rPr>
                  <w:noProof/>
                  <w:lang w:val="es-ES"/>
                </w:rPr>
                <w:t xml:space="preserve"> Obtenido de https://www.aplicaciones-mcit.gov.co/colombiaprospera/wp-content/uploads/2012/11/2012-10-17-MINCOMERCIO_VDE_ZF_Valledupar.pdf</w:t>
              </w:r>
            </w:p>
            <w:p w14:paraId="5F08694B" w14:textId="77777777" w:rsidR="0021783C" w:rsidRDefault="0021783C" w:rsidP="0021783C">
              <w:pPr>
                <w:pStyle w:val="Bibliografa"/>
                <w:spacing w:line="360" w:lineRule="auto"/>
                <w:ind w:left="720" w:hanging="720"/>
                <w:rPr>
                  <w:noProof/>
                  <w:lang w:val="es-ES"/>
                </w:rPr>
              </w:pPr>
              <w:r>
                <w:rPr>
                  <w:noProof/>
                  <w:lang w:val="es-ES"/>
                </w:rPr>
                <w:t xml:space="preserve">MinAgricultura. (27 de septiembre de 2024). </w:t>
              </w:r>
              <w:r>
                <w:rPr>
                  <w:i/>
                  <w:iCs/>
                  <w:noProof/>
                  <w:lang w:val="es-ES"/>
                </w:rPr>
                <w:t>Agronet</w:t>
              </w:r>
              <w:r>
                <w:rPr>
                  <w:noProof/>
                  <w:lang w:val="es-ES"/>
                </w:rPr>
                <w:t>. Obtenido de https://www.agronet.gov.co/estadistica/Paginas/home.aspx?cod=9</w:t>
              </w:r>
            </w:p>
            <w:p w14:paraId="60BC57BB" w14:textId="77777777" w:rsidR="0021783C" w:rsidRDefault="0021783C" w:rsidP="0021783C">
              <w:pPr>
                <w:pStyle w:val="Bibliografa"/>
                <w:spacing w:line="360" w:lineRule="auto"/>
                <w:ind w:left="720" w:hanging="720"/>
                <w:rPr>
                  <w:noProof/>
                  <w:lang w:val="es-ES"/>
                </w:rPr>
              </w:pPr>
              <w:r>
                <w:rPr>
                  <w:noProof/>
                  <w:lang w:val="es-ES"/>
                </w:rPr>
                <w:t xml:space="preserve">Mincit. (1 de Septiembre de 2017). </w:t>
              </w:r>
              <w:r>
                <w:rPr>
                  <w:i/>
                  <w:iCs/>
                  <w:noProof/>
                  <w:lang w:val="es-ES"/>
                </w:rPr>
                <w:t>Ministerio de Comercio, Industria y Turismo.</w:t>
              </w:r>
              <w:r>
                <w:rPr>
                  <w:noProof/>
                  <w:lang w:val="es-ES"/>
                </w:rPr>
                <w:t xml:space="preserve"> Obtenido de https://www.mincit.gov.co/CMSPages/GetFile.aspx?guid=42cbdea9-d4ea-4ec6-90ed-e7f02d622b03</w:t>
              </w:r>
            </w:p>
            <w:p w14:paraId="347E99F2" w14:textId="77777777" w:rsidR="0021783C" w:rsidRDefault="0021783C" w:rsidP="0021783C">
              <w:pPr>
                <w:pStyle w:val="Bibliografa"/>
                <w:spacing w:line="360" w:lineRule="auto"/>
                <w:ind w:left="720" w:hanging="720"/>
                <w:rPr>
                  <w:noProof/>
                  <w:lang w:val="es-ES"/>
                </w:rPr>
              </w:pPr>
              <w:r>
                <w:rPr>
                  <w:noProof/>
                  <w:lang w:val="es-ES"/>
                </w:rPr>
                <w:t xml:space="preserve">MinComercio. (1 de Agosto de 2024). </w:t>
              </w:r>
              <w:r>
                <w:rPr>
                  <w:i/>
                  <w:iCs/>
                  <w:noProof/>
                  <w:lang w:val="es-ES"/>
                </w:rPr>
                <w:t>ministerio de comercio industria y turismo.</w:t>
              </w:r>
              <w:r>
                <w:rPr>
                  <w:noProof/>
                  <w:lang w:val="es-ES"/>
                </w:rPr>
                <w:t xml:space="preserve"> Obtenido de https://www.mincit.gov.co/getattachment/estudios-economicos/perfiles-economicos-por-departamentos/perfiles-economicos-por-departamentos/cesar/agosto-2024/oee-jcy-perfil-departamental-cesar-26ago24.pdf.aspx</w:t>
              </w:r>
            </w:p>
            <w:p w14:paraId="77E499CD" w14:textId="77777777" w:rsidR="0021783C" w:rsidRDefault="0021783C" w:rsidP="0021783C">
              <w:pPr>
                <w:pStyle w:val="Bibliografa"/>
                <w:spacing w:line="360" w:lineRule="auto"/>
                <w:ind w:left="720" w:hanging="720"/>
                <w:rPr>
                  <w:noProof/>
                  <w:lang w:val="es-ES"/>
                </w:rPr>
              </w:pPr>
              <w:r>
                <w:rPr>
                  <w:noProof/>
                  <w:lang w:val="es-ES"/>
                </w:rPr>
                <w:lastRenderedPageBreak/>
                <w:t xml:space="preserve">Monavvarian, A., &amp; Alamdari, J. (2015). Formulación de una estrategia para prevenir y controlar las crisis en la Organización de la Zona Franca de Aras. </w:t>
              </w:r>
              <w:r>
                <w:rPr>
                  <w:i/>
                  <w:iCs/>
                  <w:noProof/>
                  <w:lang w:val="es-ES"/>
                </w:rPr>
                <w:t>Revista Europea en Línea de Ciencias Naturales y Sociales , 4</w:t>
              </w:r>
              <w:r>
                <w:rPr>
                  <w:noProof/>
                  <w:lang w:val="es-ES"/>
                </w:rPr>
                <w:t>, 781-797.</w:t>
              </w:r>
            </w:p>
            <w:p w14:paraId="17ED32DA" w14:textId="77777777" w:rsidR="0021783C" w:rsidRDefault="0021783C" w:rsidP="0021783C">
              <w:pPr>
                <w:pStyle w:val="Bibliografa"/>
                <w:spacing w:line="360" w:lineRule="auto"/>
                <w:ind w:left="720" w:hanging="720"/>
                <w:rPr>
                  <w:noProof/>
                  <w:lang w:val="es-ES"/>
                </w:rPr>
              </w:pPr>
              <w:r>
                <w:rPr>
                  <w:noProof/>
                  <w:lang w:val="es-ES"/>
                </w:rPr>
                <w:t>Montes, H. A. (1 de Noviembre de 2019). Obtenido de https://camaraaguachica.org.co/files/ley-transparencia/obligacion-reporte/estudios-investigaciones-otros/turistico.pdf</w:t>
              </w:r>
            </w:p>
            <w:p w14:paraId="01C4A5E6" w14:textId="77777777" w:rsidR="0021783C" w:rsidRDefault="0021783C" w:rsidP="0021783C">
              <w:pPr>
                <w:pStyle w:val="Bibliografa"/>
                <w:spacing w:line="360" w:lineRule="auto"/>
                <w:ind w:left="720" w:hanging="720"/>
                <w:rPr>
                  <w:noProof/>
                  <w:lang w:val="es-ES"/>
                </w:rPr>
              </w:pPr>
              <w:r>
                <w:rPr>
                  <w:noProof/>
                  <w:lang w:val="es-ES"/>
                </w:rPr>
                <w:t xml:space="preserve">Ortiz, J. A., Delgado, P. F., Martel, M. J., &amp; Riveras, J. (2016). Estudio y análisis de Zonas Económicas Especiales. Propuestas de mejora para las Zonas Francas españolas actuales. </w:t>
              </w:r>
              <w:r>
                <w:rPr>
                  <w:i/>
                  <w:iCs/>
                  <w:noProof/>
                  <w:lang w:val="es-ES"/>
                </w:rPr>
                <w:t xml:space="preserve">Revista Empresa Y Humanismo, 19(2), </w:t>
              </w:r>
              <w:r>
                <w:rPr>
                  <w:noProof/>
                  <w:lang w:val="es-ES"/>
                </w:rPr>
                <w:t>, 7-50.</w:t>
              </w:r>
            </w:p>
            <w:p w14:paraId="701D0DB7" w14:textId="77777777" w:rsidR="0021783C" w:rsidRDefault="0021783C" w:rsidP="0021783C">
              <w:pPr>
                <w:pStyle w:val="Bibliografa"/>
                <w:spacing w:line="360" w:lineRule="auto"/>
                <w:ind w:left="720" w:hanging="720"/>
                <w:rPr>
                  <w:noProof/>
                  <w:lang w:val="es-ES"/>
                </w:rPr>
              </w:pPr>
              <w:r>
                <w:rPr>
                  <w:noProof/>
                  <w:lang w:val="es-ES"/>
                </w:rPr>
                <w:t xml:space="preserve">Paz, M. J. (2002). Los enfoques microeconómicos sobre la expansión de las empresas transnacionales. </w:t>
              </w:r>
              <w:r>
                <w:rPr>
                  <w:i/>
                  <w:iCs/>
                  <w:noProof/>
                  <w:lang w:val="es-ES"/>
                </w:rPr>
                <w:t>Boletín económico de ICE, Información Comercial Española, ISSN-e 2340-8804, ISSN 0214-8307, Nº 2732</w:t>
              </w:r>
              <w:r>
                <w:rPr>
                  <w:noProof/>
                  <w:lang w:val="es-ES"/>
                </w:rPr>
                <w:t>, 37-44.</w:t>
              </w:r>
            </w:p>
            <w:p w14:paraId="25A42949" w14:textId="77777777" w:rsidR="0021783C" w:rsidRDefault="0021783C" w:rsidP="0021783C">
              <w:pPr>
                <w:pStyle w:val="Bibliografa"/>
                <w:spacing w:line="360" w:lineRule="auto"/>
                <w:ind w:left="720" w:hanging="720"/>
                <w:rPr>
                  <w:noProof/>
                  <w:lang w:val="es-ES"/>
                </w:rPr>
              </w:pPr>
              <w:r>
                <w:rPr>
                  <w:noProof/>
                  <w:lang w:val="es-ES"/>
                </w:rPr>
                <w:t xml:space="preserve">Pinzón, E. A., &amp; Lora, J. E. (2015). La generación de beneficios sociales y económicos de las zonas francas en Colombia. </w:t>
              </w:r>
              <w:r>
                <w:rPr>
                  <w:i/>
                  <w:iCs/>
                  <w:noProof/>
                  <w:lang w:val="es-ES"/>
                </w:rPr>
                <w:t>FACE: Revista De La Facultad De Ciencias Económicas Y Empresariales, 15(2),</w:t>
              </w:r>
              <w:r>
                <w:rPr>
                  <w:noProof/>
                  <w:lang w:val="es-ES"/>
                </w:rPr>
                <w:t>, 52–66.</w:t>
              </w:r>
            </w:p>
            <w:p w14:paraId="25D08D0B" w14:textId="77777777" w:rsidR="0021783C" w:rsidRDefault="0021783C" w:rsidP="0021783C">
              <w:pPr>
                <w:pStyle w:val="Bibliografa"/>
                <w:spacing w:line="360" w:lineRule="auto"/>
                <w:ind w:left="720" w:hanging="720"/>
                <w:rPr>
                  <w:noProof/>
                  <w:lang w:val="es-ES"/>
                </w:rPr>
              </w:pPr>
              <w:r>
                <w:rPr>
                  <w:noProof/>
                  <w:lang w:val="es-ES"/>
                </w:rPr>
                <w:t xml:space="preserve">Potdevin, N. (2024). </w:t>
              </w:r>
              <w:r>
                <w:rPr>
                  <w:i/>
                  <w:iCs/>
                  <w:noProof/>
                  <w:lang w:val="es-ES"/>
                </w:rPr>
                <w:t>Guia Legal de Zonas Francas 2024.</w:t>
              </w:r>
              <w:r>
                <w:rPr>
                  <w:noProof/>
                  <w:lang w:val="es-ES"/>
                </w:rPr>
                <w:t xml:space="preserve"> Bogotá, Colombia: Gomez-Pinzon.</w:t>
              </w:r>
            </w:p>
            <w:p w14:paraId="4CBFA953" w14:textId="77777777" w:rsidR="0021783C" w:rsidRDefault="0021783C" w:rsidP="0021783C">
              <w:pPr>
                <w:pStyle w:val="Bibliografa"/>
                <w:spacing w:line="360" w:lineRule="auto"/>
                <w:ind w:left="720" w:hanging="720"/>
                <w:rPr>
                  <w:noProof/>
                  <w:lang w:val="es-ES"/>
                </w:rPr>
              </w:pPr>
              <w:r>
                <w:rPr>
                  <w:noProof/>
                  <w:lang w:val="es-ES"/>
                </w:rPr>
                <w:t xml:space="preserve">Prado, L. G. (27 de Enero de 2022). </w:t>
              </w:r>
              <w:r>
                <w:rPr>
                  <w:i/>
                  <w:iCs/>
                  <w:noProof/>
                  <w:lang w:val="es-ES"/>
                </w:rPr>
                <w:t>Gobernación del Cesar</w:t>
              </w:r>
              <w:r>
                <w:rPr>
                  <w:noProof/>
                  <w:lang w:val="es-ES"/>
                </w:rPr>
                <w:t>. Obtenido de https://cesar.gov.co/d/es/noticias/boletines/5257-artbp-000598-2022</w:t>
              </w:r>
            </w:p>
            <w:p w14:paraId="6FCFB62F" w14:textId="77777777" w:rsidR="0021783C" w:rsidRDefault="0021783C" w:rsidP="0021783C">
              <w:pPr>
                <w:pStyle w:val="Bibliografa"/>
                <w:spacing w:line="360" w:lineRule="auto"/>
                <w:ind w:left="720" w:hanging="720"/>
                <w:rPr>
                  <w:noProof/>
                  <w:lang w:val="es-ES"/>
                </w:rPr>
              </w:pPr>
              <w:r>
                <w:rPr>
                  <w:noProof/>
                  <w:lang w:val="es-ES"/>
                </w:rPr>
                <w:t xml:space="preserve">Ramírez, J. C., &amp; Aguas, J. M. (2017). </w:t>
              </w:r>
              <w:r>
                <w:rPr>
                  <w:i/>
                  <w:iCs/>
                  <w:noProof/>
                  <w:lang w:val="es-ES"/>
                </w:rPr>
                <w:t>Escalafón de la competitividad de los departamentos de Colombia 2017.</w:t>
              </w:r>
              <w:r>
                <w:rPr>
                  <w:noProof/>
                  <w:lang w:val="es-ES"/>
                </w:rPr>
                <w:t xml:space="preserve"> Bogotá: Comisión Económica para América Latina y el Caribe.</w:t>
              </w:r>
            </w:p>
            <w:p w14:paraId="0E8D0B89" w14:textId="77777777" w:rsidR="0021783C" w:rsidRDefault="0021783C" w:rsidP="0021783C">
              <w:pPr>
                <w:pStyle w:val="Bibliografa"/>
                <w:spacing w:line="360" w:lineRule="auto"/>
                <w:ind w:left="720" w:hanging="720"/>
                <w:rPr>
                  <w:noProof/>
                  <w:lang w:val="es-ES"/>
                </w:rPr>
              </w:pPr>
              <w:r>
                <w:rPr>
                  <w:noProof/>
                  <w:lang w:val="es-ES"/>
                </w:rPr>
                <w:t xml:space="preserve">Requeijo, J. (2021). Ideas y creencias en la teoría del intercambio internacional:el teorema de Heckscher-OhlinSamuelson. </w:t>
              </w:r>
              <w:r>
                <w:rPr>
                  <w:i/>
                  <w:iCs/>
                  <w:noProof/>
                  <w:lang w:val="es-ES"/>
                </w:rPr>
                <w:t>Facultad de Ciencias Económicas y Empresariales: Universidad de Madrid (Complutense)</w:t>
              </w:r>
              <w:r>
                <w:rPr>
                  <w:noProof/>
                  <w:lang w:val="es-ES"/>
                </w:rPr>
                <w:t>, 183-198.</w:t>
              </w:r>
            </w:p>
            <w:p w14:paraId="54002DF5" w14:textId="77777777" w:rsidR="0021783C" w:rsidRDefault="0021783C" w:rsidP="0021783C">
              <w:pPr>
                <w:pStyle w:val="Bibliografa"/>
                <w:spacing w:line="360" w:lineRule="auto"/>
                <w:ind w:left="720" w:hanging="720"/>
                <w:rPr>
                  <w:noProof/>
                  <w:lang w:val="es-ES"/>
                </w:rPr>
              </w:pPr>
              <w:r>
                <w:rPr>
                  <w:noProof/>
                  <w:lang w:val="es-ES"/>
                </w:rPr>
                <w:t xml:space="preserve">Reyes, A. Y. (28 de noviembre de 2016). </w:t>
              </w:r>
              <w:r>
                <w:rPr>
                  <w:i/>
                  <w:iCs/>
                  <w:noProof/>
                  <w:lang w:val="es-ES"/>
                </w:rPr>
                <w:t>Caracterización del régimen de zonas francas en Colombia</w:t>
              </w:r>
              <w:r>
                <w:rPr>
                  <w:noProof/>
                  <w:lang w:val="es-ES"/>
                </w:rPr>
                <w:t>. Obtenido de https://www.dian.gov.co/dian/cifras/Cuadernos%20de%20Trabajo/Caracterizaci%C3%B3n%20del%20r%C3%A9gimen%20de%20zonas%20francas%20en%20Colombia.pdf</w:t>
              </w:r>
            </w:p>
            <w:p w14:paraId="25EFE9C5" w14:textId="77777777" w:rsidR="0021783C" w:rsidRPr="003F7549" w:rsidRDefault="0021783C" w:rsidP="0021783C">
              <w:pPr>
                <w:pStyle w:val="Bibliografa"/>
                <w:spacing w:line="360" w:lineRule="auto"/>
                <w:ind w:left="720" w:hanging="720"/>
                <w:rPr>
                  <w:noProof/>
                  <w:lang w:val="en-US"/>
                </w:rPr>
              </w:pPr>
              <w:r w:rsidRPr="003F7549">
                <w:rPr>
                  <w:noProof/>
                  <w:lang w:val="en-US"/>
                </w:rPr>
                <w:t xml:space="preserve">Ricardo, D. (2002). </w:t>
              </w:r>
              <w:r w:rsidRPr="003F7549">
                <w:rPr>
                  <w:i/>
                  <w:iCs/>
                  <w:noProof/>
                  <w:lang w:val="en-US"/>
                </w:rPr>
                <w:t>Ensayos económicos.</w:t>
              </w:r>
              <w:r w:rsidRPr="003F7549">
                <w:rPr>
                  <w:noProof/>
                  <w:lang w:val="en-US"/>
                </w:rPr>
                <w:t xml:space="preserve"> New York: University Press of the Pacific.</w:t>
              </w:r>
            </w:p>
            <w:p w14:paraId="7FE7F544" w14:textId="77777777" w:rsidR="0021783C" w:rsidRDefault="0021783C" w:rsidP="0021783C">
              <w:pPr>
                <w:pStyle w:val="Bibliografa"/>
                <w:spacing w:line="360" w:lineRule="auto"/>
                <w:ind w:left="720" w:hanging="720"/>
                <w:rPr>
                  <w:noProof/>
                  <w:lang w:val="es-ES"/>
                </w:rPr>
              </w:pPr>
              <w:r>
                <w:rPr>
                  <w:noProof/>
                  <w:lang w:val="es-ES"/>
                </w:rPr>
                <w:t xml:space="preserve">Salgado, E. (2003). Teoría de costos de transacción: una breve reseña. </w:t>
              </w:r>
              <w:r>
                <w:rPr>
                  <w:i/>
                  <w:iCs/>
                  <w:noProof/>
                  <w:lang w:val="es-ES"/>
                </w:rPr>
                <w:t>Cuadernos de Administración, vol. 16, núm. 26, julio-diciembre, 2003</w:t>
              </w:r>
              <w:r>
                <w:rPr>
                  <w:noProof/>
                  <w:lang w:val="es-ES"/>
                </w:rPr>
                <w:t>, 61-78.</w:t>
              </w:r>
            </w:p>
            <w:p w14:paraId="00B93595" w14:textId="77777777" w:rsidR="0021783C" w:rsidRDefault="0021783C" w:rsidP="0021783C">
              <w:pPr>
                <w:pStyle w:val="Bibliografa"/>
                <w:spacing w:line="360" w:lineRule="auto"/>
                <w:ind w:left="720" w:hanging="720"/>
                <w:rPr>
                  <w:noProof/>
                  <w:lang w:val="es-ES"/>
                </w:rPr>
              </w:pPr>
              <w:r>
                <w:rPr>
                  <w:noProof/>
                  <w:lang w:val="es-ES"/>
                </w:rPr>
                <w:t xml:space="preserve">Secretaria Mayor de Bogota. (2024). </w:t>
              </w:r>
              <w:r>
                <w:rPr>
                  <w:i/>
                  <w:iCs/>
                  <w:noProof/>
                  <w:lang w:val="es-ES"/>
                </w:rPr>
                <w:t>Decreto 027 de 2024.</w:t>
              </w:r>
              <w:r>
                <w:rPr>
                  <w:noProof/>
                  <w:lang w:val="es-ES"/>
                </w:rPr>
                <w:t xml:space="preserve"> Obtenido de https://www.alcaldiabogota.gov.co/sisjur/normas/Norma1.jsp?i=152942</w:t>
              </w:r>
            </w:p>
            <w:p w14:paraId="5C493C9D" w14:textId="77777777" w:rsidR="0021783C" w:rsidRDefault="0021783C" w:rsidP="0021783C">
              <w:pPr>
                <w:pStyle w:val="Bibliografa"/>
                <w:spacing w:line="360" w:lineRule="auto"/>
                <w:ind w:left="720" w:hanging="720"/>
                <w:rPr>
                  <w:noProof/>
                  <w:lang w:val="es-ES"/>
                </w:rPr>
              </w:pPr>
              <w:r>
                <w:rPr>
                  <w:noProof/>
                  <w:lang w:val="es-ES"/>
                </w:rPr>
                <w:lastRenderedPageBreak/>
                <w:t xml:space="preserve">Tang, L., Tan, X., Guo, P., Huang, T., &amp; Liu, T. (2022). Análisis comparativo de los factores de ubicación y su influencia externa en las zonas portuarias de libre comercio en China. </w:t>
              </w:r>
              <w:r>
                <w:rPr>
                  <w:i/>
                  <w:iCs/>
                  <w:noProof/>
                  <w:lang w:val="es-ES"/>
                </w:rPr>
                <w:t>Sostenibilidad 2022 , 14 (4)</w:t>
              </w:r>
              <w:r>
                <w:rPr>
                  <w:noProof/>
                  <w:lang w:val="es-ES"/>
                </w:rPr>
                <w:t>, 1-19.</w:t>
              </w:r>
            </w:p>
            <w:p w14:paraId="00A748AE" w14:textId="77777777" w:rsidR="0021783C" w:rsidRDefault="0021783C" w:rsidP="0021783C">
              <w:pPr>
                <w:pStyle w:val="Bibliografa"/>
                <w:spacing w:line="360" w:lineRule="auto"/>
                <w:ind w:left="720" w:hanging="720"/>
                <w:rPr>
                  <w:noProof/>
                  <w:lang w:val="es-ES"/>
                </w:rPr>
              </w:pPr>
              <w:r>
                <w:rPr>
                  <w:noProof/>
                  <w:lang w:val="es-ES"/>
                </w:rPr>
                <w:t xml:space="preserve">Valencia, G. C. (2020). Zonas francas en Colombia: una evaluación de sus avances comerciales. </w:t>
              </w:r>
              <w:r>
                <w:rPr>
                  <w:i/>
                  <w:iCs/>
                  <w:noProof/>
                  <w:lang w:val="es-ES"/>
                </w:rPr>
                <w:t>Revista ESPACIOS. ISSN: 0798-1015</w:t>
              </w:r>
              <w:r>
                <w:rPr>
                  <w:noProof/>
                  <w:lang w:val="es-ES"/>
                </w:rPr>
                <w:t>, 192-203.</w:t>
              </w:r>
            </w:p>
            <w:p w14:paraId="2C9BDA88" w14:textId="77777777" w:rsidR="0021783C" w:rsidRDefault="0021783C" w:rsidP="0021783C">
              <w:pPr>
                <w:pStyle w:val="Bibliografa"/>
                <w:spacing w:line="360" w:lineRule="auto"/>
                <w:ind w:left="720" w:hanging="720"/>
                <w:rPr>
                  <w:noProof/>
                  <w:lang w:val="es-ES"/>
                </w:rPr>
              </w:pPr>
              <w:r>
                <w:rPr>
                  <w:noProof/>
                  <w:lang w:val="es-ES"/>
                </w:rPr>
                <w:t xml:space="preserve">Vélez, J. E., &amp; León, G. E. (2014). Las zonas francas y el sector logístico en Colombia: una aproximación teórica. </w:t>
              </w:r>
              <w:r>
                <w:rPr>
                  <w:i/>
                  <w:iCs/>
                  <w:noProof/>
                  <w:lang w:val="es-ES"/>
                </w:rPr>
                <w:t>Revista Escenarios: empresa y territorio No.3, ISSN 2322-6331</w:t>
              </w:r>
              <w:r>
                <w:rPr>
                  <w:noProof/>
                  <w:lang w:val="es-ES"/>
                </w:rPr>
                <w:t>, 1-20.</w:t>
              </w:r>
            </w:p>
            <w:p w14:paraId="7E9D2AC7" w14:textId="5763396B" w:rsidR="00CB27F5" w:rsidRDefault="00CB27F5" w:rsidP="0021783C">
              <w:r>
                <w:rPr>
                  <w:b/>
                  <w:bCs/>
                </w:rPr>
                <w:fldChar w:fldCharType="end"/>
              </w:r>
            </w:p>
          </w:sdtContent>
        </w:sdt>
      </w:sdtContent>
    </w:sdt>
    <w:p w14:paraId="4295FA60" w14:textId="7478731C" w:rsidR="0096072B" w:rsidRDefault="0096072B">
      <w:pPr>
        <w:spacing w:line="259" w:lineRule="auto"/>
        <w:ind w:firstLine="0"/>
        <w:rPr>
          <w:rFonts w:eastAsia="Times New Roman" w:cs="Times New Roman"/>
          <w:b/>
          <w:bCs/>
          <w:color w:val="000000" w:themeColor="text1"/>
          <w:kern w:val="0"/>
          <w:sz w:val="22"/>
          <w:szCs w:val="18"/>
          <w:lang w:eastAsia="es-ES"/>
          <w14:ligatures w14:val="none"/>
        </w:rPr>
      </w:pPr>
      <w:r>
        <w:rPr>
          <w:b/>
          <w:bCs/>
          <w:color w:val="000000" w:themeColor="text1"/>
          <w:sz w:val="22"/>
          <w:szCs w:val="18"/>
        </w:rPr>
        <w:br w:type="page"/>
      </w:r>
    </w:p>
    <w:p w14:paraId="7E3EC7D5" w14:textId="4B896A25" w:rsidR="0093652A" w:rsidRPr="00901E21" w:rsidRDefault="0093652A" w:rsidP="0096072B">
      <w:pPr>
        <w:pStyle w:val="Ttulo1"/>
      </w:pPr>
      <w:bookmarkStart w:id="144" w:name="_Toc183783066"/>
      <w:r w:rsidRPr="00901E21">
        <w:lastRenderedPageBreak/>
        <w:t>APENDICES (ANEXOS)</w:t>
      </w:r>
      <w:bookmarkEnd w:id="144"/>
    </w:p>
    <w:p w14:paraId="2F8CB5A1" w14:textId="05AE7BCC" w:rsidR="0093652A" w:rsidRDefault="0093652A" w:rsidP="0015136C">
      <w:pPr>
        <w:pStyle w:val="Prrafodelista"/>
        <w:widowControl w:val="0"/>
        <w:spacing w:line="480" w:lineRule="auto"/>
        <w:ind w:left="1080"/>
        <w:rPr>
          <w:rStyle w:val="nfasisintenso"/>
          <w:rFonts w:ascii="Times New Roman" w:hAnsi="Times New Roman"/>
          <w:b/>
          <w:bCs/>
          <w:i w:val="0"/>
          <w:iCs w:val="0"/>
          <w:color w:val="auto"/>
          <w:sz w:val="22"/>
          <w:szCs w:val="22"/>
          <w:lang w:eastAsia="en-US"/>
        </w:rPr>
      </w:pPr>
    </w:p>
    <w:p w14:paraId="150A7B24" w14:textId="279D109C" w:rsidR="0038031F" w:rsidRPr="0038031F" w:rsidRDefault="0038031F" w:rsidP="0015136C">
      <w:pPr>
        <w:widowControl w:val="0"/>
        <w:spacing w:line="480" w:lineRule="auto"/>
        <w:rPr>
          <w:rStyle w:val="nfasisintenso"/>
          <w:b/>
          <w:bCs/>
          <w:i w:val="0"/>
          <w:iCs w:val="0"/>
          <w:color w:val="auto"/>
        </w:rPr>
      </w:pPr>
      <w:r w:rsidRPr="0038031F">
        <w:rPr>
          <w:rStyle w:val="nfasisintenso"/>
          <w:b/>
          <w:bCs/>
          <w:i w:val="0"/>
          <w:iCs w:val="0"/>
          <w:color w:val="auto"/>
        </w:rPr>
        <w:t xml:space="preserve">CRONOGRAMA </w:t>
      </w:r>
    </w:p>
    <w:p w14:paraId="29EB0F0C" w14:textId="078E99D3" w:rsidR="0038031F" w:rsidRDefault="0096072B" w:rsidP="0015136C">
      <w:pPr>
        <w:spacing w:line="480" w:lineRule="auto"/>
      </w:pPr>
      <w:r>
        <w:rPr>
          <w:noProof/>
          <w:lang w:eastAsia="es-CO"/>
        </w:rPr>
        <w:drawing>
          <wp:anchor distT="0" distB="0" distL="114300" distR="114300" simplePos="0" relativeHeight="251659264" behindDoc="0" locked="0" layoutInCell="1" allowOverlap="1" wp14:anchorId="26DB696F" wp14:editId="7726723E">
            <wp:simplePos x="0" y="0"/>
            <wp:positionH relativeFrom="margin">
              <wp:align>center</wp:align>
            </wp:positionH>
            <wp:positionV relativeFrom="margin">
              <wp:posOffset>1040765</wp:posOffset>
            </wp:positionV>
            <wp:extent cx="5524500" cy="1323975"/>
            <wp:effectExtent l="0" t="0" r="0" b="9525"/>
            <wp:wrapNone/>
            <wp:docPr id="13585114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1">
                      <a:extLst>
                        <a:ext uri="{28A0092B-C50C-407E-A947-70E740481C1C}">
                          <a14:useLocalDpi xmlns:a14="http://schemas.microsoft.com/office/drawing/2010/main" val="0"/>
                        </a:ext>
                      </a:extLst>
                    </a:blip>
                    <a:srcRect r="15926" b="15244"/>
                    <a:stretch/>
                  </pic:blipFill>
                  <pic:spPr bwMode="auto">
                    <a:xfrm>
                      <a:off x="0" y="0"/>
                      <a:ext cx="5524500" cy="13239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402C02" w14:textId="51460DDC" w:rsidR="008465C1" w:rsidRDefault="008465C1" w:rsidP="0015136C">
      <w:pPr>
        <w:spacing w:line="480" w:lineRule="auto"/>
      </w:pPr>
    </w:p>
    <w:p w14:paraId="67E53299" w14:textId="133A6AC3" w:rsidR="008465C1" w:rsidRPr="0038031F" w:rsidRDefault="008465C1" w:rsidP="0015136C">
      <w:pPr>
        <w:spacing w:line="480" w:lineRule="auto"/>
      </w:pPr>
    </w:p>
    <w:p w14:paraId="79828714" w14:textId="5ABA1121" w:rsidR="008465C1" w:rsidRDefault="008465C1" w:rsidP="0015136C">
      <w:pPr>
        <w:spacing w:line="480" w:lineRule="auto"/>
        <w:rPr>
          <w:rFonts w:cs="Times New Roman"/>
          <w:b/>
          <w:bCs/>
        </w:rPr>
      </w:pPr>
    </w:p>
    <w:p w14:paraId="3DC12CD3" w14:textId="20868A26" w:rsidR="0038031F" w:rsidRPr="0038031F" w:rsidRDefault="0038031F" w:rsidP="0015136C">
      <w:pPr>
        <w:spacing w:line="480" w:lineRule="auto"/>
        <w:rPr>
          <w:rFonts w:cs="Times New Roman"/>
          <w:b/>
          <w:bCs/>
        </w:rPr>
      </w:pPr>
      <w:r w:rsidRPr="0038031F">
        <w:rPr>
          <w:rFonts w:cs="Times New Roman"/>
          <w:b/>
          <w:bCs/>
        </w:rPr>
        <w:t>PRESUPUESTO</w:t>
      </w:r>
    </w:p>
    <w:p w14:paraId="01C61CE2" w14:textId="7B74148B" w:rsidR="0038031F" w:rsidRPr="0038031F" w:rsidRDefault="0038031F" w:rsidP="0015136C">
      <w:pPr>
        <w:spacing w:line="480" w:lineRule="auto"/>
        <w:ind w:firstLine="708"/>
        <w:rPr>
          <w:rFonts w:cs="Times New Roman"/>
        </w:rPr>
      </w:pPr>
      <w:r w:rsidRPr="0038031F">
        <w:rPr>
          <w:rFonts w:cs="Times New Roman"/>
        </w:rPr>
        <w:t>Es relevante destacar que la presente investigación se ha llevado a cabo de manera independiente y con recursos propios, con el objetivo de garantizar la imparcialidad y la integridad en la recopilación y análisis de la información relacionada con los trastornos de la voz y los factores de riesgo en docentes colombianos. La ausencia de financiamiento externo o influencias de terceros ha permitido un enfoque objetivo y transparente en la exploración de este tema de vital importancia para la salud vocal de los educadores.</w:t>
      </w:r>
    </w:p>
    <w:p w14:paraId="6CEBC98B" w14:textId="260DB03B" w:rsidR="0038031F" w:rsidRPr="0038031F" w:rsidRDefault="0038031F" w:rsidP="0015136C">
      <w:pPr>
        <w:spacing w:line="480" w:lineRule="auto"/>
      </w:pPr>
    </w:p>
    <w:p w14:paraId="0BF0D3E2" w14:textId="0E568816" w:rsidR="0038031F" w:rsidRPr="0038031F" w:rsidRDefault="0038031F" w:rsidP="0015136C">
      <w:pPr>
        <w:spacing w:line="480" w:lineRule="auto"/>
      </w:pPr>
    </w:p>
    <w:p w14:paraId="7E536D38" w14:textId="11FF3123" w:rsidR="0038031F" w:rsidRPr="0038031F" w:rsidRDefault="0038031F" w:rsidP="0015136C">
      <w:pPr>
        <w:spacing w:line="480" w:lineRule="auto"/>
      </w:pPr>
    </w:p>
    <w:sectPr w:rsidR="0038031F" w:rsidRPr="0038031F" w:rsidSect="002660AA">
      <w:footerReference w:type="default" r:id="rId22"/>
      <w:pgSz w:w="12240" w:h="15840"/>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5833E3" w14:textId="77777777" w:rsidR="00E23E2B" w:rsidRDefault="00E23E2B" w:rsidP="00F22CC6">
      <w:pPr>
        <w:spacing w:after="0" w:line="240" w:lineRule="auto"/>
      </w:pPr>
      <w:r>
        <w:separator/>
      </w:r>
    </w:p>
  </w:endnote>
  <w:endnote w:type="continuationSeparator" w:id="0">
    <w:p w14:paraId="55D3A431" w14:textId="77777777" w:rsidR="00E23E2B" w:rsidRDefault="00E23E2B" w:rsidP="00F22C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imesNewRomanPSMT">
    <w:altName w:val="Times New Roman"/>
    <w:panose1 w:val="00000000000000000000"/>
    <w:charset w:val="0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8740083"/>
      <w:docPartObj>
        <w:docPartGallery w:val="Page Numbers (Bottom of Page)"/>
        <w:docPartUnique/>
      </w:docPartObj>
    </w:sdtPr>
    <w:sdtEndPr/>
    <w:sdtContent>
      <w:p w14:paraId="1B583720" w14:textId="104AADE3" w:rsidR="0049585F" w:rsidRDefault="0049585F">
        <w:pPr>
          <w:pStyle w:val="Piedepgina"/>
          <w:jc w:val="right"/>
        </w:pPr>
        <w:r>
          <w:fldChar w:fldCharType="begin"/>
        </w:r>
        <w:r>
          <w:instrText>PAGE   \* MERGEFORMAT</w:instrText>
        </w:r>
        <w:r>
          <w:fldChar w:fldCharType="separate"/>
        </w:r>
        <w:r w:rsidR="00E33888" w:rsidRPr="00E33888">
          <w:rPr>
            <w:noProof/>
            <w:lang w:val="es-ES"/>
          </w:rPr>
          <w:t>2</w:t>
        </w:r>
        <w:r>
          <w:fldChar w:fldCharType="end"/>
        </w:r>
      </w:p>
    </w:sdtContent>
  </w:sdt>
  <w:p w14:paraId="6FED3F01" w14:textId="77777777" w:rsidR="0049585F" w:rsidRDefault="0049585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E5B4C2" w14:textId="77777777" w:rsidR="00E23E2B" w:rsidRDefault="00E23E2B" w:rsidP="00F22CC6">
      <w:pPr>
        <w:spacing w:after="0" w:line="240" w:lineRule="auto"/>
      </w:pPr>
      <w:r>
        <w:separator/>
      </w:r>
    </w:p>
  </w:footnote>
  <w:footnote w:type="continuationSeparator" w:id="0">
    <w:p w14:paraId="61FC6EBD" w14:textId="77777777" w:rsidR="00E23E2B" w:rsidRDefault="00E23E2B" w:rsidP="00F22C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84F76"/>
    <w:multiLevelType w:val="multilevel"/>
    <w:tmpl w:val="5C98C430"/>
    <w:lvl w:ilvl="0">
      <w:start w:val="1"/>
      <w:numFmt w:val="bullet"/>
      <w:lvlText w:val=""/>
      <w:lvlJc w:val="left"/>
      <w:pPr>
        <w:ind w:left="360" w:hanging="360"/>
      </w:pPr>
      <w:rPr>
        <w:rFonts w:ascii="Symbol" w:hAnsi="Symbol" w:hint="default"/>
        <w:b/>
        <w:bCs/>
        <w:color w:val="000000" w:themeColor="text1"/>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 w15:restartNumberingAfterBreak="0">
    <w:nsid w:val="02EB106B"/>
    <w:multiLevelType w:val="hybridMultilevel"/>
    <w:tmpl w:val="0F046BD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 w15:restartNumberingAfterBreak="0">
    <w:nsid w:val="07B60D59"/>
    <w:multiLevelType w:val="multilevel"/>
    <w:tmpl w:val="774AD6C8"/>
    <w:lvl w:ilvl="0">
      <w:start w:val="1"/>
      <w:numFmt w:val="decimal"/>
      <w:pStyle w:val="Ttulo1"/>
      <w:lvlText w:val="%1."/>
      <w:lvlJc w:val="left"/>
      <w:pPr>
        <w:ind w:left="357" w:hanging="357"/>
      </w:pPr>
      <w:rPr>
        <w:rFonts w:hint="default"/>
      </w:rPr>
    </w:lvl>
    <w:lvl w:ilvl="1">
      <w:start w:val="1"/>
      <w:numFmt w:val="decimal"/>
      <w:pStyle w:val="Ttulo2"/>
      <w:lvlText w:val="%1.%2."/>
      <w:lvlJc w:val="left"/>
      <w:pPr>
        <w:ind w:left="357" w:hanging="357"/>
      </w:pPr>
      <w:rPr>
        <w:rFonts w:hint="default"/>
      </w:rPr>
    </w:lvl>
    <w:lvl w:ilvl="2">
      <w:start w:val="1"/>
      <w:numFmt w:val="decimal"/>
      <w:pStyle w:val="Ttulo3"/>
      <w:lvlText w:val="%1.%2.%3."/>
      <w:lvlJc w:val="left"/>
      <w:pPr>
        <w:ind w:left="357" w:hanging="357"/>
      </w:pPr>
      <w:rPr>
        <w:rFonts w:hint="default"/>
      </w:rPr>
    </w:lvl>
    <w:lvl w:ilvl="3">
      <w:start w:val="1"/>
      <w:numFmt w:val="decimal"/>
      <w:pStyle w:val="Ttulo4"/>
      <w:lvlText w:val="%1.%2.%3.%4."/>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3" w15:restartNumberingAfterBreak="0">
    <w:nsid w:val="17414337"/>
    <w:multiLevelType w:val="hybridMultilevel"/>
    <w:tmpl w:val="B34AAA4C"/>
    <w:lvl w:ilvl="0" w:tplc="0C0A0005">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 w15:restartNumberingAfterBreak="0">
    <w:nsid w:val="17CB6ED7"/>
    <w:multiLevelType w:val="multilevel"/>
    <w:tmpl w:val="DE587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5B093D"/>
    <w:multiLevelType w:val="hybridMultilevel"/>
    <w:tmpl w:val="0ED67C1A"/>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6" w15:restartNumberingAfterBreak="0">
    <w:nsid w:val="1A29545B"/>
    <w:multiLevelType w:val="hybridMultilevel"/>
    <w:tmpl w:val="D12C2B6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7" w15:restartNumberingAfterBreak="0">
    <w:nsid w:val="1A7527DA"/>
    <w:multiLevelType w:val="hybridMultilevel"/>
    <w:tmpl w:val="46BC27F2"/>
    <w:lvl w:ilvl="0" w:tplc="FC84ECC8">
      <w:start w:val="1"/>
      <w:numFmt w:val="upperLetter"/>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8" w15:restartNumberingAfterBreak="0">
    <w:nsid w:val="211A222F"/>
    <w:multiLevelType w:val="multilevel"/>
    <w:tmpl w:val="0C0A0027"/>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9" w15:restartNumberingAfterBreak="0">
    <w:nsid w:val="23582CD7"/>
    <w:multiLevelType w:val="hybridMultilevel"/>
    <w:tmpl w:val="FE1E6BEC"/>
    <w:lvl w:ilvl="0" w:tplc="240A000F">
      <w:start w:val="1"/>
      <w:numFmt w:val="decimal"/>
      <w:lvlText w:val="%1."/>
      <w:lvlJc w:val="left"/>
      <w:pPr>
        <w:ind w:left="1429" w:hanging="360"/>
      </w:pPr>
      <w:rPr>
        <w:rFonts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0" w15:restartNumberingAfterBreak="0">
    <w:nsid w:val="289B05A4"/>
    <w:multiLevelType w:val="hybridMultilevel"/>
    <w:tmpl w:val="7ABC1C2A"/>
    <w:lvl w:ilvl="0" w:tplc="F8661150">
      <w:start w:val="1"/>
      <w:numFmt w:val="lowerLetter"/>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1" w15:restartNumberingAfterBreak="0">
    <w:nsid w:val="289D410E"/>
    <w:multiLevelType w:val="hybridMultilevel"/>
    <w:tmpl w:val="0460377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2" w15:restartNumberingAfterBreak="0">
    <w:nsid w:val="2BAE70C0"/>
    <w:multiLevelType w:val="hybridMultilevel"/>
    <w:tmpl w:val="7090D41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3" w15:restartNumberingAfterBreak="0">
    <w:nsid w:val="2D0128EF"/>
    <w:multiLevelType w:val="hybridMultilevel"/>
    <w:tmpl w:val="ECF4051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4" w15:restartNumberingAfterBreak="0">
    <w:nsid w:val="2F714AA3"/>
    <w:multiLevelType w:val="hybridMultilevel"/>
    <w:tmpl w:val="09E266C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5" w15:restartNumberingAfterBreak="0">
    <w:nsid w:val="306716D1"/>
    <w:multiLevelType w:val="hybridMultilevel"/>
    <w:tmpl w:val="DEB0C0C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6" w15:restartNumberingAfterBreak="0">
    <w:nsid w:val="322E5A77"/>
    <w:multiLevelType w:val="multilevel"/>
    <w:tmpl w:val="4176A6CC"/>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start w:val="1"/>
      <w:numFmt w:val="upp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5AA5ABA"/>
    <w:multiLevelType w:val="hybridMultilevel"/>
    <w:tmpl w:val="F92E11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75F57FC"/>
    <w:multiLevelType w:val="multilevel"/>
    <w:tmpl w:val="754EA79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9AD2B30"/>
    <w:multiLevelType w:val="hybridMultilevel"/>
    <w:tmpl w:val="CB04FC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E0C5ECB"/>
    <w:multiLevelType w:val="hybridMultilevel"/>
    <w:tmpl w:val="D3980EC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1" w15:restartNumberingAfterBreak="0">
    <w:nsid w:val="56D56E2B"/>
    <w:multiLevelType w:val="hybridMultilevel"/>
    <w:tmpl w:val="9342E862"/>
    <w:lvl w:ilvl="0" w:tplc="0C0A0005">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2" w15:restartNumberingAfterBreak="0">
    <w:nsid w:val="57065790"/>
    <w:multiLevelType w:val="hybridMultilevel"/>
    <w:tmpl w:val="FB8CC24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3" w15:restartNumberingAfterBreak="0">
    <w:nsid w:val="57163EF6"/>
    <w:multiLevelType w:val="hybridMultilevel"/>
    <w:tmpl w:val="B882ECF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4" w15:restartNumberingAfterBreak="0">
    <w:nsid w:val="5A5125CC"/>
    <w:multiLevelType w:val="hybridMultilevel"/>
    <w:tmpl w:val="7CBEF10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5" w15:restartNumberingAfterBreak="0">
    <w:nsid w:val="5D42082B"/>
    <w:multiLevelType w:val="hybridMultilevel"/>
    <w:tmpl w:val="297A861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6" w15:restartNumberingAfterBreak="0">
    <w:nsid w:val="5FEB0009"/>
    <w:multiLevelType w:val="hybridMultilevel"/>
    <w:tmpl w:val="90D8508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7" w15:restartNumberingAfterBreak="0">
    <w:nsid w:val="60FA1B0F"/>
    <w:multiLevelType w:val="hybridMultilevel"/>
    <w:tmpl w:val="48822A6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8" w15:restartNumberingAfterBreak="0">
    <w:nsid w:val="67224E8F"/>
    <w:multiLevelType w:val="hybridMultilevel"/>
    <w:tmpl w:val="7EAC180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CCA5ABB"/>
    <w:multiLevelType w:val="hybridMultilevel"/>
    <w:tmpl w:val="6F187C1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0" w15:restartNumberingAfterBreak="0">
    <w:nsid w:val="78D30289"/>
    <w:multiLevelType w:val="hybridMultilevel"/>
    <w:tmpl w:val="CE485B1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1" w15:restartNumberingAfterBreak="0">
    <w:nsid w:val="7A136B2A"/>
    <w:multiLevelType w:val="hybridMultilevel"/>
    <w:tmpl w:val="6806366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2" w15:restartNumberingAfterBreak="0">
    <w:nsid w:val="7DFE5A33"/>
    <w:multiLevelType w:val="hybridMultilevel"/>
    <w:tmpl w:val="55505C5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num w:numId="1">
    <w:abstractNumId w:val="19"/>
  </w:num>
  <w:num w:numId="2">
    <w:abstractNumId w:val="28"/>
  </w:num>
  <w:num w:numId="3">
    <w:abstractNumId w:val="17"/>
  </w:num>
  <w:num w:numId="4">
    <w:abstractNumId w:val="18"/>
  </w:num>
  <w:num w:numId="5">
    <w:abstractNumId w:val="16"/>
  </w:num>
  <w:num w:numId="6">
    <w:abstractNumId w:val="4"/>
  </w:num>
  <w:num w:numId="7">
    <w:abstractNumId w:val="0"/>
  </w:num>
  <w:num w:numId="8">
    <w:abstractNumId w:val="20"/>
  </w:num>
  <w:num w:numId="9">
    <w:abstractNumId w:val="24"/>
  </w:num>
  <w:num w:numId="10">
    <w:abstractNumId w:val="22"/>
  </w:num>
  <w:num w:numId="11">
    <w:abstractNumId w:val="32"/>
  </w:num>
  <w:num w:numId="12">
    <w:abstractNumId w:val="15"/>
  </w:num>
  <w:num w:numId="13">
    <w:abstractNumId w:val="2"/>
  </w:num>
  <w:num w:numId="14">
    <w:abstractNumId w:val="13"/>
  </w:num>
  <w:num w:numId="15">
    <w:abstractNumId w:val="30"/>
  </w:num>
  <w:num w:numId="16">
    <w:abstractNumId w:val="27"/>
  </w:num>
  <w:num w:numId="17">
    <w:abstractNumId w:val="11"/>
  </w:num>
  <w:num w:numId="18">
    <w:abstractNumId w:val="1"/>
  </w:num>
  <w:num w:numId="19">
    <w:abstractNumId w:val="6"/>
  </w:num>
  <w:num w:numId="20">
    <w:abstractNumId w:val="14"/>
  </w:num>
  <w:num w:numId="21">
    <w:abstractNumId w:val="29"/>
  </w:num>
  <w:num w:numId="22">
    <w:abstractNumId w:val="26"/>
  </w:num>
  <w:num w:numId="23">
    <w:abstractNumId w:val="12"/>
  </w:num>
  <w:num w:numId="24">
    <w:abstractNumId w:val="23"/>
  </w:num>
  <w:num w:numId="25">
    <w:abstractNumId w:val="2"/>
    <w:lvlOverride w:ilvl="0">
      <w:lvl w:ilvl="0">
        <w:start w:val="1"/>
        <w:numFmt w:val="decimal"/>
        <w:pStyle w:val="Ttulo1"/>
        <w:lvlText w:val="%1."/>
        <w:lvlJc w:val="left"/>
        <w:pPr>
          <w:ind w:left="360" w:hanging="360"/>
        </w:pPr>
        <w:rPr>
          <w:rFonts w:hint="default"/>
        </w:rPr>
      </w:lvl>
    </w:lvlOverride>
    <w:lvlOverride w:ilvl="1">
      <w:lvl w:ilvl="1">
        <w:start w:val="1"/>
        <w:numFmt w:val="decimal"/>
        <w:pStyle w:val="Ttulo2"/>
        <w:lvlText w:val="%1.%2."/>
        <w:lvlJc w:val="left"/>
        <w:pPr>
          <w:ind w:left="357" w:hanging="357"/>
        </w:pPr>
        <w:rPr>
          <w:rFonts w:hint="default"/>
        </w:rPr>
      </w:lvl>
    </w:lvlOverride>
    <w:lvlOverride w:ilvl="2">
      <w:lvl w:ilvl="2">
        <w:start w:val="1"/>
        <w:numFmt w:val="decimal"/>
        <w:pStyle w:val="Ttulo3"/>
        <w:lvlText w:val="%1.%2.%3."/>
        <w:lvlJc w:val="left"/>
        <w:pPr>
          <w:ind w:left="357" w:hanging="357"/>
        </w:pPr>
        <w:rPr>
          <w:rFonts w:hint="default"/>
        </w:rPr>
      </w:lvl>
    </w:lvlOverride>
    <w:lvlOverride w:ilvl="3">
      <w:lvl w:ilvl="3">
        <w:start w:val="1"/>
        <w:numFmt w:val="decimal"/>
        <w:pStyle w:val="Ttulo4"/>
        <w:lvlText w:val="%1.%2.%3.%4."/>
        <w:lvlJc w:val="left"/>
        <w:pPr>
          <w:ind w:left="357" w:hanging="357"/>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abstractNumId w:val="5"/>
  </w:num>
  <w:num w:numId="27">
    <w:abstractNumId w:val="9"/>
  </w:num>
  <w:num w:numId="28">
    <w:abstractNumId w:val="31"/>
  </w:num>
  <w:num w:numId="29">
    <w:abstractNumId w:val="3"/>
  </w:num>
  <w:num w:numId="30">
    <w:abstractNumId w:val="8"/>
  </w:num>
  <w:num w:numId="31">
    <w:abstractNumId w:val="21"/>
  </w:num>
  <w:num w:numId="32">
    <w:abstractNumId w:val="10"/>
  </w:num>
  <w:num w:numId="33">
    <w:abstractNumId w:val="7"/>
  </w:num>
  <w:num w:numId="34">
    <w:abstractNumId w:val="2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1"/>
  <w:activeWritingStyle w:appName="MSWord" w:lang="en-US" w:vendorID="64" w:dllVersion="6" w:nlCheck="1" w:checkStyle="1"/>
  <w:activeWritingStyle w:appName="MSWord" w:lang="es-CO"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pt-BR" w:vendorID="64" w:dllVersion="4096" w:nlCheck="1" w:checkStyle="0"/>
  <w:activeWritingStyle w:appName="MSWord" w:lang="en-US" w:vendorID="64" w:dllVersion="131078" w:nlCheck="1" w:checkStyle="1"/>
  <w:activeWritingStyle w:appName="MSWord" w:lang="es-CO" w:vendorID="64" w:dllVersion="131078" w:nlCheck="1" w:checkStyle="0"/>
  <w:activeWritingStyle w:appName="MSWord" w:lang="es-ES" w:vendorID="64" w:dllVersion="131078" w:nlCheck="1" w:checkStyle="1"/>
  <w:activeWritingStyle w:appName="MSWord" w:lang="pt-BR"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4AA"/>
    <w:rsid w:val="00004267"/>
    <w:rsid w:val="00034159"/>
    <w:rsid w:val="00062180"/>
    <w:rsid w:val="000632B0"/>
    <w:rsid w:val="0006503B"/>
    <w:rsid w:val="00085A80"/>
    <w:rsid w:val="00086A5F"/>
    <w:rsid w:val="0008775A"/>
    <w:rsid w:val="00087E32"/>
    <w:rsid w:val="000A1AE1"/>
    <w:rsid w:val="000B4B4D"/>
    <w:rsid w:val="000C4208"/>
    <w:rsid w:val="000E33A8"/>
    <w:rsid w:val="000F00C6"/>
    <w:rsid w:val="000F47E2"/>
    <w:rsid w:val="000F4AA0"/>
    <w:rsid w:val="000F5CBF"/>
    <w:rsid w:val="00111186"/>
    <w:rsid w:val="001249D0"/>
    <w:rsid w:val="001428CC"/>
    <w:rsid w:val="0015136C"/>
    <w:rsid w:val="00155292"/>
    <w:rsid w:val="00157E21"/>
    <w:rsid w:val="00180119"/>
    <w:rsid w:val="001971B9"/>
    <w:rsid w:val="001C190E"/>
    <w:rsid w:val="001C248D"/>
    <w:rsid w:val="001D2199"/>
    <w:rsid w:val="00205A38"/>
    <w:rsid w:val="0021783C"/>
    <w:rsid w:val="0023184D"/>
    <w:rsid w:val="00235898"/>
    <w:rsid w:val="0023637C"/>
    <w:rsid w:val="00241966"/>
    <w:rsid w:val="0026375D"/>
    <w:rsid w:val="00264188"/>
    <w:rsid w:val="002660AA"/>
    <w:rsid w:val="00266BCB"/>
    <w:rsid w:val="0027083D"/>
    <w:rsid w:val="00276019"/>
    <w:rsid w:val="00276726"/>
    <w:rsid w:val="002B2FBB"/>
    <w:rsid w:val="002B4827"/>
    <w:rsid w:val="002B4BC8"/>
    <w:rsid w:val="002C4741"/>
    <w:rsid w:val="002D1ED3"/>
    <w:rsid w:val="002E1186"/>
    <w:rsid w:val="003071C6"/>
    <w:rsid w:val="003134FD"/>
    <w:rsid w:val="0032719B"/>
    <w:rsid w:val="00327237"/>
    <w:rsid w:val="00337D70"/>
    <w:rsid w:val="00345D60"/>
    <w:rsid w:val="003560F5"/>
    <w:rsid w:val="00356572"/>
    <w:rsid w:val="00356A10"/>
    <w:rsid w:val="00364A13"/>
    <w:rsid w:val="00377168"/>
    <w:rsid w:val="0038031F"/>
    <w:rsid w:val="003919B4"/>
    <w:rsid w:val="003B6595"/>
    <w:rsid w:val="003E0629"/>
    <w:rsid w:val="003F5839"/>
    <w:rsid w:val="003F5C91"/>
    <w:rsid w:val="003F7549"/>
    <w:rsid w:val="004142DE"/>
    <w:rsid w:val="00414D76"/>
    <w:rsid w:val="004358D6"/>
    <w:rsid w:val="00451C16"/>
    <w:rsid w:val="00457409"/>
    <w:rsid w:val="00461CFD"/>
    <w:rsid w:val="00461D25"/>
    <w:rsid w:val="00470F1F"/>
    <w:rsid w:val="00491C61"/>
    <w:rsid w:val="0049276C"/>
    <w:rsid w:val="0049285C"/>
    <w:rsid w:val="00493312"/>
    <w:rsid w:val="0049585F"/>
    <w:rsid w:val="004A46BA"/>
    <w:rsid w:val="004B7C1A"/>
    <w:rsid w:val="004C2C7D"/>
    <w:rsid w:val="004D4A99"/>
    <w:rsid w:val="004E731F"/>
    <w:rsid w:val="004F16B7"/>
    <w:rsid w:val="004F2A93"/>
    <w:rsid w:val="0050758B"/>
    <w:rsid w:val="00507A9C"/>
    <w:rsid w:val="00507E3E"/>
    <w:rsid w:val="00513F33"/>
    <w:rsid w:val="00516D68"/>
    <w:rsid w:val="005321DF"/>
    <w:rsid w:val="00542AAB"/>
    <w:rsid w:val="005454A7"/>
    <w:rsid w:val="00545AAF"/>
    <w:rsid w:val="00550608"/>
    <w:rsid w:val="00556B95"/>
    <w:rsid w:val="00576949"/>
    <w:rsid w:val="005826AE"/>
    <w:rsid w:val="00596212"/>
    <w:rsid w:val="005A1FD0"/>
    <w:rsid w:val="005A253C"/>
    <w:rsid w:val="005B38A0"/>
    <w:rsid w:val="005C4A87"/>
    <w:rsid w:val="005C58FD"/>
    <w:rsid w:val="005E0DCB"/>
    <w:rsid w:val="005E1BBA"/>
    <w:rsid w:val="005E1D00"/>
    <w:rsid w:val="005E3D45"/>
    <w:rsid w:val="006055D3"/>
    <w:rsid w:val="006064C3"/>
    <w:rsid w:val="00613FA7"/>
    <w:rsid w:val="006151ED"/>
    <w:rsid w:val="00622006"/>
    <w:rsid w:val="00634B32"/>
    <w:rsid w:val="006603EF"/>
    <w:rsid w:val="00662B6D"/>
    <w:rsid w:val="006652FD"/>
    <w:rsid w:val="0067572C"/>
    <w:rsid w:val="006821EF"/>
    <w:rsid w:val="006864BE"/>
    <w:rsid w:val="00694E16"/>
    <w:rsid w:val="006967D2"/>
    <w:rsid w:val="00697E21"/>
    <w:rsid w:val="006B57B2"/>
    <w:rsid w:val="006C227F"/>
    <w:rsid w:val="006C3145"/>
    <w:rsid w:val="006C476F"/>
    <w:rsid w:val="006C4EF4"/>
    <w:rsid w:val="006D4068"/>
    <w:rsid w:val="006E72CB"/>
    <w:rsid w:val="007018B0"/>
    <w:rsid w:val="00703750"/>
    <w:rsid w:val="00710544"/>
    <w:rsid w:val="00710E91"/>
    <w:rsid w:val="00711A4E"/>
    <w:rsid w:val="00711C4D"/>
    <w:rsid w:val="00733DF2"/>
    <w:rsid w:val="00734858"/>
    <w:rsid w:val="00741F4B"/>
    <w:rsid w:val="00744716"/>
    <w:rsid w:val="00746D47"/>
    <w:rsid w:val="00750614"/>
    <w:rsid w:val="007512C0"/>
    <w:rsid w:val="00757ED1"/>
    <w:rsid w:val="00761038"/>
    <w:rsid w:val="00762E82"/>
    <w:rsid w:val="00762EBA"/>
    <w:rsid w:val="007A46C9"/>
    <w:rsid w:val="007A78C6"/>
    <w:rsid w:val="007B763D"/>
    <w:rsid w:val="007D554F"/>
    <w:rsid w:val="007E367D"/>
    <w:rsid w:val="007E3A3F"/>
    <w:rsid w:val="00800A09"/>
    <w:rsid w:val="008011E5"/>
    <w:rsid w:val="00811332"/>
    <w:rsid w:val="00830388"/>
    <w:rsid w:val="008334F3"/>
    <w:rsid w:val="00834CA4"/>
    <w:rsid w:val="00835F43"/>
    <w:rsid w:val="008465C1"/>
    <w:rsid w:val="008523CA"/>
    <w:rsid w:val="00855D07"/>
    <w:rsid w:val="00870EE2"/>
    <w:rsid w:val="00886008"/>
    <w:rsid w:val="008866D1"/>
    <w:rsid w:val="008A28DD"/>
    <w:rsid w:val="008A509C"/>
    <w:rsid w:val="008C0A32"/>
    <w:rsid w:val="008D4E48"/>
    <w:rsid w:val="008F617E"/>
    <w:rsid w:val="00901E21"/>
    <w:rsid w:val="009044DE"/>
    <w:rsid w:val="00922BBC"/>
    <w:rsid w:val="0093652A"/>
    <w:rsid w:val="0093697D"/>
    <w:rsid w:val="009377F2"/>
    <w:rsid w:val="0096072B"/>
    <w:rsid w:val="009612C1"/>
    <w:rsid w:val="0096172D"/>
    <w:rsid w:val="00970AAA"/>
    <w:rsid w:val="009835C4"/>
    <w:rsid w:val="00991928"/>
    <w:rsid w:val="00992C76"/>
    <w:rsid w:val="009933F3"/>
    <w:rsid w:val="00995E3A"/>
    <w:rsid w:val="00996D4E"/>
    <w:rsid w:val="009B7E10"/>
    <w:rsid w:val="009C0089"/>
    <w:rsid w:val="009C08A2"/>
    <w:rsid w:val="009F5EC2"/>
    <w:rsid w:val="00A15E14"/>
    <w:rsid w:val="00A22AEA"/>
    <w:rsid w:val="00A2556B"/>
    <w:rsid w:val="00A25CEF"/>
    <w:rsid w:val="00A36EE9"/>
    <w:rsid w:val="00A50D2A"/>
    <w:rsid w:val="00AC405C"/>
    <w:rsid w:val="00AD25E0"/>
    <w:rsid w:val="00AE489E"/>
    <w:rsid w:val="00AE6323"/>
    <w:rsid w:val="00AE74FF"/>
    <w:rsid w:val="00AF4A88"/>
    <w:rsid w:val="00AF717B"/>
    <w:rsid w:val="00B14157"/>
    <w:rsid w:val="00B173B2"/>
    <w:rsid w:val="00B214AA"/>
    <w:rsid w:val="00B34B39"/>
    <w:rsid w:val="00B93993"/>
    <w:rsid w:val="00BA6D32"/>
    <w:rsid w:val="00BB5AA9"/>
    <w:rsid w:val="00BC1CAB"/>
    <w:rsid w:val="00BC1E26"/>
    <w:rsid w:val="00BE39D6"/>
    <w:rsid w:val="00BE437B"/>
    <w:rsid w:val="00BE54B6"/>
    <w:rsid w:val="00BF22AC"/>
    <w:rsid w:val="00C0117A"/>
    <w:rsid w:val="00C10708"/>
    <w:rsid w:val="00C24820"/>
    <w:rsid w:val="00C27723"/>
    <w:rsid w:val="00C30A7E"/>
    <w:rsid w:val="00C3126F"/>
    <w:rsid w:val="00C417C2"/>
    <w:rsid w:val="00C4324D"/>
    <w:rsid w:val="00C4401E"/>
    <w:rsid w:val="00C45E29"/>
    <w:rsid w:val="00C51EED"/>
    <w:rsid w:val="00C568D0"/>
    <w:rsid w:val="00C56C42"/>
    <w:rsid w:val="00C671C4"/>
    <w:rsid w:val="00C71176"/>
    <w:rsid w:val="00C72313"/>
    <w:rsid w:val="00C77102"/>
    <w:rsid w:val="00C82F98"/>
    <w:rsid w:val="00C85D56"/>
    <w:rsid w:val="00C87A8C"/>
    <w:rsid w:val="00C93C3D"/>
    <w:rsid w:val="00C95AF3"/>
    <w:rsid w:val="00C97554"/>
    <w:rsid w:val="00CA326D"/>
    <w:rsid w:val="00CA4797"/>
    <w:rsid w:val="00CB27F5"/>
    <w:rsid w:val="00CC293C"/>
    <w:rsid w:val="00CC3513"/>
    <w:rsid w:val="00CD2554"/>
    <w:rsid w:val="00CE1F91"/>
    <w:rsid w:val="00D026F0"/>
    <w:rsid w:val="00D0692C"/>
    <w:rsid w:val="00D06D27"/>
    <w:rsid w:val="00D13B17"/>
    <w:rsid w:val="00D23E27"/>
    <w:rsid w:val="00D2705A"/>
    <w:rsid w:val="00D3479B"/>
    <w:rsid w:val="00D37FD1"/>
    <w:rsid w:val="00D50BA5"/>
    <w:rsid w:val="00D74B5A"/>
    <w:rsid w:val="00D8011B"/>
    <w:rsid w:val="00DA2DFE"/>
    <w:rsid w:val="00DA79CF"/>
    <w:rsid w:val="00DB08D3"/>
    <w:rsid w:val="00DE5202"/>
    <w:rsid w:val="00DF23CF"/>
    <w:rsid w:val="00DF3584"/>
    <w:rsid w:val="00E23E2B"/>
    <w:rsid w:val="00E33888"/>
    <w:rsid w:val="00E34B6A"/>
    <w:rsid w:val="00E43825"/>
    <w:rsid w:val="00E53212"/>
    <w:rsid w:val="00E61D5D"/>
    <w:rsid w:val="00E72E0E"/>
    <w:rsid w:val="00E86045"/>
    <w:rsid w:val="00E93A2E"/>
    <w:rsid w:val="00EA290E"/>
    <w:rsid w:val="00EC5DED"/>
    <w:rsid w:val="00EC6F7F"/>
    <w:rsid w:val="00ED3B21"/>
    <w:rsid w:val="00ED4638"/>
    <w:rsid w:val="00EE2D34"/>
    <w:rsid w:val="00EF30C7"/>
    <w:rsid w:val="00EF7119"/>
    <w:rsid w:val="00F03564"/>
    <w:rsid w:val="00F06495"/>
    <w:rsid w:val="00F07B73"/>
    <w:rsid w:val="00F1225F"/>
    <w:rsid w:val="00F17F5F"/>
    <w:rsid w:val="00F20ED0"/>
    <w:rsid w:val="00F22CC6"/>
    <w:rsid w:val="00F2514B"/>
    <w:rsid w:val="00F52413"/>
    <w:rsid w:val="00F63037"/>
    <w:rsid w:val="00F71D92"/>
    <w:rsid w:val="00F73BF2"/>
    <w:rsid w:val="00F75556"/>
    <w:rsid w:val="00F7586F"/>
    <w:rsid w:val="00F7632B"/>
    <w:rsid w:val="00F81F49"/>
    <w:rsid w:val="00F84EA9"/>
    <w:rsid w:val="00FA319E"/>
    <w:rsid w:val="00FA721B"/>
    <w:rsid w:val="00FD137C"/>
    <w:rsid w:val="00FD452F"/>
    <w:rsid w:val="00FE38C5"/>
    <w:rsid w:val="00FF5FBA"/>
    <w:rsid w:val="00FF733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338DB"/>
  <w15:chartTrackingRefBased/>
  <w15:docId w15:val="{3C0E3279-9EC0-405D-A320-38D099EEAF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0D2A"/>
    <w:pPr>
      <w:spacing w:line="360" w:lineRule="auto"/>
      <w:ind w:firstLine="709"/>
      <w:jc w:val="both"/>
    </w:pPr>
    <w:rPr>
      <w:rFonts w:ascii="Times New Roman" w:hAnsi="Times New Roman"/>
      <w:sz w:val="24"/>
    </w:rPr>
  </w:style>
  <w:style w:type="paragraph" w:styleId="Ttulo1">
    <w:name w:val="heading 1"/>
    <w:basedOn w:val="Normal"/>
    <w:next w:val="Normal"/>
    <w:link w:val="Ttulo1Car"/>
    <w:uiPriority w:val="9"/>
    <w:qFormat/>
    <w:rsid w:val="00834CA4"/>
    <w:pPr>
      <w:keepNext/>
      <w:numPr>
        <w:numId w:val="13"/>
      </w:numPr>
      <w:spacing w:after="0"/>
      <w:jc w:val="center"/>
      <w:outlineLvl w:val="0"/>
    </w:pPr>
    <w:rPr>
      <w:rFonts w:eastAsia="Times New Roman" w:cs="Times New Roman"/>
      <w:b/>
      <w:kern w:val="0"/>
      <w:szCs w:val="24"/>
      <w:lang w:val="x-none" w:eastAsia="es-ES"/>
      <w14:ligatures w14:val="none"/>
    </w:rPr>
  </w:style>
  <w:style w:type="paragraph" w:styleId="Ttulo2">
    <w:name w:val="heading 2"/>
    <w:basedOn w:val="Normal"/>
    <w:next w:val="Normal"/>
    <w:link w:val="Ttulo2Car"/>
    <w:uiPriority w:val="9"/>
    <w:unhideWhenUsed/>
    <w:qFormat/>
    <w:rsid w:val="00834CA4"/>
    <w:pPr>
      <w:keepNext/>
      <w:keepLines/>
      <w:numPr>
        <w:ilvl w:val="1"/>
        <w:numId w:val="13"/>
      </w:numPr>
      <w:spacing w:before="40" w:after="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67572C"/>
    <w:pPr>
      <w:keepNext/>
      <w:keepLines/>
      <w:numPr>
        <w:ilvl w:val="2"/>
        <w:numId w:val="13"/>
      </w:numPr>
      <w:spacing w:before="40" w:after="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9C08A2"/>
    <w:pPr>
      <w:keepNext/>
      <w:keepLines/>
      <w:numPr>
        <w:ilvl w:val="3"/>
        <w:numId w:val="13"/>
      </w:numPr>
      <w:spacing w:before="40" w:after="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intenso">
    <w:name w:val="Intense Emphasis"/>
    <w:basedOn w:val="Fuentedeprrafopredeter"/>
    <w:uiPriority w:val="21"/>
    <w:qFormat/>
    <w:rsid w:val="00B214AA"/>
    <w:rPr>
      <w:i/>
      <w:iCs/>
      <w:color w:val="4472C4" w:themeColor="accent1"/>
    </w:rPr>
  </w:style>
  <w:style w:type="table" w:customStyle="1" w:styleId="5">
    <w:name w:val="5"/>
    <w:basedOn w:val="Tablanormal"/>
    <w:rsid w:val="00B214AA"/>
    <w:pPr>
      <w:spacing w:after="0" w:line="240" w:lineRule="auto"/>
    </w:pPr>
    <w:rPr>
      <w:rFonts w:ascii="Times New Roman" w:eastAsia="Times New Roman" w:hAnsi="Times New Roman" w:cs="Times New Roman"/>
      <w:kern w:val="0"/>
      <w:sz w:val="24"/>
      <w:szCs w:val="24"/>
      <w:lang w:eastAsia="es-CO"/>
      <w14:ligatures w14:val="none"/>
    </w:rPr>
    <w:tblPr>
      <w:tblStyleRowBandSize w:val="1"/>
      <w:tblStyleColBandSize w:val="1"/>
      <w:tblCellMar>
        <w:left w:w="70" w:type="dxa"/>
        <w:right w:w="70" w:type="dxa"/>
      </w:tblCellMar>
    </w:tblPr>
  </w:style>
  <w:style w:type="table" w:customStyle="1" w:styleId="4">
    <w:name w:val="4"/>
    <w:basedOn w:val="Tablanormal"/>
    <w:rsid w:val="00B214AA"/>
    <w:pPr>
      <w:spacing w:after="0" w:line="240" w:lineRule="auto"/>
    </w:pPr>
    <w:rPr>
      <w:rFonts w:ascii="Times New Roman" w:eastAsia="Times New Roman" w:hAnsi="Times New Roman" w:cs="Times New Roman"/>
      <w:kern w:val="0"/>
      <w:sz w:val="24"/>
      <w:szCs w:val="24"/>
      <w:lang w:eastAsia="es-CO"/>
      <w14:ligatures w14:val="none"/>
    </w:rPr>
    <w:tblPr>
      <w:tblStyleRowBandSize w:val="1"/>
      <w:tblStyleColBandSize w:val="1"/>
      <w:tblCellMar>
        <w:left w:w="70" w:type="dxa"/>
        <w:right w:w="70" w:type="dxa"/>
      </w:tblCellMar>
    </w:tblPr>
  </w:style>
  <w:style w:type="paragraph" w:styleId="NormalWeb">
    <w:name w:val="Normal (Web)"/>
    <w:basedOn w:val="Normal"/>
    <w:uiPriority w:val="99"/>
    <w:unhideWhenUsed/>
    <w:rsid w:val="00B214AA"/>
    <w:pPr>
      <w:spacing w:before="100" w:beforeAutospacing="1" w:after="100" w:afterAutospacing="1" w:line="240" w:lineRule="auto"/>
    </w:pPr>
    <w:rPr>
      <w:rFonts w:eastAsia="Times New Roman" w:cs="Times New Roman"/>
      <w:kern w:val="0"/>
      <w:szCs w:val="24"/>
      <w:lang w:eastAsia="es-CO"/>
      <w14:ligatures w14:val="none"/>
    </w:rPr>
  </w:style>
  <w:style w:type="table" w:customStyle="1" w:styleId="3">
    <w:name w:val="3"/>
    <w:basedOn w:val="Tablanormal"/>
    <w:rsid w:val="00B214AA"/>
    <w:pPr>
      <w:spacing w:after="0" w:line="240" w:lineRule="auto"/>
    </w:pPr>
    <w:rPr>
      <w:rFonts w:ascii="Times New Roman" w:eastAsia="Times New Roman" w:hAnsi="Times New Roman" w:cs="Times New Roman"/>
      <w:kern w:val="0"/>
      <w:sz w:val="24"/>
      <w:szCs w:val="24"/>
      <w:lang w:eastAsia="es-CO"/>
      <w14:ligatures w14:val="none"/>
    </w:rPr>
    <w:tblPr>
      <w:tblStyleRowBandSize w:val="1"/>
      <w:tblStyleColBandSize w:val="1"/>
      <w:tblCellMar>
        <w:left w:w="70" w:type="dxa"/>
        <w:right w:w="70" w:type="dxa"/>
      </w:tblCellMar>
    </w:tblPr>
  </w:style>
  <w:style w:type="paragraph" w:styleId="Sinespaciado">
    <w:name w:val="No Spacing"/>
    <w:uiPriority w:val="1"/>
    <w:qFormat/>
    <w:rsid w:val="00B214AA"/>
    <w:pPr>
      <w:spacing w:after="0" w:line="240" w:lineRule="auto"/>
    </w:pPr>
  </w:style>
  <w:style w:type="paragraph" w:styleId="Prrafodelista">
    <w:name w:val="List Paragraph"/>
    <w:basedOn w:val="Normal"/>
    <w:link w:val="PrrafodelistaCar"/>
    <w:uiPriority w:val="34"/>
    <w:qFormat/>
    <w:rsid w:val="00B214AA"/>
    <w:pPr>
      <w:suppressAutoHyphens/>
      <w:spacing w:after="0" w:line="240" w:lineRule="auto"/>
      <w:ind w:left="708"/>
    </w:pPr>
    <w:rPr>
      <w:rFonts w:ascii="Arial" w:eastAsia="Times New Roman" w:hAnsi="Arial" w:cs="Times New Roman"/>
      <w:kern w:val="0"/>
      <w:szCs w:val="20"/>
      <w:lang w:eastAsia="es-ES"/>
      <w14:ligatures w14:val="none"/>
    </w:rPr>
  </w:style>
  <w:style w:type="character" w:customStyle="1" w:styleId="PrrafodelistaCar">
    <w:name w:val="Párrafo de lista Car"/>
    <w:link w:val="Prrafodelista"/>
    <w:uiPriority w:val="34"/>
    <w:locked/>
    <w:rsid w:val="00B214AA"/>
    <w:rPr>
      <w:rFonts w:ascii="Arial" w:eastAsia="Times New Roman" w:hAnsi="Arial" w:cs="Times New Roman"/>
      <w:kern w:val="0"/>
      <w:sz w:val="24"/>
      <w:szCs w:val="20"/>
      <w:lang w:eastAsia="es-ES"/>
      <w14:ligatures w14:val="none"/>
    </w:rPr>
  </w:style>
  <w:style w:type="table" w:styleId="Tablaconcuadrcula">
    <w:name w:val="Table Grid"/>
    <w:basedOn w:val="Tablanormal"/>
    <w:uiPriority w:val="39"/>
    <w:rsid w:val="000C4208"/>
    <w:pPr>
      <w:spacing w:after="0" w:line="240" w:lineRule="auto"/>
    </w:pPr>
    <w:rPr>
      <w:rFonts w:ascii="Times New Roman" w:eastAsia="Times New Roman" w:hAnsi="Times New Roman" w:cs="Times New Roman"/>
      <w:kern w:val="0"/>
      <w:sz w:val="24"/>
      <w:szCs w:val="24"/>
      <w:lang w:eastAsia="es-C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uiPriority w:val="22"/>
    <w:qFormat/>
    <w:rsid w:val="00AE6323"/>
    <w:rPr>
      <w:b/>
      <w:bCs/>
    </w:rPr>
  </w:style>
  <w:style w:type="character" w:customStyle="1" w:styleId="Ttulo1Car">
    <w:name w:val="Título 1 Car"/>
    <w:basedOn w:val="Fuentedeprrafopredeter"/>
    <w:link w:val="Ttulo1"/>
    <w:uiPriority w:val="9"/>
    <w:rsid w:val="00834CA4"/>
    <w:rPr>
      <w:rFonts w:ascii="Times New Roman" w:eastAsia="Times New Roman" w:hAnsi="Times New Roman" w:cs="Times New Roman"/>
      <w:b/>
      <w:kern w:val="0"/>
      <w:sz w:val="24"/>
      <w:szCs w:val="24"/>
      <w:lang w:val="x-none" w:eastAsia="es-ES"/>
      <w14:ligatures w14:val="none"/>
    </w:rPr>
  </w:style>
  <w:style w:type="character" w:styleId="Hipervnculo">
    <w:name w:val="Hyperlink"/>
    <w:uiPriority w:val="99"/>
    <w:unhideWhenUsed/>
    <w:rsid w:val="0093652A"/>
    <w:rPr>
      <w:color w:val="0000FF"/>
      <w:u w:val="single"/>
    </w:rPr>
  </w:style>
  <w:style w:type="paragraph" w:styleId="Bibliografa">
    <w:name w:val="Bibliography"/>
    <w:basedOn w:val="Normal"/>
    <w:next w:val="Normal"/>
    <w:uiPriority w:val="37"/>
    <w:unhideWhenUsed/>
    <w:rsid w:val="0038031F"/>
    <w:pPr>
      <w:spacing w:after="0" w:line="240" w:lineRule="auto"/>
    </w:pPr>
    <w:rPr>
      <w:rFonts w:eastAsia="Times New Roman" w:cs="Times New Roman"/>
      <w:kern w:val="0"/>
      <w:szCs w:val="24"/>
      <w:lang w:eastAsia="es-ES"/>
      <w14:ligatures w14:val="none"/>
    </w:rPr>
  </w:style>
  <w:style w:type="character" w:styleId="nfasis">
    <w:name w:val="Emphasis"/>
    <w:basedOn w:val="Fuentedeprrafopredeter"/>
    <w:uiPriority w:val="20"/>
    <w:qFormat/>
    <w:rsid w:val="0038031F"/>
    <w:rPr>
      <w:i/>
      <w:iCs/>
    </w:rPr>
  </w:style>
  <w:style w:type="character" w:customStyle="1" w:styleId="Ttulo2Car">
    <w:name w:val="Título 2 Car"/>
    <w:basedOn w:val="Fuentedeprrafopredeter"/>
    <w:link w:val="Ttulo2"/>
    <w:uiPriority w:val="9"/>
    <w:rsid w:val="00834CA4"/>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67572C"/>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9C08A2"/>
    <w:rPr>
      <w:rFonts w:ascii="Times New Roman" w:eastAsiaTheme="majorEastAsia" w:hAnsi="Times New Roman" w:cstheme="majorBidi"/>
      <w:b/>
      <w:iCs/>
      <w:sz w:val="24"/>
    </w:rPr>
  </w:style>
  <w:style w:type="paragraph" w:styleId="Descripcin">
    <w:name w:val="caption"/>
    <w:basedOn w:val="Normal"/>
    <w:next w:val="Normal"/>
    <w:uiPriority w:val="35"/>
    <w:unhideWhenUsed/>
    <w:qFormat/>
    <w:rsid w:val="000632B0"/>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F22CC6"/>
    <w:pPr>
      <w:keepLines/>
      <w:numPr>
        <w:numId w:val="0"/>
      </w:numPr>
      <w:spacing w:before="240" w:line="259" w:lineRule="auto"/>
      <w:jc w:val="left"/>
      <w:outlineLvl w:val="9"/>
    </w:pPr>
    <w:rPr>
      <w:rFonts w:asciiTheme="majorHAnsi" w:eastAsiaTheme="majorEastAsia" w:hAnsiTheme="majorHAnsi" w:cstheme="majorBidi"/>
      <w:b w:val="0"/>
      <w:color w:val="2F5496" w:themeColor="accent1" w:themeShade="BF"/>
      <w:sz w:val="32"/>
      <w:szCs w:val="32"/>
      <w:lang w:val="es-ES"/>
    </w:rPr>
  </w:style>
  <w:style w:type="paragraph" w:styleId="TDC1">
    <w:name w:val="toc 1"/>
    <w:basedOn w:val="Normal"/>
    <w:next w:val="Normal"/>
    <w:autoRedefine/>
    <w:uiPriority w:val="39"/>
    <w:unhideWhenUsed/>
    <w:rsid w:val="00F22CC6"/>
    <w:pPr>
      <w:tabs>
        <w:tab w:val="right" w:leader="dot" w:pos="9394"/>
      </w:tabs>
      <w:spacing w:after="100" w:line="240" w:lineRule="auto"/>
      <w:ind w:firstLine="0"/>
    </w:pPr>
  </w:style>
  <w:style w:type="paragraph" w:styleId="TDC2">
    <w:name w:val="toc 2"/>
    <w:basedOn w:val="Normal"/>
    <w:next w:val="Normal"/>
    <w:autoRedefine/>
    <w:uiPriority w:val="39"/>
    <w:unhideWhenUsed/>
    <w:rsid w:val="00F22CC6"/>
    <w:pPr>
      <w:spacing w:after="100"/>
      <w:ind w:left="240"/>
    </w:pPr>
  </w:style>
  <w:style w:type="paragraph" w:styleId="TDC3">
    <w:name w:val="toc 3"/>
    <w:basedOn w:val="Normal"/>
    <w:next w:val="Normal"/>
    <w:autoRedefine/>
    <w:uiPriority w:val="39"/>
    <w:unhideWhenUsed/>
    <w:rsid w:val="00F22CC6"/>
    <w:pPr>
      <w:spacing w:after="100"/>
      <w:ind w:left="480"/>
    </w:pPr>
  </w:style>
  <w:style w:type="paragraph" w:styleId="Encabezado">
    <w:name w:val="header"/>
    <w:basedOn w:val="Normal"/>
    <w:link w:val="EncabezadoCar"/>
    <w:uiPriority w:val="99"/>
    <w:unhideWhenUsed/>
    <w:rsid w:val="00F22CC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22CC6"/>
    <w:rPr>
      <w:rFonts w:ascii="Times New Roman" w:hAnsi="Times New Roman"/>
      <w:sz w:val="24"/>
    </w:rPr>
  </w:style>
  <w:style w:type="paragraph" w:styleId="Piedepgina">
    <w:name w:val="footer"/>
    <w:basedOn w:val="Normal"/>
    <w:link w:val="PiedepginaCar"/>
    <w:uiPriority w:val="99"/>
    <w:unhideWhenUsed/>
    <w:rsid w:val="00F22C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22CC6"/>
    <w:rPr>
      <w:rFonts w:ascii="Times New Roman" w:hAnsi="Times New Roman"/>
      <w:sz w:val="24"/>
    </w:rPr>
  </w:style>
  <w:style w:type="paragraph" w:styleId="Tabladeilustraciones">
    <w:name w:val="table of figures"/>
    <w:basedOn w:val="Normal"/>
    <w:next w:val="Normal"/>
    <w:uiPriority w:val="99"/>
    <w:unhideWhenUsed/>
    <w:rsid w:val="00F22CC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70411">
      <w:bodyDiv w:val="1"/>
      <w:marLeft w:val="0"/>
      <w:marRight w:val="0"/>
      <w:marTop w:val="0"/>
      <w:marBottom w:val="0"/>
      <w:divBdr>
        <w:top w:val="none" w:sz="0" w:space="0" w:color="auto"/>
        <w:left w:val="none" w:sz="0" w:space="0" w:color="auto"/>
        <w:bottom w:val="none" w:sz="0" w:space="0" w:color="auto"/>
        <w:right w:val="none" w:sz="0" w:space="0" w:color="auto"/>
      </w:divBdr>
    </w:div>
    <w:div w:id="52700887">
      <w:bodyDiv w:val="1"/>
      <w:marLeft w:val="0"/>
      <w:marRight w:val="0"/>
      <w:marTop w:val="0"/>
      <w:marBottom w:val="0"/>
      <w:divBdr>
        <w:top w:val="none" w:sz="0" w:space="0" w:color="auto"/>
        <w:left w:val="none" w:sz="0" w:space="0" w:color="auto"/>
        <w:bottom w:val="none" w:sz="0" w:space="0" w:color="auto"/>
        <w:right w:val="none" w:sz="0" w:space="0" w:color="auto"/>
      </w:divBdr>
    </w:div>
    <w:div w:id="61951151">
      <w:bodyDiv w:val="1"/>
      <w:marLeft w:val="0"/>
      <w:marRight w:val="0"/>
      <w:marTop w:val="0"/>
      <w:marBottom w:val="0"/>
      <w:divBdr>
        <w:top w:val="none" w:sz="0" w:space="0" w:color="auto"/>
        <w:left w:val="none" w:sz="0" w:space="0" w:color="auto"/>
        <w:bottom w:val="none" w:sz="0" w:space="0" w:color="auto"/>
        <w:right w:val="none" w:sz="0" w:space="0" w:color="auto"/>
      </w:divBdr>
    </w:div>
    <w:div w:id="69084323">
      <w:bodyDiv w:val="1"/>
      <w:marLeft w:val="0"/>
      <w:marRight w:val="0"/>
      <w:marTop w:val="0"/>
      <w:marBottom w:val="0"/>
      <w:divBdr>
        <w:top w:val="none" w:sz="0" w:space="0" w:color="auto"/>
        <w:left w:val="none" w:sz="0" w:space="0" w:color="auto"/>
        <w:bottom w:val="none" w:sz="0" w:space="0" w:color="auto"/>
        <w:right w:val="none" w:sz="0" w:space="0" w:color="auto"/>
      </w:divBdr>
    </w:div>
    <w:div w:id="76363537">
      <w:bodyDiv w:val="1"/>
      <w:marLeft w:val="0"/>
      <w:marRight w:val="0"/>
      <w:marTop w:val="0"/>
      <w:marBottom w:val="0"/>
      <w:divBdr>
        <w:top w:val="none" w:sz="0" w:space="0" w:color="auto"/>
        <w:left w:val="none" w:sz="0" w:space="0" w:color="auto"/>
        <w:bottom w:val="none" w:sz="0" w:space="0" w:color="auto"/>
        <w:right w:val="none" w:sz="0" w:space="0" w:color="auto"/>
      </w:divBdr>
    </w:div>
    <w:div w:id="79760725">
      <w:bodyDiv w:val="1"/>
      <w:marLeft w:val="0"/>
      <w:marRight w:val="0"/>
      <w:marTop w:val="0"/>
      <w:marBottom w:val="0"/>
      <w:divBdr>
        <w:top w:val="none" w:sz="0" w:space="0" w:color="auto"/>
        <w:left w:val="none" w:sz="0" w:space="0" w:color="auto"/>
        <w:bottom w:val="none" w:sz="0" w:space="0" w:color="auto"/>
        <w:right w:val="none" w:sz="0" w:space="0" w:color="auto"/>
      </w:divBdr>
    </w:div>
    <w:div w:id="87626120">
      <w:bodyDiv w:val="1"/>
      <w:marLeft w:val="0"/>
      <w:marRight w:val="0"/>
      <w:marTop w:val="0"/>
      <w:marBottom w:val="0"/>
      <w:divBdr>
        <w:top w:val="none" w:sz="0" w:space="0" w:color="auto"/>
        <w:left w:val="none" w:sz="0" w:space="0" w:color="auto"/>
        <w:bottom w:val="none" w:sz="0" w:space="0" w:color="auto"/>
        <w:right w:val="none" w:sz="0" w:space="0" w:color="auto"/>
      </w:divBdr>
    </w:div>
    <w:div w:id="90275552">
      <w:bodyDiv w:val="1"/>
      <w:marLeft w:val="0"/>
      <w:marRight w:val="0"/>
      <w:marTop w:val="0"/>
      <w:marBottom w:val="0"/>
      <w:divBdr>
        <w:top w:val="none" w:sz="0" w:space="0" w:color="auto"/>
        <w:left w:val="none" w:sz="0" w:space="0" w:color="auto"/>
        <w:bottom w:val="none" w:sz="0" w:space="0" w:color="auto"/>
        <w:right w:val="none" w:sz="0" w:space="0" w:color="auto"/>
      </w:divBdr>
    </w:div>
    <w:div w:id="100221398">
      <w:bodyDiv w:val="1"/>
      <w:marLeft w:val="0"/>
      <w:marRight w:val="0"/>
      <w:marTop w:val="0"/>
      <w:marBottom w:val="0"/>
      <w:divBdr>
        <w:top w:val="none" w:sz="0" w:space="0" w:color="auto"/>
        <w:left w:val="none" w:sz="0" w:space="0" w:color="auto"/>
        <w:bottom w:val="none" w:sz="0" w:space="0" w:color="auto"/>
        <w:right w:val="none" w:sz="0" w:space="0" w:color="auto"/>
      </w:divBdr>
    </w:div>
    <w:div w:id="105588797">
      <w:bodyDiv w:val="1"/>
      <w:marLeft w:val="0"/>
      <w:marRight w:val="0"/>
      <w:marTop w:val="0"/>
      <w:marBottom w:val="0"/>
      <w:divBdr>
        <w:top w:val="none" w:sz="0" w:space="0" w:color="auto"/>
        <w:left w:val="none" w:sz="0" w:space="0" w:color="auto"/>
        <w:bottom w:val="none" w:sz="0" w:space="0" w:color="auto"/>
        <w:right w:val="none" w:sz="0" w:space="0" w:color="auto"/>
      </w:divBdr>
    </w:div>
    <w:div w:id="108285857">
      <w:bodyDiv w:val="1"/>
      <w:marLeft w:val="0"/>
      <w:marRight w:val="0"/>
      <w:marTop w:val="0"/>
      <w:marBottom w:val="0"/>
      <w:divBdr>
        <w:top w:val="none" w:sz="0" w:space="0" w:color="auto"/>
        <w:left w:val="none" w:sz="0" w:space="0" w:color="auto"/>
        <w:bottom w:val="none" w:sz="0" w:space="0" w:color="auto"/>
        <w:right w:val="none" w:sz="0" w:space="0" w:color="auto"/>
      </w:divBdr>
    </w:div>
    <w:div w:id="109131696">
      <w:bodyDiv w:val="1"/>
      <w:marLeft w:val="0"/>
      <w:marRight w:val="0"/>
      <w:marTop w:val="0"/>
      <w:marBottom w:val="0"/>
      <w:divBdr>
        <w:top w:val="none" w:sz="0" w:space="0" w:color="auto"/>
        <w:left w:val="none" w:sz="0" w:space="0" w:color="auto"/>
        <w:bottom w:val="none" w:sz="0" w:space="0" w:color="auto"/>
        <w:right w:val="none" w:sz="0" w:space="0" w:color="auto"/>
      </w:divBdr>
    </w:div>
    <w:div w:id="112138657">
      <w:bodyDiv w:val="1"/>
      <w:marLeft w:val="0"/>
      <w:marRight w:val="0"/>
      <w:marTop w:val="0"/>
      <w:marBottom w:val="0"/>
      <w:divBdr>
        <w:top w:val="none" w:sz="0" w:space="0" w:color="auto"/>
        <w:left w:val="none" w:sz="0" w:space="0" w:color="auto"/>
        <w:bottom w:val="none" w:sz="0" w:space="0" w:color="auto"/>
        <w:right w:val="none" w:sz="0" w:space="0" w:color="auto"/>
      </w:divBdr>
    </w:div>
    <w:div w:id="130177313">
      <w:bodyDiv w:val="1"/>
      <w:marLeft w:val="0"/>
      <w:marRight w:val="0"/>
      <w:marTop w:val="0"/>
      <w:marBottom w:val="0"/>
      <w:divBdr>
        <w:top w:val="none" w:sz="0" w:space="0" w:color="auto"/>
        <w:left w:val="none" w:sz="0" w:space="0" w:color="auto"/>
        <w:bottom w:val="none" w:sz="0" w:space="0" w:color="auto"/>
        <w:right w:val="none" w:sz="0" w:space="0" w:color="auto"/>
      </w:divBdr>
    </w:div>
    <w:div w:id="143816655">
      <w:bodyDiv w:val="1"/>
      <w:marLeft w:val="0"/>
      <w:marRight w:val="0"/>
      <w:marTop w:val="0"/>
      <w:marBottom w:val="0"/>
      <w:divBdr>
        <w:top w:val="none" w:sz="0" w:space="0" w:color="auto"/>
        <w:left w:val="none" w:sz="0" w:space="0" w:color="auto"/>
        <w:bottom w:val="none" w:sz="0" w:space="0" w:color="auto"/>
        <w:right w:val="none" w:sz="0" w:space="0" w:color="auto"/>
      </w:divBdr>
    </w:div>
    <w:div w:id="153112489">
      <w:bodyDiv w:val="1"/>
      <w:marLeft w:val="0"/>
      <w:marRight w:val="0"/>
      <w:marTop w:val="0"/>
      <w:marBottom w:val="0"/>
      <w:divBdr>
        <w:top w:val="none" w:sz="0" w:space="0" w:color="auto"/>
        <w:left w:val="none" w:sz="0" w:space="0" w:color="auto"/>
        <w:bottom w:val="none" w:sz="0" w:space="0" w:color="auto"/>
        <w:right w:val="none" w:sz="0" w:space="0" w:color="auto"/>
      </w:divBdr>
    </w:div>
    <w:div w:id="154808541">
      <w:bodyDiv w:val="1"/>
      <w:marLeft w:val="0"/>
      <w:marRight w:val="0"/>
      <w:marTop w:val="0"/>
      <w:marBottom w:val="0"/>
      <w:divBdr>
        <w:top w:val="none" w:sz="0" w:space="0" w:color="auto"/>
        <w:left w:val="none" w:sz="0" w:space="0" w:color="auto"/>
        <w:bottom w:val="none" w:sz="0" w:space="0" w:color="auto"/>
        <w:right w:val="none" w:sz="0" w:space="0" w:color="auto"/>
      </w:divBdr>
    </w:div>
    <w:div w:id="158934454">
      <w:bodyDiv w:val="1"/>
      <w:marLeft w:val="0"/>
      <w:marRight w:val="0"/>
      <w:marTop w:val="0"/>
      <w:marBottom w:val="0"/>
      <w:divBdr>
        <w:top w:val="none" w:sz="0" w:space="0" w:color="auto"/>
        <w:left w:val="none" w:sz="0" w:space="0" w:color="auto"/>
        <w:bottom w:val="none" w:sz="0" w:space="0" w:color="auto"/>
        <w:right w:val="none" w:sz="0" w:space="0" w:color="auto"/>
      </w:divBdr>
    </w:div>
    <w:div w:id="165756645">
      <w:bodyDiv w:val="1"/>
      <w:marLeft w:val="0"/>
      <w:marRight w:val="0"/>
      <w:marTop w:val="0"/>
      <w:marBottom w:val="0"/>
      <w:divBdr>
        <w:top w:val="none" w:sz="0" w:space="0" w:color="auto"/>
        <w:left w:val="none" w:sz="0" w:space="0" w:color="auto"/>
        <w:bottom w:val="none" w:sz="0" w:space="0" w:color="auto"/>
        <w:right w:val="none" w:sz="0" w:space="0" w:color="auto"/>
      </w:divBdr>
    </w:div>
    <w:div w:id="174151533">
      <w:bodyDiv w:val="1"/>
      <w:marLeft w:val="0"/>
      <w:marRight w:val="0"/>
      <w:marTop w:val="0"/>
      <w:marBottom w:val="0"/>
      <w:divBdr>
        <w:top w:val="none" w:sz="0" w:space="0" w:color="auto"/>
        <w:left w:val="none" w:sz="0" w:space="0" w:color="auto"/>
        <w:bottom w:val="none" w:sz="0" w:space="0" w:color="auto"/>
        <w:right w:val="none" w:sz="0" w:space="0" w:color="auto"/>
      </w:divBdr>
    </w:div>
    <w:div w:id="185560682">
      <w:bodyDiv w:val="1"/>
      <w:marLeft w:val="0"/>
      <w:marRight w:val="0"/>
      <w:marTop w:val="0"/>
      <w:marBottom w:val="0"/>
      <w:divBdr>
        <w:top w:val="none" w:sz="0" w:space="0" w:color="auto"/>
        <w:left w:val="none" w:sz="0" w:space="0" w:color="auto"/>
        <w:bottom w:val="none" w:sz="0" w:space="0" w:color="auto"/>
        <w:right w:val="none" w:sz="0" w:space="0" w:color="auto"/>
      </w:divBdr>
    </w:div>
    <w:div w:id="187838978">
      <w:bodyDiv w:val="1"/>
      <w:marLeft w:val="0"/>
      <w:marRight w:val="0"/>
      <w:marTop w:val="0"/>
      <w:marBottom w:val="0"/>
      <w:divBdr>
        <w:top w:val="none" w:sz="0" w:space="0" w:color="auto"/>
        <w:left w:val="none" w:sz="0" w:space="0" w:color="auto"/>
        <w:bottom w:val="none" w:sz="0" w:space="0" w:color="auto"/>
        <w:right w:val="none" w:sz="0" w:space="0" w:color="auto"/>
      </w:divBdr>
    </w:div>
    <w:div w:id="192235592">
      <w:bodyDiv w:val="1"/>
      <w:marLeft w:val="0"/>
      <w:marRight w:val="0"/>
      <w:marTop w:val="0"/>
      <w:marBottom w:val="0"/>
      <w:divBdr>
        <w:top w:val="none" w:sz="0" w:space="0" w:color="auto"/>
        <w:left w:val="none" w:sz="0" w:space="0" w:color="auto"/>
        <w:bottom w:val="none" w:sz="0" w:space="0" w:color="auto"/>
        <w:right w:val="none" w:sz="0" w:space="0" w:color="auto"/>
      </w:divBdr>
    </w:div>
    <w:div w:id="199637383">
      <w:bodyDiv w:val="1"/>
      <w:marLeft w:val="0"/>
      <w:marRight w:val="0"/>
      <w:marTop w:val="0"/>
      <w:marBottom w:val="0"/>
      <w:divBdr>
        <w:top w:val="none" w:sz="0" w:space="0" w:color="auto"/>
        <w:left w:val="none" w:sz="0" w:space="0" w:color="auto"/>
        <w:bottom w:val="none" w:sz="0" w:space="0" w:color="auto"/>
        <w:right w:val="none" w:sz="0" w:space="0" w:color="auto"/>
      </w:divBdr>
    </w:div>
    <w:div w:id="207956788">
      <w:bodyDiv w:val="1"/>
      <w:marLeft w:val="0"/>
      <w:marRight w:val="0"/>
      <w:marTop w:val="0"/>
      <w:marBottom w:val="0"/>
      <w:divBdr>
        <w:top w:val="none" w:sz="0" w:space="0" w:color="auto"/>
        <w:left w:val="none" w:sz="0" w:space="0" w:color="auto"/>
        <w:bottom w:val="none" w:sz="0" w:space="0" w:color="auto"/>
        <w:right w:val="none" w:sz="0" w:space="0" w:color="auto"/>
      </w:divBdr>
    </w:div>
    <w:div w:id="209150080">
      <w:bodyDiv w:val="1"/>
      <w:marLeft w:val="0"/>
      <w:marRight w:val="0"/>
      <w:marTop w:val="0"/>
      <w:marBottom w:val="0"/>
      <w:divBdr>
        <w:top w:val="none" w:sz="0" w:space="0" w:color="auto"/>
        <w:left w:val="none" w:sz="0" w:space="0" w:color="auto"/>
        <w:bottom w:val="none" w:sz="0" w:space="0" w:color="auto"/>
        <w:right w:val="none" w:sz="0" w:space="0" w:color="auto"/>
      </w:divBdr>
    </w:div>
    <w:div w:id="224725950">
      <w:bodyDiv w:val="1"/>
      <w:marLeft w:val="0"/>
      <w:marRight w:val="0"/>
      <w:marTop w:val="0"/>
      <w:marBottom w:val="0"/>
      <w:divBdr>
        <w:top w:val="none" w:sz="0" w:space="0" w:color="auto"/>
        <w:left w:val="none" w:sz="0" w:space="0" w:color="auto"/>
        <w:bottom w:val="none" w:sz="0" w:space="0" w:color="auto"/>
        <w:right w:val="none" w:sz="0" w:space="0" w:color="auto"/>
      </w:divBdr>
    </w:div>
    <w:div w:id="227036560">
      <w:bodyDiv w:val="1"/>
      <w:marLeft w:val="0"/>
      <w:marRight w:val="0"/>
      <w:marTop w:val="0"/>
      <w:marBottom w:val="0"/>
      <w:divBdr>
        <w:top w:val="none" w:sz="0" w:space="0" w:color="auto"/>
        <w:left w:val="none" w:sz="0" w:space="0" w:color="auto"/>
        <w:bottom w:val="none" w:sz="0" w:space="0" w:color="auto"/>
        <w:right w:val="none" w:sz="0" w:space="0" w:color="auto"/>
      </w:divBdr>
    </w:div>
    <w:div w:id="229273704">
      <w:bodyDiv w:val="1"/>
      <w:marLeft w:val="0"/>
      <w:marRight w:val="0"/>
      <w:marTop w:val="0"/>
      <w:marBottom w:val="0"/>
      <w:divBdr>
        <w:top w:val="none" w:sz="0" w:space="0" w:color="auto"/>
        <w:left w:val="none" w:sz="0" w:space="0" w:color="auto"/>
        <w:bottom w:val="none" w:sz="0" w:space="0" w:color="auto"/>
        <w:right w:val="none" w:sz="0" w:space="0" w:color="auto"/>
      </w:divBdr>
    </w:div>
    <w:div w:id="243682230">
      <w:bodyDiv w:val="1"/>
      <w:marLeft w:val="0"/>
      <w:marRight w:val="0"/>
      <w:marTop w:val="0"/>
      <w:marBottom w:val="0"/>
      <w:divBdr>
        <w:top w:val="none" w:sz="0" w:space="0" w:color="auto"/>
        <w:left w:val="none" w:sz="0" w:space="0" w:color="auto"/>
        <w:bottom w:val="none" w:sz="0" w:space="0" w:color="auto"/>
        <w:right w:val="none" w:sz="0" w:space="0" w:color="auto"/>
      </w:divBdr>
    </w:div>
    <w:div w:id="248929915">
      <w:bodyDiv w:val="1"/>
      <w:marLeft w:val="0"/>
      <w:marRight w:val="0"/>
      <w:marTop w:val="0"/>
      <w:marBottom w:val="0"/>
      <w:divBdr>
        <w:top w:val="none" w:sz="0" w:space="0" w:color="auto"/>
        <w:left w:val="none" w:sz="0" w:space="0" w:color="auto"/>
        <w:bottom w:val="none" w:sz="0" w:space="0" w:color="auto"/>
        <w:right w:val="none" w:sz="0" w:space="0" w:color="auto"/>
      </w:divBdr>
    </w:div>
    <w:div w:id="250504449">
      <w:bodyDiv w:val="1"/>
      <w:marLeft w:val="0"/>
      <w:marRight w:val="0"/>
      <w:marTop w:val="0"/>
      <w:marBottom w:val="0"/>
      <w:divBdr>
        <w:top w:val="none" w:sz="0" w:space="0" w:color="auto"/>
        <w:left w:val="none" w:sz="0" w:space="0" w:color="auto"/>
        <w:bottom w:val="none" w:sz="0" w:space="0" w:color="auto"/>
        <w:right w:val="none" w:sz="0" w:space="0" w:color="auto"/>
      </w:divBdr>
    </w:div>
    <w:div w:id="259072254">
      <w:bodyDiv w:val="1"/>
      <w:marLeft w:val="0"/>
      <w:marRight w:val="0"/>
      <w:marTop w:val="0"/>
      <w:marBottom w:val="0"/>
      <w:divBdr>
        <w:top w:val="none" w:sz="0" w:space="0" w:color="auto"/>
        <w:left w:val="none" w:sz="0" w:space="0" w:color="auto"/>
        <w:bottom w:val="none" w:sz="0" w:space="0" w:color="auto"/>
        <w:right w:val="none" w:sz="0" w:space="0" w:color="auto"/>
      </w:divBdr>
    </w:div>
    <w:div w:id="261839773">
      <w:bodyDiv w:val="1"/>
      <w:marLeft w:val="0"/>
      <w:marRight w:val="0"/>
      <w:marTop w:val="0"/>
      <w:marBottom w:val="0"/>
      <w:divBdr>
        <w:top w:val="none" w:sz="0" w:space="0" w:color="auto"/>
        <w:left w:val="none" w:sz="0" w:space="0" w:color="auto"/>
        <w:bottom w:val="none" w:sz="0" w:space="0" w:color="auto"/>
        <w:right w:val="none" w:sz="0" w:space="0" w:color="auto"/>
      </w:divBdr>
    </w:div>
    <w:div w:id="287904005">
      <w:bodyDiv w:val="1"/>
      <w:marLeft w:val="0"/>
      <w:marRight w:val="0"/>
      <w:marTop w:val="0"/>
      <w:marBottom w:val="0"/>
      <w:divBdr>
        <w:top w:val="none" w:sz="0" w:space="0" w:color="auto"/>
        <w:left w:val="none" w:sz="0" w:space="0" w:color="auto"/>
        <w:bottom w:val="none" w:sz="0" w:space="0" w:color="auto"/>
        <w:right w:val="none" w:sz="0" w:space="0" w:color="auto"/>
      </w:divBdr>
    </w:div>
    <w:div w:id="305161883">
      <w:bodyDiv w:val="1"/>
      <w:marLeft w:val="0"/>
      <w:marRight w:val="0"/>
      <w:marTop w:val="0"/>
      <w:marBottom w:val="0"/>
      <w:divBdr>
        <w:top w:val="none" w:sz="0" w:space="0" w:color="auto"/>
        <w:left w:val="none" w:sz="0" w:space="0" w:color="auto"/>
        <w:bottom w:val="none" w:sz="0" w:space="0" w:color="auto"/>
        <w:right w:val="none" w:sz="0" w:space="0" w:color="auto"/>
      </w:divBdr>
    </w:div>
    <w:div w:id="314067356">
      <w:bodyDiv w:val="1"/>
      <w:marLeft w:val="0"/>
      <w:marRight w:val="0"/>
      <w:marTop w:val="0"/>
      <w:marBottom w:val="0"/>
      <w:divBdr>
        <w:top w:val="none" w:sz="0" w:space="0" w:color="auto"/>
        <w:left w:val="none" w:sz="0" w:space="0" w:color="auto"/>
        <w:bottom w:val="none" w:sz="0" w:space="0" w:color="auto"/>
        <w:right w:val="none" w:sz="0" w:space="0" w:color="auto"/>
      </w:divBdr>
    </w:div>
    <w:div w:id="337586354">
      <w:bodyDiv w:val="1"/>
      <w:marLeft w:val="0"/>
      <w:marRight w:val="0"/>
      <w:marTop w:val="0"/>
      <w:marBottom w:val="0"/>
      <w:divBdr>
        <w:top w:val="none" w:sz="0" w:space="0" w:color="auto"/>
        <w:left w:val="none" w:sz="0" w:space="0" w:color="auto"/>
        <w:bottom w:val="none" w:sz="0" w:space="0" w:color="auto"/>
        <w:right w:val="none" w:sz="0" w:space="0" w:color="auto"/>
      </w:divBdr>
    </w:div>
    <w:div w:id="347102890">
      <w:bodyDiv w:val="1"/>
      <w:marLeft w:val="0"/>
      <w:marRight w:val="0"/>
      <w:marTop w:val="0"/>
      <w:marBottom w:val="0"/>
      <w:divBdr>
        <w:top w:val="none" w:sz="0" w:space="0" w:color="auto"/>
        <w:left w:val="none" w:sz="0" w:space="0" w:color="auto"/>
        <w:bottom w:val="none" w:sz="0" w:space="0" w:color="auto"/>
        <w:right w:val="none" w:sz="0" w:space="0" w:color="auto"/>
      </w:divBdr>
    </w:div>
    <w:div w:id="347368994">
      <w:bodyDiv w:val="1"/>
      <w:marLeft w:val="0"/>
      <w:marRight w:val="0"/>
      <w:marTop w:val="0"/>
      <w:marBottom w:val="0"/>
      <w:divBdr>
        <w:top w:val="none" w:sz="0" w:space="0" w:color="auto"/>
        <w:left w:val="none" w:sz="0" w:space="0" w:color="auto"/>
        <w:bottom w:val="none" w:sz="0" w:space="0" w:color="auto"/>
        <w:right w:val="none" w:sz="0" w:space="0" w:color="auto"/>
      </w:divBdr>
    </w:div>
    <w:div w:id="353769720">
      <w:bodyDiv w:val="1"/>
      <w:marLeft w:val="0"/>
      <w:marRight w:val="0"/>
      <w:marTop w:val="0"/>
      <w:marBottom w:val="0"/>
      <w:divBdr>
        <w:top w:val="none" w:sz="0" w:space="0" w:color="auto"/>
        <w:left w:val="none" w:sz="0" w:space="0" w:color="auto"/>
        <w:bottom w:val="none" w:sz="0" w:space="0" w:color="auto"/>
        <w:right w:val="none" w:sz="0" w:space="0" w:color="auto"/>
      </w:divBdr>
    </w:div>
    <w:div w:id="361446705">
      <w:bodyDiv w:val="1"/>
      <w:marLeft w:val="0"/>
      <w:marRight w:val="0"/>
      <w:marTop w:val="0"/>
      <w:marBottom w:val="0"/>
      <w:divBdr>
        <w:top w:val="none" w:sz="0" w:space="0" w:color="auto"/>
        <w:left w:val="none" w:sz="0" w:space="0" w:color="auto"/>
        <w:bottom w:val="none" w:sz="0" w:space="0" w:color="auto"/>
        <w:right w:val="none" w:sz="0" w:space="0" w:color="auto"/>
      </w:divBdr>
    </w:div>
    <w:div w:id="362480794">
      <w:bodyDiv w:val="1"/>
      <w:marLeft w:val="0"/>
      <w:marRight w:val="0"/>
      <w:marTop w:val="0"/>
      <w:marBottom w:val="0"/>
      <w:divBdr>
        <w:top w:val="none" w:sz="0" w:space="0" w:color="auto"/>
        <w:left w:val="none" w:sz="0" w:space="0" w:color="auto"/>
        <w:bottom w:val="none" w:sz="0" w:space="0" w:color="auto"/>
        <w:right w:val="none" w:sz="0" w:space="0" w:color="auto"/>
      </w:divBdr>
    </w:div>
    <w:div w:id="375617573">
      <w:bodyDiv w:val="1"/>
      <w:marLeft w:val="0"/>
      <w:marRight w:val="0"/>
      <w:marTop w:val="0"/>
      <w:marBottom w:val="0"/>
      <w:divBdr>
        <w:top w:val="none" w:sz="0" w:space="0" w:color="auto"/>
        <w:left w:val="none" w:sz="0" w:space="0" w:color="auto"/>
        <w:bottom w:val="none" w:sz="0" w:space="0" w:color="auto"/>
        <w:right w:val="none" w:sz="0" w:space="0" w:color="auto"/>
      </w:divBdr>
    </w:div>
    <w:div w:id="378746240">
      <w:bodyDiv w:val="1"/>
      <w:marLeft w:val="0"/>
      <w:marRight w:val="0"/>
      <w:marTop w:val="0"/>
      <w:marBottom w:val="0"/>
      <w:divBdr>
        <w:top w:val="none" w:sz="0" w:space="0" w:color="auto"/>
        <w:left w:val="none" w:sz="0" w:space="0" w:color="auto"/>
        <w:bottom w:val="none" w:sz="0" w:space="0" w:color="auto"/>
        <w:right w:val="none" w:sz="0" w:space="0" w:color="auto"/>
      </w:divBdr>
    </w:div>
    <w:div w:id="384724473">
      <w:bodyDiv w:val="1"/>
      <w:marLeft w:val="0"/>
      <w:marRight w:val="0"/>
      <w:marTop w:val="0"/>
      <w:marBottom w:val="0"/>
      <w:divBdr>
        <w:top w:val="none" w:sz="0" w:space="0" w:color="auto"/>
        <w:left w:val="none" w:sz="0" w:space="0" w:color="auto"/>
        <w:bottom w:val="none" w:sz="0" w:space="0" w:color="auto"/>
        <w:right w:val="none" w:sz="0" w:space="0" w:color="auto"/>
      </w:divBdr>
    </w:div>
    <w:div w:id="384914233">
      <w:bodyDiv w:val="1"/>
      <w:marLeft w:val="0"/>
      <w:marRight w:val="0"/>
      <w:marTop w:val="0"/>
      <w:marBottom w:val="0"/>
      <w:divBdr>
        <w:top w:val="none" w:sz="0" w:space="0" w:color="auto"/>
        <w:left w:val="none" w:sz="0" w:space="0" w:color="auto"/>
        <w:bottom w:val="none" w:sz="0" w:space="0" w:color="auto"/>
        <w:right w:val="none" w:sz="0" w:space="0" w:color="auto"/>
      </w:divBdr>
    </w:div>
    <w:div w:id="425002485">
      <w:bodyDiv w:val="1"/>
      <w:marLeft w:val="0"/>
      <w:marRight w:val="0"/>
      <w:marTop w:val="0"/>
      <w:marBottom w:val="0"/>
      <w:divBdr>
        <w:top w:val="none" w:sz="0" w:space="0" w:color="auto"/>
        <w:left w:val="none" w:sz="0" w:space="0" w:color="auto"/>
        <w:bottom w:val="none" w:sz="0" w:space="0" w:color="auto"/>
        <w:right w:val="none" w:sz="0" w:space="0" w:color="auto"/>
      </w:divBdr>
    </w:div>
    <w:div w:id="431752939">
      <w:bodyDiv w:val="1"/>
      <w:marLeft w:val="0"/>
      <w:marRight w:val="0"/>
      <w:marTop w:val="0"/>
      <w:marBottom w:val="0"/>
      <w:divBdr>
        <w:top w:val="none" w:sz="0" w:space="0" w:color="auto"/>
        <w:left w:val="none" w:sz="0" w:space="0" w:color="auto"/>
        <w:bottom w:val="none" w:sz="0" w:space="0" w:color="auto"/>
        <w:right w:val="none" w:sz="0" w:space="0" w:color="auto"/>
      </w:divBdr>
    </w:div>
    <w:div w:id="432673796">
      <w:bodyDiv w:val="1"/>
      <w:marLeft w:val="0"/>
      <w:marRight w:val="0"/>
      <w:marTop w:val="0"/>
      <w:marBottom w:val="0"/>
      <w:divBdr>
        <w:top w:val="none" w:sz="0" w:space="0" w:color="auto"/>
        <w:left w:val="none" w:sz="0" w:space="0" w:color="auto"/>
        <w:bottom w:val="none" w:sz="0" w:space="0" w:color="auto"/>
        <w:right w:val="none" w:sz="0" w:space="0" w:color="auto"/>
      </w:divBdr>
    </w:div>
    <w:div w:id="454253379">
      <w:bodyDiv w:val="1"/>
      <w:marLeft w:val="0"/>
      <w:marRight w:val="0"/>
      <w:marTop w:val="0"/>
      <w:marBottom w:val="0"/>
      <w:divBdr>
        <w:top w:val="none" w:sz="0" w:space="0" w:color="auto"/>
        <w:left w:val="none" w:sz="0" w:space="0" w:color="auto"/>
        <w:bottom w:val="none" w:sz="0" w:space="0" w:color="auto"/>
        <w:right w:val="none" w:sz="0" w:space="0" w:color="auto"/>
      </w:divBdr>
    </w:div>
    <w:div w:id="487867308">
      <w:bodyDiv w:val="1"/>
      <w:marLeft w:val="0"/>
      <w:marRight w:val="0"/>
      <w:marTop w:val="0"/>
      <w:marBottom w:val="0"/>
      <w:divBdr>
        <w:top w:val="none" w:sz="0" w:space="0" w:color="auto"/>
        <w:left w:val="none" w:sz="0" w:space="0" w:color="auto"/>
        <w:bottom w:val="none" w:sz="0" w:space="0" w:color="auto"/>
        <w:right w:val="none" w:sz="0" w:space="0" w:color="auto"/>
      </w:divBdr>
    </w:div>
    <w:div w:id="490175652">
      <w:bodyDiv w:val="1"/>
      <w:marLeft w:val="0"/>
      <w:marRight w:val="0"/>
      <w:marTop w:val="0"/>
      <w:marBottom w:val="0"/>
      <w:divBdr>
        <w:top w:val="none" w:sz="0" w:space="0" w:color="auto"/>
        <w:left w:val="none" w:sz="0" w:space="0" w:color="auto"/>
        <w:bottom w:val="none" w:sz="0" w:space="0" w:color="auto"/>
        <w:right w:val="none" w:sz="0" w:space="0" w:color="auto"/>
      </w:divBdr>
    </w:div>
    <w:div w:id="494997207">
      <w:bodyDiv w:val="1"/>
      <w:marLeft w:val="0"/>
      <w:marRight w:val="0"/>
      <w:marTop w:val="0"/>
      <w:marBottom w:val="0"/>
      <w:divBdr>
        <w:top w:val="none" w:sz="0" w:space="0" w:color="auto"/>
        <w:left w:val="none" w:sz="0" w:space="0" w:color="auto"/>
        <w:bottom w:val="none" w:sz="0" w:space="0" w:color="auto"/>
        <w:right w:val="none" w:sz="0" w:space="0" w:color="auto"/>
      </w:divBdr>
    </w:div>
    <w:div w:id="496728092">
      <w:bodyDiv w:val="1"/>
      <w:marLeft w:val="0"/>
      <w:marRight w:val="0"/>
      <w:marTop w:val="0"/>
      <w:marBottom w:val="0"/>
      <w:divBdr>
        <w:top w:val="none" w:sz="0" w:space="0" w:color="auto"/>
        <w:left w:val="none" w:sz="0" w:space="0" w:color="auto"/>
        <w:bottom w:val="none" w:sz="0" w:space="0" w:color="auto"/>
        <w:right w:val="none" w:sz="0" w:space="0" w:color="auto"/>
      </w:divBdr>
    </w:div>
    <w:div w:id="501548828">
      <w:bodyDiv w:val="1"/>
      <w:marLeft w:val="0"/>
      <w:marRight w:val="0"/>
      <w:marTop w:val="0"/>
      <w:marBottom w:val="0"/>
      <w:divBdr>
        <w:top w:val="none" w:sz="0" w:space="0" w:color="auto"/>
        <w:left w:val="none" w:sz="0" w:space="0" w:color="auto"/>
        <w:bottom w:val="none" w:sz="0" w:space="0" w:color="auto"/>
        <w:right w:val="none" w:sz="0" w:space="0" w:color="auto"/>
      </w:divBdr>
    </w:div>
    <w:div w:id="502934377">
      <w:bodyDiv w:val="1"/>
      <w:marLeft w:val="0"/>
      <w:marRight w:val="0"/>
      <w:marTop w:val="0"/>
      <w:marBottom w:val="0"/>
      <w:divBdr>
        <w:top w:val="none" w:sz="0" w:space="0" w:color="auto"/>
        <w:left w:val="none" w:sz="0" w:space="0" w:color="auto"/>
        <w:bottom w:val="none" w:sz="0" w:space="0" w:color="auto"/>
        <w:right w:val="none" w:sz="0" w:space="0" w:color="auto"/>
      </w:divBdr>
    </w:div>
    <w:div w:id="515117972">
      <w:bodyDiv w:val="1"/>
      <w:marLeft w:val="0"/>
      <w:marRight w:val="0"/>
      <w:marTop w:val="0"/>
      <w:marBottom w:val="0"/>
      <w:divBdr>
        <w:top w:val="none" w:sz="0" w:space="0" w:color="auto"/>
        <w:left w:val="none" w:sz="0" w:space="0" w:color="auto"/>
        <w:bottom w:val="none" w:sz="0" w:space="0" w:color="auto"/>
        <w:right w:val="none" w:sz="0" w:space="0" w:color="auto"/>
      </w:divBdr>
    </w:div>
    <w:div w:id="564725920">
      <w:bodyDiv w:val="1"/>
      <w:marLeft w:val="0"/>
      <w:marRight w:val="0"/>
      <w:marTop w:val="0"/>
      <w:marBottom w:val="0"/>
      <w:divBdr>
        <w:top w:val="none" w:sz="0" w:space="0" w:color="auto"/>
        <w:left w:val="none" w:sz="0" w:space="0" w:color="auto"/>
        <w:bottom w:val="none" w:sz="0" w:space="0" w:color="auto"/>
        <w:right w:val="none" w:sz="0" w:space="0" w:color="auto"/>
      </w:divBdr>
    </w:div>
    <w:div w:id="572087317">
      <w:bodyDiv w:val="1"/>
      <w:marLeft w:val="0"/>
      <w:marRight w:val="0"/>
      <w:marTop w:val="0"/>
      <w:marBottom w:val="0"/>
      <w:divBdr>
        <w:top w:val="none" w:sz="0" w:space="0" w:color="auto"/>
        <w:left w:val="none" w:sz="0" w:space="0" w:color="auto"/>
        <w:bottom w:val="none" w:sz="0" w:space="0" w:color="auto"/>
        <w:right w:val="none" w:sz="0" w:space="0" w:color="auto"/>
      </w:divBdr>
    </w:div>
    <w:div w:id="573205775">
      <w:bodyDiv w:val="1"/>
      <w:marLeft w:val="0"/>
      <w:marRight w:val="0"/>
      <w:marTop w:val="0"/>
      <w:marBottom w:val="0"/>
      <w:divBdr>
        <w:top w:val="none" w:sz="0" w:space="0" w:color="auto"/>
        <w:left w:val="none" w:sz="0" w:space="0" w:color="auto"/>
        <w:bottom w:val="none" w:sz="0" w:space="0" w:color="auto"/>
        <w:right w:val="none" w:sz="0" w:space="0" w:color="auto"/>
      </w:divBdr>
    </w:div>
    <w:div w:id="574970185">
      <w:bodyDiv w:val="1"/>
      <w:marLeft w:val="0"/>
      <w:marRight w:val="0"/>
      <w:marTop w:val="0"/>
      <w:marBottom w:val="0"/>
      <w:divBdr>
        <w:top w:val="none" w:sz="0" w:space="0" w:color="auto"/>
        <w:left w:val="none" w:sz="0" w:space="0" w:color="auto"/>
        <w:bottom w:val="none" w:sz="0" w:space="0" w:color="auto"/>
        <w:right w:val="none" w:sz="0" w:space="0" w:color="auto"/>
      </w:divBdr>
    </w:div>
    <w:div w:id="590361353">
      <w:bodyDiv w:val="1"/>
      <w:marLeft w:val="0"/>
      <w:marRight w:val="0"/>
      <w:marTop w:val="0"/>
      <w:marBottom w:val="0"/>
      <w:divBdr>
        <w:top w:val="none" w:sz="0" w:space="0" w:color="auto"/>
        <w:left w:val="none" w:sz="0" w:space="0" w:color="auto"/>
        <w:bottom w:val="none" w:sz="0" w:space="0" w:color="auto"/>
        <w:right w:val="none" w:sz="0" w:space="0" w:color="auto"/>
      </w:divBdr>
    </w:div>
    <w:div w:id="603224325">
      <w:bodyDiv w:val="1"/>
      <w:marLeft w:val="0"/>
      <w:marRight w:val="0"/>
      <w:marTop w:val="0"/>
      <w:marBottom w:val="0"/>
      <w:divBdr>
        <w:top w:val="none" w:sz="0" w:space="0" w:color="auto"/>
        <w:left w:val="none" w:sz="0" w:space="0" w:color="auto"/>
        <w:bottom w:val="none" w:sz="0" w:space="0" w:color="auto"/>
        <w:right w:val="none" w:sz="0" w:space="0" w:color="auto"/>
      </w:divBdr>
    </w:div>
    <w:div w:id="603729006">
      <w:bodyDiv w:val="1"/>
      <w:marLeft w:val="0"/>
      <w:marRight w:val="0"/>
      <w:marTop w:val="0"/>
      <w:marBottom w:val="0"/>
      <w:divBdr>
        <w:top w:val="none" w:sz="0" w:space="0" w:color="auto"/>
        <w:left w:val="none" w:sz="0" w:space="0" w:color="auto"/>
        <w:bottom w:val="none" w:sz="0" w:space="0" w:color="auto"/>
        <w:right w:val="none" w:sz="0" w:space="0" w:color="auto"/>
      </w:divBdr>
    </w:div>
    <w:div w:id="605774034">
      <w:bodyDiv w:val="1"/>
      <w:marLeft w:val="0"/>
      <w:marRight w:val="0"/>
      <w:marTop w:val="0"/>
      <w:marBottom w:val="0"/>
      <w:divBdr>
        <w:top w:val="none" w:sz="0" w:space="0" w:color="auto"/>
        <w:left w:val="none" w:sz="0" w:space="0" w:color="auto"/>
        <w:bottom w:val="none" w:sz="0" w:space="0" w:color="auto"/>
        <w:right w:val="none" w:sz="0" w:space="0" w:color="auto"/>
      </w:divBdr>
    </w:div>
    <w:div w:id="611983243">
      <w:bodyDiv w:val="1"/>
      <w:marLeft w:val="0"/>
      <w:marRight w:val="0"/>
      <w:marTop w:val="0"/>
      <w:marBottom w:val="0"/>
      <w:divBdr>
        <w:top w:val="none" w:sz="0" w:space="0" w:color="auto"/>
        <w:left w:val="none" w:sz="0" w:space="0" w:color="auto"/>
        <w:bottom w:val="none" w:sz="0" w:space="0" w:color="auto"/>
        <w:right w:val="none" w:sz="0" w:space="0" w:color="auto"/>
      </w:divBdr>
    </w:div>
    <w:div w:id="628321363">
      <w:bodyDiv w:val="1"/>
      <w:marLeft w:val="0"/>
      <w:marRight w:val="0"/>
      <w:marTop w:val="0"/>
      <w:marBottom w:val="0"/>
      <w:divBdr>
        <w:top w:val="none" w:sz="0" w:space="0" w:color="auto"/>
        <w:left w:val="none" w:sz="0" w:space="0" w:color="auto"/>
        <w:bottom w:val="none" w:sz="0" w:space="0" w:color="auto"/>
        <w:right w:val="none" w:sz="0" w:space="0" w:color="auto"/>
      </w:divBdr>
    </w:div>
    <w:div w:id="638455911">
      <w:bodyDiv w:val="1"/>
      <w:marLeft w:val="0"/>
      <w:marRight w:val="0"/>
      <w:marTop w:val="0"/>
      <w:marBottom w:val="0"/>
      <w:divBdr>
        <w:top w:val="none" w:sz="0" w:space="0" w:color="auto"/>
        <w:left w:val="none" w:sz="0" w:space="0" w:color="auto"/>
        <w:bottom w:val="none" w:sz="0" w:space="0" w:color="auto"/>
        <w:right w:val="none" w:sz="0" w:space="0" w:color="auto"/>
      </w:divBdr>
    </w:div>
    <w:div w:id="640035415">
      <w:bodyDiv w:val="1"/>
      <w:marLeft w:val="0"/>
      <w:marRight w:val="0"/>
      <w:marTop w:val="0"/>
      <w:marBottom w:val="0"/>
      <w:divBdr>
        <w:top w:val="none" w:sz="0" w:space="0" w:color="auto"/>
        <w:left w:val="none" w:sz="0" w:space="0" w:color="auto"/>
        <w:bottom w:val="none" w:sz="0" w:space="0" w:color="auto"/>
        <w:right w:val="none" w:sz="0" w:space="0" w:color="auto"/>
      </w:divBdr>
    </w:div>
    <w:div w:id="646277903">
      <w:bodyDiv w:val="1"/>
      <w:marLeft w:val="0"/>
      <w:marRight w:val="0"/>
      <w:marTop w:val="0"/>
      <w:marBottom w:val="0"/>
      <w:divBdr>
        <w:top w:val="none" w:sz="0" w:space="0" w:color="auto"/>
        <w:left w:val="none" w:sz="0" w:space="0" w:color="auto"/>
        <w:bottom w:val="none" w:sz="0" w:space="0" w:color="auto"/>
        <w:right w:val="none" w:sz="0" w:space="0" w:color="auto"/>
      </w:divBdr>
    </w:div>
    <w:div w:id="650864154">
      <w:bodyDiv w:val="1"/>
      <w:marLeft w:val="0"/>
      <w:marRight w:val="0"/>
      <w:marTop w:val="0"/>
      <w:marBottom w:val="0"/>
      <w:divBdr>
        <w:top w:val="none" w:sz="0" w:space="0" w:color="auto"/>
        <w:left w:val="none" w:sz="0" w:space="0" w:color="auto"/>
        <w:bottom w:val="none" w:sz="0" w:space="0" w:color="auto"/>
        <w:right w:val="none" w:sz="0" w:space="0" w:color="auto"/>
      </w:divBdr>
    </w:div>
    <w:div w:id="668287143">
      <w:bodyDiv w:val="1"/>
      <w:marLeft w:val="0"/>
      <w:marRight w:val="0"/>
      <w:marTop w:val="0"/>
      <w:marBottom w:val="0"/>
      <w:divBdr>
        <w:top w:val="none" w:sz="0" w:space="0" w:color="auto"/>
        <w:left w:val="none" w:sz="0" w:space="0" w:color="auto"/>
        <w:bottom w:val="none" w:sz="0" w:space="0" w:color="auto"/>
        <w:right w:val="none" w:sz="0" w:space="0" w:color="auto"/>
      </w:divBdr>
    </w:div>
    <w:div w:id="668753190">
      <w:bodyDiv w:val="1"/>
      <w:marLeft w:val="0"/>
      <w:marRight w:val="0"/>
      <w:marTop w:val="0"/>
      <w:marBottom w:val="0"/>
      <w:divBdr>
        <w:top w:val="none" w:sz="0" w:space="0" w:color="auto"/>
        <w:left w:val="none" w:sz="0" w:space="0" w:color="auto"/>
        <w:bottom w:val="none" w:sz="0" w:space="0" w:color="auto"/>
        <w:right w:val="none" w:sz="0" w:space="0" w:color="auto"/>
      </w:divBdr>
    </w:div>
    <w:div w:id="668941799">
      <w:bodyDiv w:val="1"/>
      <w:marLeft w:val="0"/>
      <w:marRight w:val="0"/>
      <w:marTop w:val="0"/>
      <w:marBottom w:val="0"/>
      <w:divBdr>
        <w:top w:val="none" w:sz="0" w:space="0" w:color="auto"/>
        <w:left w:val="none" w:sz="0" w:space="0" w:color="auto"/>
        <w:bottom w:val="none" w:sz="0" w:space="0" w:color="auto"/>
        <w:right w:val="none" w:sz="0" w:space="0" w:color="auto"/>
      </w:divBdr>
    </w:div>
    <w:div w:id="675766092">
      <w:bodyDiv w:val="1"/>
      <w:marLeft w:val="0"/>
      <w:marRight w:val="0"/>
      <w:marTop w:val="0"/>
      <w:marBottom w:val="0"/>
      <w:divBdr>
        <w:top w:val="none" w:sz="0" w:space="0" w:color="auto"/>
        <w:left w:val="none" w:sz="0" w:space="0" w:color="auto"/>
        <w:bottom w:val="none" w:sz="0" w:space="0" w:color="auto"/>
        <w:right w:val="none" w:sz="0" w:space="0" w:color="auto"/>
      </w:divBdr>
    </w:div>
    <w:div w:id="705059826">
      <w:bodyDiv w:val="1"/>
      <w:marLeft w:val="0"/>
      <w:marRight w:val="0"/>
      <w:marTop w:val="0"/>
      <w:marBottom w:val="0"/>
      <w:divBdr>
        <w:top w:val="none" w:sz="0" w:space="0" w:color="auto"/>
        <w:left w:val="none" w:sz="0" w:space="0" w:color="auto"/>
        <w:bottom w:val="none" w:sz="0" w:space="0" w:color="auto"/>
        <w:right w:val="none" w:sz="0" w:space="0" w:color="auto"/>
      </w:divBdr>
    </w:div>
    <w:div w:id="727647600">
      <w:bodyDiv w:val="1"/>
      <w:marLeft w:val="0"/>
      <w:marRight w:val="0"/>
      <w:marTop w:val="0"/>
      <w:marBottom w:val="0"/>
      <w:divBdr>
        <w:top w:val="none" w:sz="0" w:space="0" w:color="auto"/>
        <w:left w:val="none" w:sz="0" w:space="0" w:color="auto"/>
        <w:bottom w:val="none" w:sz="0" w:space="0" w:color="auto"/>
        <w:right w:val="none" w:sz="0" w:space="0" w:color="auto"/>
      </w:divBdr>
    </w:div>
    <w:div w:id="730344339">
      <w:bodyDiv w:val="1"/>
      <w:marLeft w:val="0"/>
      <w:marRight w:val="0"/>
      <w:marTop w:val="0"/>
      <w:marBottom w:val="0"/>
      <w:divBdr>
        <w:top w:val="none" w:sz="0" w:space="0" w:color="auto"/>
        <w:left w:val="none" w:sz="0" w:space="0" w:color="auto"/>
        <w:bottom w:val="none" w:sz="0" w:space="0" w:color="auto"/>
        <w:right w:val="none" w:sz="0" w:space="0" w:color="auto"/>
      </w:divBdr>
    </w:div>
    <w:div w:id="748233743">
      <w:bodyDiv w:val="1"/>
      <w:marLeft w:val="0"/>
      <w:marRight w:val="0"/>
      <w:marTop w:val="0"/>
      <w:marBottom w:val="0"/>
      <w:divBdr>
        <w:top w:val="none" w:sz="0" w:space="0" w:color="auto"/>
        <w:left w:val="none" w:sz="0" w:space="0" w:color="auto"/>
        <w:bottom w:val="none" w:sz="0" w:space="0" w:color="auto"/>
        <w:right w:val="none" w:sz="0" w:space="0" w:color="auto"/>
      </w:divBdr>
    </w:div>
    <w:div w:id="760950705">
      <w:bodyDiv w:val="1"/>
      <w:marLeft w:val="0"/>
      <w:marRight w:val="0"/>
      <w:marTop w:val="0"/>
      <w:marBottom w:val="0"/>
      <w:divBdr>
        <w:top w:val="none" w:sz="0" w:space="0" w:color="auto"/>
        <w:left w:val="none" w:sz="0" w:space="0" w:color="auto"/>
        <w:bottom w:val="none" w:sz="0" w:space="0" w:color="auto"/>
        <w:right w:val="none" w:sz="0" w:space="0" w:color="auto"/>
      </w:divBdr>
    </w:div>
    <w:div w:id="779027929">
      <w:bodyDiv w:val="1"/>
      <w:marLeft w:val="0"/>
      <w:marRight w:val="0"/>
      <w:marTop w:val="0"/>
      <w:marBottom w:val="0"/>
      <w:divBdr>
        <w:top w:val="none" w:sz="0" w:space="0" w:color="auto"/>
        <w:left w:val="none" w:sz="0" w:space="0" w:color="auto"/>
        <w:bottom w:val="none" w:sz="0" w:space="0" w:color="auto"/>
        <w:right w:val="none" w:sz="0" w:space="0" w:color="auto"/>
      </w:divBdr>
    </w:div>
    <w:div w:id="782119000">
      <w:bodyDiv w:val="1"/>
      <w:marLeft w:val="0"/>
      <w:marRight w:val="0"/>
      <w:marTop w:val="0"/>
      <w:marBottom w:val="0"/>
      <w:divBdr>
        <w:top w:val="none" w:sz="0" w:space="0" w:color="auto"/>
        <w:left w:val="none" w:sz="0" w:space="0" w:color="auto"/>
        <w:bottom w:val="none" w:sz="0" w:space="0" w:color="auto"/>
        <w:right w:val="none" w:sz="0" w:space="0" w:color="auto"/>
      </w:divBdr>
    </w:div>
    <w:div w:id="792555881">
      <w:bodyDiv w:val="1"/>
      <w:marLeft w:val="0"/>
      <w:marRight w:val="0"/>
      <w:marTop w:val="0"/>
      <w:marBottom w:val="0"/>
      <w:divBdr>
        <w:top w:val="none" w:sz="0" w:space="0" w:color="auto"/>
        <w:left w:val="none" w:sz="0" w:space="0" w:color="auto"/>
        <w:bottom w:val="none" w:sz="0" w:space="0" w:color="auto"/>
        <w:right w:val="none" w:sz="0" w:space="0" w:color="auto"/>
      </w:divBdr>
    </w:div>
    <w:div w:id="796339986">
      <w:bodyDiv w:val="1"/>
      <w:marLeft w:val="0"/>
      <w:marRight w:val="0"/>
      <w:marTop w:val="0"/>
      <w:marBottom w:val="0"/>
      <w:divBdr>
        <w:top w:val="none" w:sz="0" w:space="0" w:color="auto"/>
        <w:left w:val="none" w:sz="0" w:space="0" w:color="auto"/>
        <w:bottom w:val="none" w:sz="0" w:space="0" w:color="auto"/>
        <w:right w:val="none" w:sz="0" w:space="0" w:color="auto"/>
      </w:divBdr>
    </w:div>
    <w:div w:id="801582570">
      <w:bodyDiv w:val="1"/>
      <w:marLeft w:val="0"/>
      <w:marRight w:val="0"/>
      <w:marTop w:val="0"/>
      <w:marBottom w:val="0"/>
      <w:divBdr>
        <w:top w:val="none" w:sz="0" w:space="0" w:color="auto"/>
        <w:left w:val="none" w:sz="0" w:space="0" w:color="auto"/>
        <w:bottom w:val="none" w:sz="0" w:space="0" w:color="auto"/>
        <w:right w:val="none" w:sz="0" w:space="0" w:color="auto"/>
      </w:divBdr>
    </w:div>
    <w:div w:id="821504554">
      <w:bodyDiv w:val="1"/>
      <w:marLeft w:val="0"/>
      <w:marRight w:val="0"/>
      <w:marTop w:val="0"/>
      <w:marBottom w:val="0"/>
      <w:divBdr>
        <w:top w:val="none" w:sz="0" w:space="0" w:color="auto"/>
        <w:left w:val="none" w:sz="0" w:space="0" w:color="auto"/>
        <w:bottom w:val="none" w:sz="0" w:space="0" w:color="auto"/>
        <w:right w:val="none" w:sz="0" w:space="0" w:color="auto"/>
      </w:divBdr>
    </w:div>
    <w:div w:id="833183525">
      <w:bodyDiv w:val="1"/>
      <w:marLeft w:val="0"/>
      <w:marRight w:val="0"/>
      <w:marTop w:val="0"/>
      <w:marBottom w:val="0"/>
      <w:divBdr>
        <w:top w:val="none" w:sz="0" w:space="0" w:color="auto"/>
        <w:left w:val="none" w:sz="0" w:space="0" w:color="auto"/>
        <w:bottom w:val="none" w:sz="0" w:space="0" w:color="auto"/>
        <w:right w:val="none" w:sz="0" w:space="0" w:color="auto"/>
      </w:divBdr>
    </w:div>
    <w:div w:id="835415585">
      <w:bodyDiv w:val="1"/>
      <w:marLeft w:val="0"/>
      <w:marRight w:val="0"/>
      <w:marTop w:val="0"/>
      <w:marBottom w:val="0"/>
      <w:divBdr>
        <w:top w:val="none" w:sz="0" w:space="0" w:color="auto"/>
        <w:left w:val="none" w:sz="0" w:space="0" w:color="auto"/>
        <w:bottom w:val="none" w:sz="0" w:space="0" w:color="auto"/>
        <w:right w:val="none" w:sz="0" w:space="0" w:color="auto"/>
      </w:divBdr>
    </w:div>
    <w:div w:id="839007708">
      <w:bodyDiv w:val="1"/>
      <w:marLeft w:val="0"/>
      <w:marRight w:val="0"/>
      <w:marTop w:val="0"/>
      <w:marBottom w:val="0"/>
      <w:divBdr>
        <w:top w:val="none" w:sz="0" w:space="0" w:color="auto"/>
        <w:left w:val="none" w:sz="0" w:space="0" w:color="auto"/>
        <w:bottom w:val="none" w:sz="0" w:space="0" w:color="auto"/>
        <w:right w:val="none" w:sz="0" w:space="0" w:color="auto"/>
      </w:divBdr>
    </w:div>
    <w:div w:id="843323031">
      <w:bodyDiv w:val="1"/>
      <w:marLeft w:val="0"/>
      <w:marRight w:val="0"/>
      <w:marTop w:val="0"/>
      <w:marBottom w:val="0"/>
      <w:divBdr>
        <w:top w:val="none" w:sz="0" w:space="0" w:color="auto"/>
        <w:left w:val="none" w:sz="0" w:space="0" w:color="auto"/>
        <w:bottom w:val="none" w:sz="0" w:space="0" w:color="auto"/>
        <w:right w:val="none" w:sz="0" w:space="0" w:color="auto"/>
      </w:divBdr>
    </w:div>
    <w:div w:id="876502341">
      <w:bodyDiv w:val="1"/>
      <w:marLeft w:val="0"/>
      <w:marRight w:val="0"/>
      <w:marTop w:val="0"/>
      <w:marBottom w:val="0"/>
      <w:divBdr>
        <w:top w:val="none" w:sz="0" w:space="0" w:color="auto"/>
        <w:left w:val="none" w:sz="0" w:space="0" w:color="auto"/>
        <w:bottom w:val="none" w:sz="0" w:space="0" w:color="auto"/>
        <w:right w:val="none" w:sz="0" w:space="0" w:color="auto"/>
      </w:divBdr>
    </w:div>
    <w:div w:id="889725349">
      <w:bodyDiv w:val="1"/>
      <w:marLeft w:val="0"/>
      <w:marRight w:val="0"/>
      <w:marTop w:val="0"/>
      <w:marBottom w:val="0"/>
      <w:divBdr>
        <w:top w:val="none" w:sz="0" w:space="0" w:color="auto"/>
        <w:left w:val="none" w:sz="0" w:space="0" w:color="auto"/>
        <w:bottom w:val="none" w:sz="0" w:space="0" w:color="auto"/>
        <w:right w:val="none" w:sz="0" w:space="0" w:color="auto"/>
      </w:divBdr>
    </w:div>
    <w:div w:id="891423351">
      <w:bodyDiv w:val="1"/>
      <w:marLeft w:val="0"/>
      <w:marRight w:val="0"/>
      <w:marTop w:val="0"/>
      <w:marBottom w:val="0"/>
      <w:divBdr>
        <w:top w:val="none" w:sz="0" w:space="0" w:color="auto"/>
        <w:left w:val="none" w:sz="0" w:space="0" w:color="auto"/>
        <w:bottom w:val="none" w:sz="0" w:space="0" w:color="auto"/>
        <w:right w:val="none" w:sz="0" w:space="0" w:color="auto"/>
      </w:divBdr>
    </w:div>
    <w:div w:id="901332361">
      <w:bodyDiv w:val="1"/>
      <w:marLeft w:val="0"/>
      <w:marRight w:val="0"/>
      <w:marTop w:val="0"/>
      <w:marBottom w:val="0"/>
      <w:divBdr>
        <w:top w:val="none" w:sz="0" w:space="0" w:color="auto"/>
        <w:left w:val="none" w:sz="0" w:space="0" w:color="auto"/>
        <w:bottom w:val="none" w:sz="0" w:space="0" w:color="auto"/>
        <w:right w:val="none" w:sz="0" w:space="0" w:color="auto"/>
      </w:divBdr>
    </w:div>
    <w:div w:id="914321739">
      <w:bodyDiv w:val="1"/>
      <w:marLeft w:val="0"/>
      <w:marRight w:val="0"/>
      <w:marTop w:val="0"/>
      <w:marBottom w:val="0"/>
      <w:divBdr>
        <w:top w:val="none" w:sz="0" w:space="0" w:color="auto"/>
        <w:left w:val="none" w:sz="0" w:space="0" w:color="auto"/>
        <w:bottom w:val="none" w:sz="0" w:space="0" w:color="auto"/>
        <w:right w:val="none" w:sz="0" w:space="0" w:color="auto"/>
      </w:divBdr>
    </w:div>
    <w:div w:id="920217289">
      <w:bodyDiv w:val="1"/>
      <w:marLeft w:val="0"/>
      <w:marRight w:val="0"/>
      <w:marTop w:val="0"/>
      <w:marBottom w:val="0"/>
      <w:divBdr>
        <w:top w:val="none" w:sz="0" w:space="0" w:color="auto"/>
        <w:left w:val="none" w:sz="0" w:space="0" w:color="auto"/>
        <w:bottom w:val="none" w:sz="0" w:space="0" w:color="auto"/>
        <w:right w:val="none" w:sz="0" w:space="0" w:color="auto"/>
      </w:divBdr>
    </w:div>
    <w:div w:id="921062568">
      <w:bodyDiv w:val="1"/>
      <w:marLeft w:val="0"/>
      <w:marRight w:val="0"/>
      <w:marTop w:val="0"/>
      <w:marBottom w:val="0"/>
      <w:divBdr>
        <w:top w:val="none" w:sz="0" w:space="0" w:color="auto"/>
        <w:left w:val="none" w:sz="0" w:space="0" w:color="auto"/>
        <w:bottom w:val="none" w:sz="0" w:space="0" w:color="auto"/>
        <w:right w:val="none" w:sz="0" w:space="0" w:color="auto"/>
      </w:divBdr>
    </w:div>
    <w:div w:id="922028051">
      <w:bodyDiv w:val="1"/>
      <w:marLeft w:val="0"/>
      <w:marRight w:val="0"/>
      <w:marTop w:val="0"/>
      <w:marBottom w:val="0"/>
      <w:divBdr>
        <w:top w:val="none" w:sz="0" w:space="0" w:color="auto"/>
        <w:left w:val="none" w:sz="0" w:space="0" w:color="auto"/>
        <w:bottom w:val="none" w:sz="0" w:space="0" w:color="auto"/>
        <w:right w:val="none" w:sz="0" w:space="0" w:color="auto"/>
      </w:divBdr>
    </w:div>
    <w:div w:id="924024828">
      <w:bodyDiv w:val="1"/>
      <w:marLeft w:val="0"/>
      <w:marRight w:val="0"/>
      <w:marTop w:val="0"/>
      <w:marBottom w:val="0"/>
      <w:divBdr>
        <w:top w:val="none" w:sz="0" w:space="0" w:color="auto"/>
        <w:left w:val="none" w:sz="0" w:space="0" w:color="auto"/>
        <w:bottom w:val="none" w:sz="0" w:space="0" w:color="auto"/>
        <w:right w:val="none" w:sz="0" w:space="0" w:color="auto"/>
      </w:divBdr>
    </w:div>
    <w:div w:id="938411506">
      <w:bodyDiv w:val="1"/>
      <w:marLeft w:val="0"/>
      <w:marRight w:val="0"/>
      <w:marTop w:val="0"/>
      <w:marBottom w:val="0"/>
      <w:divBdr>
        <w:top w:val="none" w:sz="0" w:space="0" w:color="auto"/>
        <w:left w:val="none" w:sz="0" w:space="0" w:color="auto"/>
        <w:bottom w:val="none" w:sz="0" w:space="0" w:color="auto"/>
        <w:right w:val="none" w:sz="0" w:space="0" w:color="auto"/>
      </w:divBdr>
    </w:div>
    <w:div w:id="938680655">
      <w:bodyDiv w:val="1"/>
      <w:marLeft w:val="0"/>
      <w:marRight w:val="0"/>
      <w:marTop w:val="0"/>
      <w:marBottom w:val="0"/>
      <w:divBdr>
        <w:top w:val="none" w:sz="0" w:space="0" w:color="auto"/>
        <w:left w:val="none" w:sz="0" w:space="0" w:color="auto"/>
        <w:bottom w:val="none" w:sz="0" w:space="0" w:color="auto"/>
        <w:right w:val="none" w:sz="0" w:space="0" w:color="auto"/>
      </w:divBdr>
    </w:div>
    <w:div w:id="948050876">
      <w:bodyDiv w:val="1"/>
      <w:marLeft w:val="0"/>
      <w:marRight w:val="0"/>
      <w:marTop w:val="0"/>
      <w:marBottom w:val="0"/>
      <w:divBdr>
        <w:top w:val="none" w:sz="0" w:space="0" w:color="auto"/>
        <w:left w:val="none" w:sz="0" w:space="0" w:color="auto"/>
        <w:bottom w:val="none" w:sz="0" w:space="0" w:color="auto"/>
        <w:right w:val="none" w:sz="0" w:space="0" w:color="auto"/>
      </w:divBdr>
    </w:div>
    <w:div w:id="963929907">
      <w:bodyDiv w:val="1"/>
      <w:marLeft w:val="0"/>
      <w:marRight w:val="0"/>
      <w:marTop w:val="0"/>
      <w:marBottom w:val="0"/>
      <w:divBdr>
        <w:top w:val="none" w:sz="0" w:space="0" w:color="auto"/>
        <w:left w:val="none" w:sz="0" w:space="0" w:color="auto"/>
        <w:bottom w:val="none" w:sz="0" w:space="0" w:color="auto"/>
        <w:right w:val="none" w:sz="0" w:space="0" w:color="auto"/>
      </w:divBdr>
    </w:div>
    <w:div w:id="989946800">
      <w:bodyDiv w:val="1"/>
      <w:marLeft w:val="0"/>
      <w:marRight w:val="0"/>
      <w:marTop w:val="0"/>
      <w:marBottom w:val="0"/>
      <w:divBdr>
        <w:top w:val="none" w:sz="0" w:space="0" w:color="auto"/>
        <w:left w:val="none" w:sz="0" w:space="0" w:color="auto"/>
        <w:bottom w:val="none" w:sz="0" w:space="0" w:color="auto"/>
        <w:right w:val="none" w:sz="0" w:space="0" w:color="auto"/>
      </w:divBdr>
    </w:div>
    <w:div w:id="997804690">
      <w:bodyDiv w:val="1"/>
      <w:marLeft w:val="0"/>
      <w:marRight w:val="0"/>
      <w:marTop w:val="0"/>
      <w:marBottom w:val="0"/>
      <w:divBdr>
        <w:top w:val="none" w:sz="0" w:space="0" w:color="auto"/>
        <w:left w:val="none" w:sz="0" w:space="0" w:color="auto"/>
        <w:bottom w:val="none" w:sz="0" w:space="0" w:color="auto"/>
        <w:right w:val="none" w:sz="0" w:space="0" w:color="auto"/>
      </w:divBdr>
    </w:div>
    <w:div w:id="1011689252">
      <w:bodyDiv w:val="1"/>
      <w:marLeft w:val="0"/>
      <w:marRight w:val="0"/>
      <w:marTop w:val="0"/>
      <w:marBottom w:val="0"/>
      <w:divBdr>
        <w:top w:val="none" w:sz="0" w:space="0" w:color="auto"/>
        <w:left w:val="none" w:sz="0" w:space="0" w:color="auto"/>
        <w:bottom w:val="none" w:sz="0" w:space="0" w:color="auto"/>
        <w:right w:val="none" w:sz="0" w:space="0" w:color="auto"/>
      </w:divBdr>
    </w:div>
    <w:div w:id="1039354305">
      <w:bodyDiv w:val="1"/>
      <w:marLeft w:val="0"/>
      <w:marRight w:val="0"/>
      <w:marTop w:val="0"/>
      <w:marBottom w:val="0"/>
      <w:divBdr>
        <w:top w:val="none" w:sz="0" w:space="0" w:color="auto"/>
        <w:left w:val="none" w:sz="0" w:space="0" w:color="auto"/>
        <w:bottom w:val="none" w:sz="0" w:space="0" w:color="auto"/>
        <w:right w:val="none" w:sz="0" w:space="0" w:color="auto"/>
      </w:divBdr>
    </w:div>
    <w:div w:id="1043092041">
      <w:bodyDiv w:val="1"/>
      <w:marLeft w:val="0"/>
      <w:marRight w:val="0"/>
      <w:marTop w:val="0"/>
      <w:marBottom w:val="0"/>
      <w:divBdr>
        <w:top w:val="none" w:sz="0" w:space="0" w:color="auto"/>
        <w:left w:val="none" w:sz="0" w:space="0" w:color="auto"/>
        <w:bottom w:val="none" w:sz="0" w:space="0" w:color="auto"/>
        <w:right w:val="none" w:sz="0" w:space="0" w:color="auto"/>
      </w:divBdr>
    </w:div>
    <w:div w:id="1069184058">
      <w:bodyDiv w:val="1"/>
      <w:marLeft w:val="0"/>
      <w:marRight w:val="0"/>
      <w:marTop w:val="0"/>
      <w:marBottom w:val="0"/>
      <w:divBdr>
        <w:top w:val="none" w:sz="0" w:space="0" w:color="auto"/>
        <w:left w:val="none" w:sz="0" w:space="0" w:color="auto"/>
        <w:bottom w:val="none" w:sz="0" w:space="0" w:color="auto"/>
        <w:right w:val="none" w:sz="0" w:space="0" w:color="auto"/>
      </w:divBdr>
    </w:div>
    <w:div w:id="1072121275">
      <w:bodyDiv w:val="1"/>
      <w:marLeft w:val="0"/>
      <w:marRight w:val="0"/>
      <w:marTop w:val="0"/>
      <w:marBottom w:val="0"/>
      <w:divBdr>
        <w:top w:val="none" w:sz="0" w:space="0" w:color="auto"/>
        <w:left w:val="none" w:sz="0" w:space="0" w:color="auto"/>
        <w:bottom w:val="none" w:sz="0" w:space="0" w:color="auto"/>
        <w:right w:val="none" w:sz="0" w:space="0" w:color="auto"/>
      </w:divBdr>
    </w:div>
    <w:div w:id="1079906755">
      <w:bodyDiv w:val="1"/>
      <w:marLeft w:val="0"/>
      <w:marRight w:val="0"/>
      <w:marTop w:val="0"/>
      <w:marBottom w:val="0"/>
      <w:divBdr>
        <w:top w:val="none" w:sz="0" w:space="0" w:color="auto"/>
        <w:left w:val="none" w:sz="0" w:space="0" w:color="auto"/>
        <w:bottom w:val="none" w:sz="0" w:space="0" w:color="auto"/>
        <w:right w:val="none" w:sz="0" w:space="0" w:color="auto"/>
      </w:divBdr>
    </w:div>
    <w:div w:id="1102066262">
      <w:bodyDiv w:val="1"/>
      <w:marLeft w:val="0"/>
      <w:marRight w:val="0"/>
      <w:marTop w:val="0"/>
      <w:marBottom w:val="0"/>
      <w:divBdr>
        <w:top w:val="none" w:sz="0" w:space="0" w:color="auto"/>
        <w:left w:val="none" w:sz="0" w:space="0" w:color="auto"/>
        <w:bottom w:val="none" w:sz="0" w:space="0" w:color="auto"/>
        <w:right w:val="none" w:sz="0" w:space="0" w:color="auto"/>
      </w:divBdr>
    </w:div>
    <w:div w:id="1107191714">
      <w:bodyDiv w:val="1"/>
      <w:marLeft w:val="0"/>
      <w:marRight w:val="0"/>
      <w:marTop w:val="0"/>
      <w:marBottom w:val="0"/>
      <w:divBdr>
        <w:top w:val="none" w:sz="0" w:space="0" w:color="auto"/>
        <w:left w:val="none" w:sz="0" w:space="0" w:color="auto"/>
        <w:bottom w:val="none" w:sz="0" w:space="0" w:color="auto"/>
        <w:right w:val="none" w:sz="0" w:space="0" w:color="auto"/>
      </w:divBdr>
    </w:div>
    <w:div w:id="1112825465">
      <w:bodyDiv w:val="1"/>
      <w:marLeft w:val="0"/>
      <w:marRight w:val="0"/>
      <w:marTop w:val="0"/>
      <w:marBottom w:val="0"/>
      <w:divBdr>
        <w:top w:val="none" w:sz="0" w:space="0" w:color="auto"/>
        <w:left w:val="none" w:sz="0" w:space="0" w:color="auto"/>
        <w:bottom w:val="none" w:sz="0" w:space="0" w:color="auto"/>
        <w:right w:val="none" w:sz="0" w:space="0" w:color="auto"/>
      </w:divBdr>
    </w:div>
    <w:div w:id="1118642046">
      <w:bodyDiv w:val="1"/>
      <w:marLeft w:val="0"/>
      <w:marRight w:val="0"/>
      <w:marTop w:val="0"/>
      <w:marBottom w:val="0"/>
      <w:divBdr>
        <w:top w:val="none" w:sz="0" w:space="0" w:color="auto"/>
        <w:left w:val="none" w:sz="0" w:space="0" w:color="auto"/>
        <w:bottom w:val="none" w:sz="0" w:space="0" w:color="auto"/>
        <w:right w:val="none" w:sz="0" w:space="0" w:color="auto"/>
      </w:divBdr>
    </w:div>
    <w:div w:id="1149782453">
      <w:bodyDiv w:val="1"/>
      <w:marLeft w:val="0"/>
      <w:marRight w:val="0"/>
      <w:marTop w:val="0"/>
      <w:marBottom w:val="0"/>
      <w:divBdr>
        <w:top w:val="none" w:sz="0" w:space="0" w:color="auto"/>
        <w:left w:val="none" w:sz="0" w:space="0" w:color="auto"/>
        <w:bottom w:val="none" w:sz="0" w:space="0" w:color="auto"/>
        <w:right w:val="none" w:sz="0" w:space="0" w:color="auto"/>
      </w:divBdr>
    </w:div>
    <w:div w:id="1171988352">
      <w:bodyDiv w:val="1"/>
      <w:marLeft w:val="0"/>
      <w:marRight w:val="0"/>
      <w:marTop w:val="0"/>
      <w:marBottom w:val="0"/>
      <w:divBdr>
        <w:top w:val="none" w:sz="0" w:space="0" w:color="auto"/>
        <w:left w:val="none" w:sz="0" w:space="0" w:color="auto"/>
        <w:bottom w:val="none" w:sz="0" w:space="0" w:color="auto"/>
        <w:right w:val="none" w:sz="0" w:space="0" w:color="auto"/>
      </w:divBdr>
    </w:div>
    <w:div w:id="1176382756">
      <w:bodyDiv w:val="1"/>
      <w:marLeft w:val="0"/>
      <w:marRight w:val="0"/>
      <w:marTop w:val="0"/>
      <w:marBottom w:val="0"/>
      <w:divBdr>
        <w:top w:val="none" w:sz="0" w:space="0" w:color="auto"/>
        <w:left w:val="none" w:sz="0" w:space="0" w:color="auto"/>
        <w:bottom w:val="none" w:sz="0" w:space="0" w:color="auto"/>
        <w:right w:val="none" w:sz="0" w:space="0" w:color="auto"/>
      </w:divBdr>
    </w:div>
    <w:div w:id="1180658445">
      <w:bodyDiv w:val="1"/>
      <w:marLeft w:val="0"/>
      <w:marRight w:val="0"/>
      <w:marTop w:val="0"/>
      <w:marBottom w:val="0"/>
      <w:divBdr>
        <w:top w:val="none" w:sz="0" w:space="0" w:color="auto"/>
        <w:left w:val="none" w:sz="0" w:space="0" w:color="auto"/>
        <w:bottom w:val="none" w:sz="0" w:space="0" w:color="auto"/>
        <w:right w:val="none" w:sz="0" w:space="0" w:color="auto"/>
      </w:divBdr>
    </w:div>
    <w:div w:id="1203399357">
      <w:bodyDiv w:val="1"/>
      <w:marLeft w:val="0"/>
      <w:marRight w:val="0"/>
      <w:marTop w:val="0"/>
      <w:marBottom w:val="0"/>
      <w:divBdr>
        <w:top w:val="none" w:sz="0" w:space="0" w:color="auto"/>
        <w:left w:val="none" w:sz="0" w:space="0" w:color="auto"/>
        <w:bottom w:val="none" w:sz="0" w:space="0" w:color="auto"/>
        <w:right w:val="none" w:sz="0" w:space="0" w:color="auto"/>
      </w:divBdr>
    </w:div>
    <w:div w:id="1222253156">
      <w:bodyDiv w:val="1"/>
      <w:marLeft w:val="0"/>
      <w:marRight w:val="0"/>
      <w:marTop w:val="0"/>
      <w:marBottom w:val="0"/>
      <w:divBdr>
        <w:top w:val="none" w:sz="0" w:space="0" w:color="auto"/>
        <w:left w:val="none" w:sz="0" w:space="0" w:color="auto"/>
        <w:bottom w:val="none" w:sz="0" w:space="0" w:color="auto"/>
        <w:right w:val="none" w:sz="0" w:space="0" w:color="auto"/>
      </w:divBdr>
    </w:div>
    <w:div w:id="1225145363">
      <w:bodyDiv w:val="1"/>
      <w:marLeft w:val="0"/>
      <w:marRight w:val="0"/>
      <w:marTop w:val="0"/>
      <w:marBottom w:val="0"/>
      <w:divBdr>
        <w:top w:val="none" w:sz="0" w:space="0" w:color="auto"/>
        <w:left w:val="none" w:sz="0" w:space="0" w:color="auto"/>
        <w:bottom w:val="none" w:sz="0" w:space="0" w:color="auto"/>
        <w:right w:val="none" w:sz="0" w:space="0" w:color="auto"/>
      </w:divBdr>
    </w:div>
    <w:div w:id="1235815826">
      <w:bodyDiv w:val="1"/>
      <w:marLeft w:val="0"/>
      <w:marRight w:val="0"/>
      <w:marTop w:val="0"/>
      <w:marBottom w:val="0"/>
      <w:divBdr>
        <w:top w:val="none" w:sz="0" w:space="0" w:color="auto"/>
        <w:left w:val="none" w:sz="0" w:space="0" w:color="auto"/>
        <w:bottom w:val="none" w:sz="0" w:space="0" w:color="auto"/>
        <w:right w:val="none" w:sz="0" w:space="0" w:color="auto"/>
      </w:divBdr>
    </w:div>
    <w:div w:id="1240561200">
      <w:bodyDiv w:val="1"/>
      <w:marLeft w:val="0"/>
      <w:marRight w:val="0"/>
      <w:marTop w:val="0"/>
      <w:marBottom w:val="0"/>
      <w:divBdr>
        <w:top w:val="none" w:sz="0" w:space="0" w:color="auto"/>
        <w:left w:val="none" w:sz="0" w:space="0" w:color="auto"/>
        <w:bottom w:val="none" w:sz="0" w:space="0" w:color="auto"/>
        <w:right w:val="none" w:sz="0" w:space="0" w:color="auto"/>
      </w:divBdr>
    </w:div>
    <w:div w:id="1244223068">
      <w:bodyDiv w:val="1"/>
      <w:marLeft w:val="0"/>
      <w:marRight w:val="0"/>
      <w:marTop w:val="0"/>
      <w:marBottom w:val="0"/>
      <w:divBdr>
        <w:top w:val="none" w:sz="0" w:space="0" w:color="auto"/>
        <w:left w:val="none" w:sz="0" w:space="0" w:color="auto"/>
        <w:bottom w:val="none" w:sz="0" w:space="0" w:color="auto"/>
        <w:right w:val="none" w:sz="0" w:space="0" w:color="auto"/>
      </w:divBdr>
    </w:div>
    <w:div w:id="1269893082">
      <w:bodyDiv w:val="1"/>
      <w:marLeft w:val="0"/>
      <w:marRight w:val="0"/>
      <w:marTop w:val="0"/>
      <w:marBottom w:val="0"/>
      <w:divBdr>
        <w:top w:val="none" w:sz="0" w:space="0" w:color="auto"/>
        <w:left w:val="none" w:sz="0" w:space="0" w:color="auto"/>
        <w:bottom w:val="none" w:sz="0" w:space="0" w:color="auto"/>
        <w:right w:val="none" w:sz="0" w:space="0" w:color="auto"/>
      </w:divBdr>
    </w:div>
    <w:div w:id="1287664448">
      <w:bodyDiv w:val="1"/>
      <w:marLeft w:val="0"/>
      <w:marRight w:val="0"/>
      <w:marTop w:val="0"/>
      <w:marBottom w:val="0"/>
      <w:divBdr>
        <w:top w:val="none" w:sz="0" w:space="0" w:color="auto"/>
        <w:left w:val="none" w:sz="0" w:space="0" w:color="auto"/>
        <w:bottom w:val="none" w:sz="0" w:space="0" w:color="auto"/>
        <w:right w:val="none" w:sz="0" w:space="0" w:color="auto"/>
      </w:divBdr>
    </w:div>
    <w:div w:id="1289779039">
      <w:bodyDiv w:val="1"/>
      <w:marLeft w:val="0"/>
      <w:marRight w:val="0"/>
      <w:marTop w:val="0"/>
      <w:marBottom w:val="0"/>
      <w:divBdr>
        <w:top w:val="none" w:sz="0" w:space="0" w:color="auto"/>
        <w:left w:val="none" w:sz="0" w:space="0" w:color="auto"/>
        <w:bottom w:val="none" w:sz="0" w:space="0" w:color="auto"/>
        <w:right w:val="none" w:sz="0" w:space="0" w:color="auto"/>
      </w:divBdr>
    </w:div>
    <w:div w:id="1291518418">
      <w:bodyDiv w:val="1"/>
      <w:marLeft w:val="0"/>
      <w:marRight w:val="0"/>
      <w:marTop w:val="0"/>
      <w:marBottom w:val="0"/>
      <w:divBdr>
        <w:top w:val="none" w:sz="0" w:space="0" w:color="auto"/>
        <w:left w:val="none" w:sz="0" w:space="0" w:color="auto"/>
        <w:bottom w:val="none" w:sz="0" w:space="0" w:color="auto"/>
        <w:right w:val="none" w:sz="0" w:space="0" w:color="auto"/>
      </w:divBdr>
    </w:div>
    <w:div w:id="1301694263">
      <w:bodyDiv w:val="1"/>
      <w:marLeft w:val="0"/>
      <w:marRight w:val="0"/>
      <w:marTop w:val="0"/>
      <w:marBottom w:val="0"/>
      <w:divBdr>
        <w:top w:val="none" w:sz="0" w:space="0" w:color="auto"/>
        <w:left w:val="none" w:sz="0" w:space="0" w:color="auto"/>
        <w:bottom w:val="none" w:sz="0" w:space="0" w:color="auto"/>
        <w:right w:val="none" w:sz="0" w:space="0" w:color="auto"/>
      </w:divBdr>
    </w:div>
    <w:div w:id="1303386135">
      <w:bodyDiv w:val="1"/>
      <w:marLeft w:val="0"/>
      <w:marRight w:val="0"/>
      <w:marTop w:val="0"/>
      <w:marBottom w:val="0"/>
      <w:divBdr>
        <w:top w:val="none" w:sz="0" w:space="0" w:color="auto"/>
        <w:left w:val="none" w:sz="0" w:space="0" w:color="auto"/>
        <w:bottom w:val="none" w:sz="0" w:space="0" w:color="auto"/>
        <w:right w:val="none" w:sz="0" w:space="0" w:color="auto"/>
      </w:divBdr>
    </w:div>
    <w:div w:id="1308973322">
      <w:bodyDiv w:val="1"/>
      <w:marLeft w:val="0"/>
      <w:marRight w:val="0"/>
      <w:marTop w:val="0"/>
      <w:marBottom w:val="0"/>
      <w:divBdr>
        <w:top w:val="none" w:sz="0" w:space="0" w:color="auto"/>
        <w:left w:val="none" w:sz="0" w:space="0" w:color="auto"/>
        <w:bottom w:val="none" w:sz="0" w:space="0" w:color="auto"/>
        <w:right w:val="none" w:sz="0" w:space="0" w:color="auto"/>
      </w:divBdr>
    </w:div>
    <w:div w:id="1317950565">
      <w:bodyDiv w:val="1"/>
      <w:marLeft w:val="0"/>
      <w:marRight w:val="0"/>
      <w:marTop w:val="0"/>
      <w:marBottom w:val="0"/>
      <w:divBdr>
        <w:top w:val="none" w:sz="0" w:space="0" w:color="auto"/>
        <w:left w:val="none" w:sz="0" w:space="0" w:color="auto"/>
        <w:bottom w:val="none" w:sz="0" w:space="0" w:color="auto"/>
        <w:right w:val="none" w:sz="0" w:space="0" w:color="auto"/>
      </w:divBdr>
    </w:div>
    <w:div w:id="1331592212">
      <w:bodyDiv w:val="1"/>
      <w:marLeft w:val="0"/>
      <w:marRight w:val="0"/>
      <w:marTop w:val="0"/>
      <w:marBottom w:val="0"/>
      <w:divBdr>
        <w:top w:val="none" w:sz="0" w:space="0" w:color="auto"/>
        <w:left w:val="none" w:sz="0" w:space="0" w:color="auto"/>
        <w:bottom w:val="none" w:sz="0" w:space="0" w:color="auto"/>
        <w:right w:val="none" w:sz="0" w:space="0" w:color="auto"/>
      </w:divBdr>
    </w:div>
    <w:div w:id="1368870202">
      <w:bodyDiv w:val="1"/>
      <w:marLeft w:val="0"/>
      <w:marRight w:val="0"/>
      <w:marTop w:val="0"/>
      <w:marBottom w:val="0"/>
      <w:divBdr>
        <w:top w:val="none" w:sz="0" w:space="0" w:color="auto"/>
        <w:left w:val="none" w:sz="0" w:space="0" w:color="auto"/>
        <w:bottom w:val="none" w:sz="0" w:space="0" w:color="auto"/>
        <w:right w:val="none" w:sz="0" w:space="0" w:color="auto"/>
      </w:divBdr>
    </w:div>
    <w:div w:id="1376734137">
      <w:bodyDiv w:val="1"/>
      <w:marLeft w:val="0"/>
      <w:marRight w:val="0"/>
      <w:marTop w:val="0"/>
      <w:marBottom w:val="0"/>
      <w:divBdr>
        <w:top w:val="none" w:sz="0" w:space="0" w:color="auto"/>
        <w:left w:val="none" w:sz="0" w:space="0" w:color="auto"/>
        <w:bottom w:val="none" w:sz="0" w:space="0" w:color="auto"/>
        <w:right w:val="none" w:sz="0" w:space="0" w:color="auto"/>
      </w:divBdr>
    </w:div>
    <w:div w:id="1381856416">
      <w:bodyDiv w:val="1"/>
      <w:marLeft w:val="0"/>
      <w:marRight w:val="0"/>
      <w:marTop w:val="0"/>
      <w:marBottom w:val="0"/>
      <w:divBdr>
        <w:top w:val="none" w:sz="0" w:space="0" w:color="auto"/>
        <w:left w:val="none" w:sz="0" w:space="0" w:color="auto"/>
        <w:bottom w:val="none" w:sz="0" w:space="0" w:color="auto"/>
        <w:right w:val="none" w:sz="0" w:space="0" w:color="auto"/>
      </w:divBdr>
    </w:div>
    <w:div w:id="1403288727">
      <w:bodyDiv w:val="1"/>
      <w:marLeft w:val="0"/>
      <w:marRight w:val="0"/>
      <w:marTop w:val="0"/>
      <w:marBottom w:val="0"/>
      <w:divBdr>
        <w:top w:val="none" w:sz="0" w:space="0" w:color="auto"/>
        <w:left w:val="none" w:sz="0" w:space="0" w:color="auto"/>
        <w:bottom w:val="none" w:sz="0" w:space="0" w:color="auto"/>
        <w:right w:val="none" w:sz="0" w:space="0" w:color="auto"/>
      </w:divBdr>
    </w:div>
    <w:div w:id="1413502279">
      <w:bodyDiv w:val="1"/>
      <w:marLeft w:val="0"/>
      <w:marRight w:val="0"/>
      <w:marTop w:val="0"/>
      <w:marBottom w:val="0"/>
      <w:divBdr>
        <w:top w:val="none" w:sz="0" w:space="0" w:color="auto"/>
        <w:left w:val="none" w:sz="0" w:space="0" w:color="auto"/>
        <w:bottom w:val="none" w:sz="0" w:space="0" w:color="auto"/>
        <w:right w:val="none" w:sz="0" w:space="0" w:color="auto"/>
      </w:divBdr>
    </w:div>
    <w:div w:id="1420908309">
      <w:bodyDiv w:val="1"/>
      <w:marLeft w:val="0"/>
      <w:marRight w:val="0"/>
      <w:marTop w:val="0"/>
      <w:marBottom w:val="0"/>
      <w:divBdr>
        <w:top w:val="none" w:sz="0" w:space="0" w:color="auto"/>
        <w:left w:val="none" w:sz="0" w:space="0" w:color="auto"/>
        <w:bottom w:val="none" w:sz="0" w:space="0" w:color="auto"/>
        <w:right w:val="none" w:sz="0" w:space="0" w:color="auto"/>
      </w:divBdr>
    </w:div>
    <w:div w:id="1422413095">
      <w:bodyDiv w:val="1"/>
      <w:marLeft w:val="0"/>
      <w:marRight w:val="0"/>
      <w:marTop w:val="0"/>
      <w:marBottom w:val="0"/>
      <w:divBdr>
        <w:top w:val="none" w:sz="0" w:space="0" w:color="auto"/>
        <w:left w:val="none" w:sz="0" w:space="0" w:color="auto"/>
        <w:bottom w:val="none" w:sz="0" w:space="0" w:color="auto"/>
        <w:right w:val="none" w:sz="0" w:space="0" w:color="auto"/>
      </w:divBdr>
    </w:div>
    <w:div w:id="1425225189">
      <w:bodyDiv w:val="1"/>
      <w:marLeft w:val="0"/>
      <w:marRight w:val="0"/>
      <w:marTop w:val="0"/>
      <w:marBottom w:val="0"/>
      <w:divBdr>
        <w:top w:val="none" w:sz="0" w:space="0" w:color="auto"/>
        <w:left w:val="none" w:sz="0" w:space="0" w:color="auto"/>
        <w:bottom w:val="none" w:sz="0" w:space="0" w:color="auto"/>
        <w:right w:val="none" w:sz="0" w:space="0" w:color="auto"/>
      </w:divBdr>
    </w:div>
    <w:div w:id="1428379452">
      <w:bodyDiv w:val="1"/>
      <w:marLeft w:val="0"/>
      <w:marRight w:val="0"/>
      <w:marTop w:val="0"/>
      <w:marBottom w:val="0"/>
      <w:divBdr>
        <w:top w:val="none" w:sz="0" w:space="0" w:color="auto"/>
        <w:left w:val="none" w:sz="0" w:space="0" w:color="auto"/>
        <w:bottom w:val="none" w:sz="0" w:space="0" w:color="auto"/>
        <w:right w:val="none" w:sz="0" w:space="0" w:color="auto"/>
      </w:divBdr>
    </w:div>
    <w:div w:id="1429884438">
      <w:bodyDiv w:val="1"/>
      <w:marLeft w:val="0"/>
      <w:marRight w:val="0"/>
      <w:marTop w:val="0"/>
      <w:marBottom w:val="0"/>
      <w:divBdr>
        <w:top w:val="none" w:sz="0" w:space="0" w:color="auto"/>
        <w:left w:val="none" w:sz="0" w:space="0" w:color="auto"/>
        <w:bottom w:val="none" w:sz="0" w:space="0" w:color="auto"/>
        <w:right w:val="none" w:sz="0" w:space="0" w:color="auto"/>
      </w:divBdr>
    </w:div>
    <w:div w:id="1452237086">
      <w:bodyDiv w:val="1"/>
      <w:marLeft w:val="0"/>
      <w:marRight w:val="0"/>
      <w:marTop w:val="0"/>
      <w:marBottom w:val="0"/>
      <w:divBdr>
        <w:top w:val="none" w:sz="0" w:space="0" w:color="auto"/>
        <w:left w:val="none" w:sz="0" w:space="0" w:color="auto"/>
        <w:bottom w:val="none" w:sz="0" w:space="0" w:color="auto"/>
        <w:right w:val="none" w:sz="0" w:space="0" w:color="auto"/>
      </w:divBdr>
    </w:div>
    <w:div w:id="1470241106">
      <w:bodyDiv w:val="1"/>
      <w:marLeft w:val="0"/>
      <w:marRight w:val="0"/>
      <w:marTop w:val="0"/>
      <w:marBottom w:val="0"/>
      <w:divBdr>
        <w:top w:val="none" w:sz="0" w:space="0" w:color="auto"/>
        <w:left w:val="none" w:sz="0" w:space="0" w:color="auto"/>
        <w:bottom w:val="none" w:sz="0" w:space="0" w:color="auto"/>
        <w:right w:val="none" w:sz="0" w:space="0" w:color="auto"/>
      </w:divBdr>
    </w:div>
    <w:div w:id="1472941736">
      <w:bodyDiv w:val="1"/>
      <w:marLeft w:val="0"/>
      <w:marRight w:val="0"/>
      <w:marTop w:val="0"/>
      <w:marBottom w:val="0"/>
      <w:divBdr>
        <w:top w:val="none" w:sz="0" w:space="0" w:color="auto"/>
        <w:left w:val="none" w:sz="0" w:space="0" w:color="auto"/>
        <w:bottom w:val="none" w:sz="0" w:space="0" w:color="auto"/>
        <w:right w:val="none" w:sz="0" w:space="0" w:color="auto"/>
      </w:divBdr>
      <w:divsChild>
        <w:div w:id="1192185186">
          <w:marLeft w:val="0"/>
          <w:marRight w:val="0"/>
          <w:marTop w:val="0"/>
          <w:marBottom w:val="0"/>
          <w:divBdr>
            <w:top w:val="none" w:sz="0" w:space="0" w:color="auto"/>
            <w:left w:val="none" w:sz="0" w:space="0" w:color="auto"/>
            <w:bottom w:val="none" w:sz="0" w:space="0" w:color="auto"/>
            <w:right w:val="none" w:sz="0" w:space="0" w:color="auto"/>
          </w:divBdr>
          <w:divsChild>
            <w:div w:id="68460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600357">
      <w:bodyDiv w:val="1"/>
      <w:marLeft w:val="0"/>
      <w:marRight w:val="0"/>
      <w:marTop w:val="0"/>
      <w:marBottom w:val="0"/>
      <w:divBdr>
        <w:top w:val="none" w:sz="0" w:space="0" w:color="auto"/>
        <w:left w:val="none" w:sz="0" w:space="0" w:color="auto"/>
        <w:bottom w:val="none" w:sz="0" w:space="0" w:color="auto"/>
        <w:right w:val="none" w:sz="0" w:space="0" w:color="auto"/>
      </w:divBdr>
    </w:div>
    <w:div w:id="1481196417">
      <w:bodyDiv w:val="1"/>
      <w:marLeft w:val="0"/>
      <w:marRight w:val="0"/>
      <w:marTop w:val="0"/>
      <w:marBottom w:val="0"/>
      <w:divBdr>
        <w:top w:val="none" w:sz="0" w:space="0" w:color="auto"/>
        <w:left w:val="none" w:sz="0" w:space="0" w:color="auto"/>
        <w:bottom w:val="none" w:sz="0" w:space="0" w:color="auto"/>
        <w:right w:val="none" w:sz="0" w:space="0" w:color="auto"/>
      </w:divBdr>
    </w:div>
    <w:div w:id="1486431726">
      <w:bodyDiv w:val="1"/>
      <w:marLeft w:val="0"/>
      <w:marRight w:val="0"/>
      <w:marTop w:val="0"/>
      <w:marBottom w:val="0"/>
      <w:divBdr>
        <w:top w:val="none" w:sz="0" w:space="0" w:color="auto"/>
        <w:left w:val="none" w:sz="0" w:space="0" w:color="auto"/>
        <w:bottom w:val="none" w:sz="0" w:space="0" w:color="auto"/>
        <w:right w:val="none" w:sz="0" w:space="0" w:color="auto"/>
      </w:divBdr>
    </w:div>
    <w:div w:id="1494836956">
      <w:bodyDiv w:val="1"/>
      <w:marLeft w:val="0"/>
      <w:marRight w:val="0"/>
      <w:marTop w:val="0"/>
      <w:marBottom w:val="0"/>
      <w:divBdr>
        <w:top w:val="none" w:sz="0" w:space="0" w:color="auto"/>
        <w:left w:val="none" w:sz="0" w:space="0" w:color="auto"/>
        <w:bottom w:val="none" w:sz="0" w:space="0" w:color="auto"/>
        <w:right w:val="none" w:sz="0" w:space="0" w:color="auto"/>
      </w:divBdr>
    </w:div>
    <w:div w:id="1509901174">
      <w:bodyDiv w:val="1"/>
      <w:marLeft w:val="0"/>
      <w:marRight w:val="0"/>
      <w:marTop w:val="0"/>
      <w:marBottom w:val="0"/>
      <w:divBdr>
        <w:top w:val="none" w:sz="0" w:space="0" w:color="auto"/>
        <w:left w:val="none" w:sz="0" w:space="0" w:color="auto"/>
        <w:bottom w:val="none" w:sz="0" w:space="0" w:color="auto"/>
        <w:right w:val="none" w:sz="0" w:space="0" w:color="auto"/>
      </w:divBdr>
    </w:div>
    <w:div w:id="1510676043">
      <w:bodyDiv w:val="1"/>
      <w:marLeft w:val="0"/>
      <w:marRight w:val="0"/>
      <w:marTop w:val="0"/>
      <w:marBottom w:val="0"/>
      <w:divBdr>
        <w:top w:val="none" w:sz="0" w:space="0" w:color="auto"/>
        <w:left w:val="none" w:sz="0" w:space="0" w:color="auto"/>
        <w:bottom w:val="none" w:sz="0" w:space="0" w:color="auto"/>
        <w:right w:val="none" w:sz="0" w:space="0" w:color="auto"/>
      </w:divBdr>
    </w:div>
    <w:div w:id="1530682346">
      <w:bodyDiv w:val="1"/>
      <w:marLeft w:val="0"/>
      <w:marRight w:val="0"/>
      <w:marTop w:val="0"/>
      <w:marBottom w:val="0"/>
      <w:divBdr>
        <w:top w:val="none" w:sz="0" w:space="0" w:color="auto"/>
        <w:left w:val="none" w:sz="0" w:space="0" w:color="auto"/>
        <w:bottom w:val="none" w:sz="0" w:space="0" w:color="auto"/>
        <w:right w:val="none" w:sz="0" w:space="0" w:color="auto"/>
      </w:divBdr>
    </w:div>
    <w:div w:id="1534615697">
      <w:bodyDiv w:val="1"/>
      <w:marLeft w:val="0"/>
      <w:marRight w:val="0"/>
      <w:marTop w:val="0"/>
      <w:marBottom w:val="0"/>
      <w:divBdr>
        <w:top w:val="none" w:sz="0" w:space="0" w:color="auto"/>
        <w:left w:val="none" w:sz="0" w:space="0" w:color="auto"/>
        <w:bottom w:val="none" w:sz="0" w:space="0" w:color="auto"/>
        <w:right w:val="none" w:sz="0" w:space="0" w:color="auto"/>
      </w:divBdr>
    </w:div>
    <w:div w:id="1543519088">
      <w:bodyDiv w:val="1"/>
      <w:marLeft w:val="0"/>
      <w:marRight w:val="0"/>
      <w:marTop w:val="0"/>
      <w:marBottom w:val="0"/>
      <w:divBdr>
        <w:top w:val="none" w:sz="0" w:space="0" w:color="auto"/>
        <w:left w:val="none" w:sz="0" w:space="0" w:color="auto"/>
        <w:bottom w:val="none" w:sz="0" w:space="0" w:color="auto"/>
        <w:right w:val="none" w:sz="0" w:space="0" w:color="auto"/>
      </w:divBdr>
    </w:div>
    <w:div w:id="1554845664">
      <w:bodyDiv w:val="1"/>
      <w:marLeft w:val="0"/>
      <w:marRight w:val="0"/>
      <w:marTop w:val="0"/>
      <w:marBottom w:val="0"/>
      <w:divBdr>
        <w:top w:val="none" w:sz="0" w:space="0" w:color="auto"/>
        <w:left w:val="none" w:sz="0" w:space="0" w:color="auto"/>
        <w:bottom w:val="none" w:sz="0" w:space="0" w:color="auto"/>
        <w:right w:val="none" w:sz="0" w:space="0" w:color="auto"/>
      </w:divBdr>
    </w:div>
    <w:div w:id="1556504662">
      <w:bodyDiv w:val="1"/>
      <w:marLeft w:val="0"/>
      <w:marRight w:val="0"/>
      <w:marTop w:val="0"/>
      <w:marBottom w:val="0"/>
      <w:divBdr>
        <w:top w:val="none" w:sz="0" w:space="0" w:color="auto"/>
        <w:left w:val="none" w:sz="0" w:space="0" w:color="auto"/>
        <w:bottom w:val="none" w:sz="0" w:space="0" w:color="auto"/>
        <w:right w:val="none" w:sz="0" w:space="0" w:color="auto"/>
      </w:divBdr>
    </w:div>
    <w:div w:id="1560899765">
      <w:bodyDiv w:val="1"/>
      <w:marLeft w:val="0"/>
      <w:marRight w:val="0"/>
      <w:marTop w:val="0"/>
      <w:marBottom w:val="0"/>
      <w:divBdr>
        <w:top w:val="none" w:sz="0" w:space="0" w:color="auto"/>
        <w:left w:val="none" w:sz="0" w:space="0" w:color="auto"/>
        <w:bottom w:val="none" w:sz="0" w:space="0" w:color="auto"/>
        <w:right w:val="none" w:sz="0" w:space="0" w:color="auto"/>
      </w:divBdr>
    </w:div>
    <w:div w:id="1567952964">
      <w:bodyDiv w:val="1"/>
      <w:marLeft w:val="0"/>
      <w:marRight w:val="0"/>
      <w:marTop w:val="0"/>
      <w:marBottom w:val="0"/>
      <w:divBdr>
        <w:top w:val="none" w:sz="0" w:space="0" w:color="auto"/>
        <w:left w:val="none" w:sz="0" w:space="0" w:color="auto"/>
        <w:bottom w:val="none" w:sz="0" w:space="0" w:color="auto"/>
        <w:right w:val="none" w:sz="0" w:space="0" w:color="auto"/>
      </w:divBdr>
    </w:div>
    <w:div w:id="1573615877">
      <w:bodyDiv w:val="1"/>
      <w:marLeft w:val="0"/>
      <w:marRight w:val="0"/>
      <w:marTop w:val="0"/>
      <w:marBottom w:val="0"/>
      <w:divBdr>
        <w:top w:val="none" w:sz="0" w:space="0" w:color="auto"/>
        <w:left w:val="none" w:sz="0" w:space="0" w:color="auto"/>
        <w:bottom w:val="none" w:sz="0" w:space="0" w:color="auto"/>
        <w:right w:val="none" w:sz="0" w:space="0" w:color="auto"/>
      </w:divBdr>
    </w:div>
    <w:div w:id="1578242913">
      <w:bodyDiv w:val="1"/>
      <w:marLeft w:val="0"/>
      <w:marRight w:val="0"/>
      <w:marTop w:val="0"/>
      <w:marBottom w:val="0"/>
      <w:divBdr>
        <w:top w:val="none" w:sz="0" w:space="0" w:color="auto"/>
        <w:left w:val="none" w:sz="0" w:space="0" w:color="auto"/>
        <w:bottom w:val="none" w:sz="0" w:space="0" w:color="auto"/>
        <w:right w:val="none" w:sz="0" w:space="0" w:color="auto"/>
      </w:divBdr>
    </w:div>
    <w:div w:id="1588416971">
      <w:bodyDiv w:val="1"/>
      <w:marLeft w:val="0"/>
      <w:marRight w:val="0"/>
      <w:marTop w:val="0"/>
      <w:marBottom w:val="0"/>
      <w:divBdr>
        <w:top w:val="none" w:sz="0" w:space="0" w:color="auto"/>
        <w:left w:val="none" w:sz="0" w:space="0" w:color="auto"/>
        <w:bottom w:val="none" w:sz="0" w:space="0" w:color="auto"/>
        <w:right w:val="none" w:sz="0" w:space="0" w:color="auto"/>
      </w:divBdr>
    </w:div>
    <w:div w:id="1595431659">
      <w:bodyDiv w:val="1"/>
      <w:marLeft w:val="0"/>
      <w:marRight w:val="0"/>
      <w:marTop w:val="0"/>
      <w:marBottom w:val="0"/>
      <w:divBdr>
        <w:top w:val="none" w:sz="0" w:space="0" w:color="auto"/>
        <w:left w:val="none" w:sz="0" w:space="0" w:color="auto"/>
        <w:bottom w:val="none" w:sz="0" w:space="0" w:color="auto"/>
        <w:right w:val="none" w:sz="0" w:space="0" w:color="auto"/>
      </w:divBdr>
    </w:div>
    <w:div w:id="1612742331">
      <w:bodyDiv w:val="1"/>
      <w:marLeft w:val="0"/>
      <w:marRight w:val="0"/>
      <w:marTop w:val="0"/>
      <w:marBottom w:val="0"/>
      <w:divBdr>
        <w:top w:val="none" w:sz="0" w:space="0" w:color="auto"/>
        <w:left w:val="none" w:sz="0" w:space="0" w:color="auto"/>
        <w:bottom w:val="none" w:sz="0" w:space="0" w:color="auto"/>
        <w:right w:val="none" w:sz="0" w:space="0" w:color="auto"/>
      </w:divBdr>
    </w:div>
    <w:div w:id="1633556576">
      <w:bodyDiv w:val="1"/>
      <w:marLeft w:val="0"/>
      <w:marRight w:val="0"/>
      <w:marTop w:val="0"/>
      <w:marBottom w:val="0"/>
      <w:divBdr>
        <w:top w:val="none" w:sz="0" w:space="0" w:color="auto"/>
        <w:left w:val="none" w:sz="0" w:space="0" w:color="auto"/>
        <w:bottom w:val="none" w:sz="0" w:space="0" w:color="auto"/>
        <w:right w:val="none" w:sz="0" w:space="0" w:color="auto"/>
      </w:divBdr>
    </w:div>
    <w:div w:id="1637225692">
      <w:bodyDiv w:val="1"/>
      <w:marLeft w:val="0"/>
      <w:marRight w:val="0"/>
      <w:marTop w:val="0"/>
      <w:marBottom w:val="0"/>
      <w:divBdr>
        <w:top w:val="none" w:sz="0" w:space="0" w:color="auto"/>
        <w:left w:val="none" w:sz="0" w:space="0" w:color="auto"/>
        <w:bottom w:val="none" w:sz="0" w:space="0" w:color="auto"/>
        <w:right w:val="none" w:sz="0" w:space="0" w:color="auto"/>
      </w:divBdr>
    </w:div>
    <w:div w:id="1657342381">
      <w:bodyDiv w:val="1"/>
      <w:marLeft w:val="0"/>
      <w:marRight w:val="0"/>
      <w:marTop w:val="0"/>
      <w:marBottom w:val="0"/>
      <w:divBdr>
        <w:top w:val="none" w:sz="0" w:space="0" w:color="auto"/>
        <w:left w:val="none" w:sz="0" w:space="0" w:color="auto"/>
        <w:bottom w:val="none" w:sz="0" w:space="0" w:color="auto"/>
        <w:right w:val="none" w:sz="0" w:space="0" w:color="auto"/>
      </w:divBdr>
    </w:div>
    <w:div w:id="1702317672">
      <w:bodyDiv w:val="1"/>
      <w:marLeft w:val="0"/>
      <w:marRight w:val="0"/>
      <w:marTop w:val="0"/>
      <w:marBottom w:val="0"/>
      <w:divBdr>
        <w:top w:val="none" w:sz="0" w:space="0" w:color="auto"/>
        <w:left w:val="none" w:sz="0" w:space="0" w:color="auto"/>
        <w:bottom w:val="none" w:sz="0" w:space="0" w:color="auto"/>
        <w:right w:val="none" w:sz="0" w:space="0" w:color="auto"/>
      </w:divBdr>
    </w:div>
    <w:div w:id="1708752298">
      <w:bodyDiv w:val="1"/>
      <w:marLeft w:val="0"/>
      <w:marRight w:val="0"/>
      <w:marTop w:val="0"/>
      <w:marBottom w:val="0"/>
      <w:divBdr>
        <w:top w:val="none" w:sz="0" w:space="0" w:color="auto"/>
        <w:left w:val="none" w:sz="0" w:space="0" w:color="auto"/>
        <w:bottom w:val="none" w:sz="0" w:space="0" w:color="auto"/>
        <w:right w:val="none" w:sz="0" w:space="0" w:color="auto"/>
      </w:divBdr>
    </w:div>
    <w:div w:id="1734506420">
      <w:bodyDiv w:val="1"/>
      <w:marLeft w:val="0"/>
      <w:marRight w:val="0"/>
      <w:marTop w:val="0"/>
      <w:marBottom w:val="0"/>
      <w:divBdr>
        <w:top w:val="none" w:sz="0" w:space="0" w:color="auto"/>
        <w:left w:val="none" w:sz="0" w:space="0" w:color="auto"/>
        <w:bottom w:val="none" w:sz="0" w:space="0" w:color="auto"/>
        <w:right w:val="none" w:sz="0" w:space="0" w:color="auto"/>
      </w:divBdr>
    </w:div>
    <w:div w:id="1743604216">
      <w:bodyDiv w:val="1"/>
      <w:marLeft w:val="0"/>
      <w:marRight w:val="0"/>
      <w:marTop w:val="0"/>
      <w:marBottom w:val="0"/>
      <w:divBdr>
        <w:top w:val="none" w:sz="0" w:space="0" w:color="auto"/>
        <w:left w:val="none" w:sz="0" w:space="0" w:color="auto"/>
        <w:bottom w:val="none" w:sz="0" w:space="0" w:color="auto"/>
        <w:right w:val="none" w:sz="0" w:space="0" w:color="auto"/>
      </w:divBdr>
    </w:div>
    <w:div w:id="1751848241">
      <w:bodyDiv w:val="1"/>
      <w:marLeft w:val="0"/>
      <w:marRight w:val="0"/>
      <w:marTop w:val="0"/>
      <w:marBottom w:val="0"/>
      <w:divBdr>
        <w:top w:val="none" w:sz="0" w:space="0" w:color="auto"/>
        <w:left w:val="none" w:sz="0" w:space="0" w:color="auto"/>
        <w:bottom w:val="none" w:sz="0" w:space="0" w:color="auto"/>
        <w:right w:val="none" w:sz="0" w:space="0" w:color="auto"/>
      </w:divBdr>
    </w:div>
    <w:div w:id="1752582556">
      <w:bodyDiv w:val="1"/>
      <w:marLeft w:val="0"/>
      <w:marRight w:val="0"/>
      <w:marTop w:val="0"/>
      <w:marBottom w:val="0"/>
      <w:divBdr>
        <w:top w:val="none" w:sz="0" w:space="0" w:color="auto"/>
        <w:left w:val="none" w:sz="0" w:space="0" w:color="auto"/>
        <w:bottom w:val="none" w:sz="0" w:space="0" w:color="auto"/>
        <w:right w:val="none" w:sz="0" w:space="0" w:color="auto"/>
      </w:divBdr>
    </w:div>
    <w:div w:id="1757286829">
      <w:bodyDiv w:val="1"/>
      <w:marLeft w:val="0"/>
      <w:marRight w:val="0"/>
      <w:marTop w:val="0"/>
      <w:marBottom w:val="0"/>
      <w:divBdr>
        <w:top w:val="none" w:sz="0" w:space="0" w:color="auto"/>
        <w:left w:val="none" w:sz="0" w:space="0" w:color="auto"/>
        <w:bottom w:val="none" w:sz="0" w:space="0" w:color="auto"/>
        <w:right w:val="none" w:sz="0" w:space="0" w:color="auto"/>
      </w:divBdr>
    </w:div>
    <w:div w:id="1763642222">
      <w:bodyDiv w:val="1"/>
      <w:marLeft w:val="0"/>
      <w:marRight w:val="0"/>
      <w:marTop w:val="0"/>
      <w:marBottom w:val="0"/>
      <w:divBdr>
        <w:top w:val="none" w:sz="0" w:space="0" w:color="auto"/>
        <w:left w:val="none" w:sz="0" w:space="0" w:color="auto"/>
        <w:bottom w:val="none" w:sz="0" w:space="0" w:color="auto"/>
        <w:right w:val="none" w:sz="0" w:space="0" w:color="auto"/>
      </w:divBdr>
    </w:div>
    <w:div w:id="1766534124">
      <w:bodyDiv w:val="1"/>
      <w:marLeft w:val="0"/>
      <w:marRight w:val="0"/>
      <w:marTop w:val="0"/>
      <w:marBottom w:val="0"/>
      <w:divBdr>
        <w:top w:val="none" w:sz="0" w:space="0" w:color="auto"/>
        <w:left w:val="none" w:sz="0" w:space="0" w:color="auto"/>
        <w:bottom w:val="none" w:sz="0" w:space="0" w:color="auto"/>
        <w:right w:val="none" w:sz="0" w:space="0" w:color="auto"/>
      </w:divBdr>
    </w:div>
    <w:div w:id="1774937258">
      <w:bodyDiv w:val="1"/>
      <w:marLeft w:val="0"/>
      <w:marRight w:val="0"/>
      <w:marTop w:val="0"/>
      <w:marBottom w:val="0"/>
      <w:divBdr>
        <w:top w:val="none" w:sz="0" w:space="0" w:color="auto"/>
        <w:left w:val="none" w:sz="0" w:space="0" w:color="auto"/>
        <w:bottom w:val="none" w:sz="0" w:space="0" w:color="auto"/>
        <w:right w:val="none" w:sz="0" w:space="0" w:color="auto"/>
      </w:divBdr>
    </w:div>
    <w:div w:id="1787576484">
      <w:bodyDiv w:val="1"/>
      <w:marLeft w:val="0"/>
      <w:marRight w:val="0"/>
      <w:marTop w:val="0"/>
      <w:marBottom w:val="0"/>
      <w:divBdr>
        <w:top w:val="none" w:sz="0" w:space="0" w:color="auto"/>
        <w:left w:val="none" w:sz="0" w:space="0" w:color="auto"/>
        <w:bottom w:val="none" w:sz="0" w:space="0" w:color="auto"/>
        <w:right w:val="none" w:sz="0" w:space="0" w:color="auto"/>
      </w:divBdr>
    </w:div>
    <w:div w:id="1791364849">
      <w:bodyDiv w:val="1"/>
      <w:marLeft w:val="0"/>
      <w:marRight w:val="0"/>
      <w:marTop w:val="0"/>
      <w:marBottom w:val="0"/>
      <w:divBdr>
        <w:top w:val="none" w:sz="0" w:space="0" w:color="auto"/>
        <w:left w:val="none" w:sz="0" w:space="0" w:color="auto"/>
        <w:bottom w:val="none" w:sz="0" w:space="0" w:color="auto"/>
        <w:right w:val="none" w:sz="0" w:space="0" w:color="auto"/>
      </w:divBdr>
    </w:div>
    <w:div w:id="1796824073">
      <w:bodyDiv w:val="1"/>
      <w:marLeft w:val="0"/>
      <w:marRight w:val="0"/>
      <w:marTop w:val="0"/>
      <w:marBottom w:val="0"/>
      <w:divBdr>
        <w:top w:val="none" w:sz="0" w:space="0" w:color="auto"/>
        <w:left w:val="none" w:sz="0" w:space="0" w:color="auto"/>
        <w:bottom w:val="none" w:sz="0" w:space="0" w:color="auto"/>
        <w:right w:val="none" w:sz="0" w:space="0" w:color="auto"/>
      </w:divBdr>
    </w:div>
    <w:div w:id="1799299137">
      <w:bodyDiv w:val="1"/>
      <w:marLeft w:val="0"/>
      <w:marRight w:val="0"/>
      <w:marTop w:val="0"/>
      <w:marBottom w:val="0"/>
      <w:divBdr>
        <w:top w:val="none" w:sz="0" w:space="0" w:color="auto"/>
        <w:left w:val="none" w:sz="0" w:space="0" w:color="auto"/>
        <w:bottom w:val="none" w:sz="0" w:space="0" w:color="auto"/>
        <w:right w:val="none" w:sz="0" w:space="0" w:color="auto"/>
      </w:divBdr>
    </w:div>
    <w:div w:id="1812088644">
      <w:bodyDiv w:val="1"/>
      <w:marLeft w:val="0"/>
      <w:marRight w:val="0"/>
      <w:marTop w:val="0"/>
      <w:marBottom w:val="0"/>
      <w:divBdr>
        <w:top w:val="none" w:sz="0" w:space="0" w:color="auto"/>
        <w:left w:val="none" w:sz="0" w:space="0" w:color="auto"/>
        <w:bottom w:val="none" w:sz="0" w:space="0" w:color="auto"/>
        <w:right w:val="none" w:sz="0" w:space="0" w:color="auto"/>
      </w:divBdr>
    </w:div>
    <w:div w:id="1825773787">
      <w:bodyDiv w:val="1"/>
      <w:marLeft w:val="0"/>
      <w:marRight w:val="0"/>
      <w:marTop w:val="0"/>
      <w:marBottom w:val="0"/>
      <w:divBdr>
        <w:top w:val="none" w:sz="0" w:space="0" w:color="auto"/>
        <w:left w:val="none" w:sz="0" w:space="0" w:color="auto"/>
        <w:bottom w:val="none" w:sz="0" w:space="0" w:color="auto"/>
        <w:right w:val="none" w:sz="0" w:space="0" w:color="auto"/>
      </w:divBdr>
    </w:div>
    <w:div w:id="1827935565">
      <w:bodyDiv w:val="1"/>
      <w:marLeft w:val="0"/>
      <w:marRight w:val="0"/>
      <w:marTop w:val="0"/>
      <w:marBottom w:val="0"/>
      <w:divBdr>
        <w:top w:val="none" w:sz="0" w:space="0" w:color="auto"/>
        <w:left w:val="none" w:sz="0" w:space="0" w:color="auto"/>
        <w:bottom w:val="none" w:sz="0" w:space="0" w:color="auto"/>
        <w:right w:val="none" w:sz="0" w:space="0" w:color="auto"/>
      </w:divBdr>
    </w:div>
    <w:div w:id="1837530221">
      <w:bodyDiv w:val="1"/>
      <w:marLeft w:val="0"/>
      <w:marRight w:val="0"/>
      <w:marTop w:val="0"/>
      <w:marBottom w:val="0"/>
      <w:divBdr>
        <w:top w:val="none" w:sz="0" w:space="0" w:color="auto"/>
        <w:left w:val="none" w:sz="0" w:space="0" w:color="auto"/>
        <w:bottom w:val="none" w:sz="0" w:space="0" w:color="auto"/>
        <w:right w:val="none" w:sz="0" w:space="0" w:color="auto"/>
      </w:divBdr>
    </w:div>
    <w:div w:id="1849562269">
      <w:bodyDiv w:val="1"/>
      <w:marLeft w:val="0"/>
      <w:marRight w:val="0"/>
      <w:marTop w:val="0"/>
      <w:marBottom w:val="0"/>
      <w:divBdr>
        <w:top w:val="none" w:sz="0" w:space="0" w:color="auto"/>
        <w:left w:val="none" w:sz="0" w:space="0" w:color="auto"/>
        <w:bottom w:val="none" w:sz="0" w:space="0" w:color="auto"/>
        <w:right w:val="none" w:sz="0" w:space="0" w:color="auto"/>
      </w:divBdr>
    </w:div>
    <w:div w:id="1850362723">
      <w:bodyDiv w:val="1"/>
      <w:marLeft w:val="0"/>
      <w:marRight w:val="0"/>
      <w:marTop w:val="0"/>
      <w:marBottom w:val="0"/>
      <w:divBdr>
        <w:top w:val="none" w:sz="0" w:space="0" w:color="auto"/>
        <w:left w:val="none" w:sz="0" w:space="0" w:color="auto"/>
        <w:bottom w:val="none" w:sz="0" w:space="0" w:color="auto"/>
        <w:right w:val="none" w:sz="0" w:space="0" w:color="auto"/>
      </w:divBdr>
    </w:div>
    <w:div w:id="1853758677">
      <w:bodyDiv w:val="1"/>
      <w:marLeft w:val="0"/>
      <w:marRight w:val="0"/>
      <w:marTop w:val="0"/>
      <w:marBottom w:val="0"/>
      <w:divBdr>
        <w:top w:val="none" w:sz="0" w:space="0" w:color="auto"/>
        <w:left w:val="none" w:sz="0" w:space="0" w:color="auto"/>
        <w:bottom w:val="none" w:sz="0" w:space="0" w:color="auto"/>
        <w:right w:val="none" w:sz="0" w:space="0" w:color="auto"/>
      </w:divBdr>
    </w:div>
    <w:div w:id="1867793354">
      <w:bodyDiv w:val="1"/>
      <w:marLeft w:val="0"/>
      <w:marRight w:val="0"/>
      <w:marTop w:val="0"/>
      <w:marBottom w:val="0"/>
      <w:divBdr>
        <w:top w:val="none" w:sz="0" w:space="0" w:color="auto"/>
        <w:left w:val="none" w:sz="0" w:space="0" w:color="auto"/>
        <w:bottom w:val="none" w:sz="0" w:space="0" w:color="auto"/>
        <w:right w:val="none" w:sz="0" w:space="0" w:color="auto"/>
      </w:divBdr>
    </w:div>
    <w:div w:id="1869755697">
      <w:bodyDiv w:val="1"/>
      <w:marLeft w:val="0"/>
      <w:marRight w:val="0"/>
      <w:marTop w:val="0"/>
      <w:marBottom w:val="0"/>
      <w:divBdr>
        <w:top w:val="none" w:sz="0" w:space="0" w:color="auto"/>
        <w:left w:val="none" w:sz="0" w:space="0" w:color="auto"/>
        <w:bottom w:val="none" w:sz="0" w:space="0" w:color="auto"/>
        <w:right w:val="none" w:sz="0" w:space="0" w:color="auto"/>
      </w:divBdr>
    </w:div>
    <w:div w:id="1885829623">
      <w:bodyDiv w:val="1"/>
      <w:marLeft w:val="0"/>
      <w:marRight w:val="0"/>
      <w:marTop w:val="0"/>
      <w:marBottom w:val="0"/>
      <w:divBdr>
        <w:top w:val="none" w:sz="0" w:space="0" w:color="auto"/>
        <w:left w:val="none" w:sz="0" w:space="0" w:color="auto"/>
        <w:bottom w:val="none" w:sz="0" w:space="0" w:color="auto"/>
        <w:right w:val="none" w:sz="0" w:space="0" w:color="auto"/>
      </w:divBdr>
    </w:div>
    <w:div w:id="1903758651">
      <w:bodyDiv w:val="1"/>
      <w:marLeft w:val="0"/>
      <w:marRight w:val="0"/>
      <w:marTop w:val="0"/>
      <w:marBottom w:val="0"/>
      <w:divBdr>
        <w:top w:val="none" w:sz="0" w:space="0" w:color="auto"/>
        <w:left w:val="none" w:sz="0" w:space="0" w:color="auto"/>
        <w:bottom w:val="none" w:sz="0" w:space="0" w:color="auto"/>
        <w:right w:val="none" w:sz="0" w:space="0" w:color="auto"/>
      </w:divBdr>
    </w:div>
    <w:div w:id="1908804998">
      <w:bodyDiv w:val="1"/>
      <w:marLeft w:val="0"/>
      <w:marRight w:val="0"/>
      <w:marTop w:val="0"/>
      <w:marBottom w:val="0"/>
      <w:divBdr>
        <w:top w:val="none" w:sz="0" w:space="0" w:color="auto"/>
        <w:left w:val="none" w:sz="0" w:space="0" w:color="auto"/>
        <w:bottom w:val="none" w:sz="0" w:space="0" w:color="auto"/>
        <w:right w:val="none" w:sz="0" w:space="0" w:color="auto"/>
      </w:divBdr>
    </w:div>
    <w:div w:id="1914317550">
      <w:bodyDiv w:val="1"/>
      <w:marLeft w:val="0"/>
      <w:marRight w:val="0"/>
      <w:marTop w:val="0"/>
      <w:marBottom w:val="0"/>
      <w:divBdr>
        <w:top w:val="none" w:sz="0" w:space="0" w:color="auto"/>
        <w:left w:val="none" w:sz="0" w:space="0" w:color="auto"/>
        <w:bottom w:val="none" w:sz="0" w:space="0" w:color="auto"/>
        <w:right w:val="none" w:sz="0" w:space="0" w:color="auto"/>
      </w:divBdr>
    </w:div>
    <w:div w:id="1940285404">
      <w:bodyDiv w:val="1"/>
      <w:marLeft w:val="0"/>
      <w:marRight w:val="0"/>
      <w:marTop w:val="0"/>
      <w:marBottom w:val="0"/>
      <w:divBdr>
        <w:top w:val="none" w:sz="0" w:space="0" w:color="auto"/>
        <w:left w:val="none" w:sz="0" w:space="0" w:color="auto"/>
        <w:bottom w:val="none" w:sz="0" w:space="0" w:color="auto"/>
        <w:right w:val="none" w:sz="0" w:space="0" w:color="auto"/>
      </w:divBdr>
    </w:div>
    <w:div w:id="1951234226">
      <w:bodyDiv w:val="1"/>
      <w:marLeft w:val="0"/>
      <w:marRight w:val="0"/>
      <w:marTop w:val="0"/>
      <w:marBottom w:val="0"/>
      <w:divBdr>
        <w:top w:val="none" w:sz="0" w:space="0" w:color="auto"/>
        <w:left w:val="none" w:sz="0" w:space="0" w:color="auto"/>
        <w:bottom w:val="none" w:sz="0" w:space="0" w:color="auto"/>
        <w:right w:val="none" w:sz="0" w:space="0" w:color="auto"/>
      </w:divBdr>
    </w:div>
    <w:div w:id="1952974620">
      <w:bodyDiv w:val="1"/>
      <w:marLeft w:val="0"/>
      <w:marRight w:val="0"/>
      <w:marTop w:val="0"/>
      <w:marBottom w:val="0"/>
      <w:divBdr>
        <w:top w:val="none" w:sz="0" w:space="0" w:color="auto"/>
        <w:left w:val="none" w:sz="0" w:space="0" w:color="auto"/>
        <w:bottom w:val="none" w:sz="0" w:space="0" w:color="auto"/>
        <w:right w:val="none" w:sz="0" w:space="0" w:color="auto"/>
      </w:divBdr>
    </w:div>
    <w:div w:id="1976792724">
      <w:bodyDiv w:val="1"/>
      <w:marLeft w:val="0"/>
      <w:marRight w:val="0"/>
      <w:marTop w:val="0"/>
      <w:marBottom w:val="0"/>
      <w:divBdr>
        <w:top w:val="none" w:sz="0" w:space="0" w:color="auto"/>
        <w:left w:val="none" w:sz="0" w:space="0" w:color="auto"/>
        <w:bottom w:val="none" w:sz="0" w:space="0" w:color="auto"/>
        <w:right w:val="none" w:sz="0" w:space="0" w:color="auto"/>
      </w:divBdr>
    </w:div>
    <w:div w:id="1983534460">
      <w:bodyDiv w:val="1"/>
      <w:marLeft w:val="0"/>
      <w:marRight w:val="0"/>
      <w:marTop w:val="0"/>
      <w:marBottom w:val="0"/>
      <w:divBdr>
        <w:top w:val="none" w:sz="0" w:space="0" w:color="auto"/>
        <w:left w:val="none" w:sz="0" w:space="0" w:color="auto"/>
        <w:bottom w:val="none" w:sz="0" w:space="0" w:color="auto"/>
        <w:right w:val="none" w:sz="0" w:space="0" w:color="auto"/>
      </w:divBdr>
    </w:div>
    <w:div w:id="1988169478">
      <w:bodyDiv w:val="1"/>
      <w:marLeft w:val="0"/>
      <w:marRight w:val="0"/>
      <w:marTop w:val="0"/>
      <w:marBottom w:val="0"/>
      <w:divBdr>
        <w:top w:val="none" w:sz="0" w:space="0" w:color="auto"/>
        <w:left w:val="none" w:sz="0" w:space="0" w:color="auto"/>
        <w:bottom w:val="none" w:sz="0" w:space="0" w:color="auto"/>
        <w:right w:val="none" w:sz="0" w:space="0" w:color="auto"/>
      </w:divBdr>
    </w:div>
    <w:div w:id="1989439159">
      <w:bodyDiv w:val="1"/>
      <w:marLeft w:val="0"/>
      <w:marRight w:val="0"/>
      <w:marTop w:val="0"/>
      <w:marBottom w:val="0"/>
      <w:divBdr>
        <w:top w:val="none" w:sz="0" w:space="0" w:color="auto"/>
        <w:left w:val="none" w:sz="0" w:space="0" w:color="auto"/>
        <w:bottom w:val="none" w:sz="0" w:space="0" w:color="auto"/>
        <w:right w:val="none" w:sz="0" w:space="0" w:color="auto"/>
      </w:divBdr>
    </w:div>
    <w:div w:id="1993485208">
      <w:bodyDiv w:val="1"/>
      <w:marLeft w:val="0"/>
      <w:marRight w:val="0"/>
      <w:marTop w:val="0"/>
      <w:marBottom w:val="0"/>
      <w:divBdr>
        <w:top w:val="none" w:sz="0" w:space="0" w:color="auto"/>
        <w:left w:val="none" w:sz="0" w:space="0" w:color="auto"/>
        <w:bottom w:val="none" w:sz="0" w:space="0" w:color="auto"/>
        <w:right w:val="none" w:sz="0" w:space="0" w:color="auto"/>
      </w:divBdr>
    </w:div>
    <w:div w:id="2001303999">
      <w:bodyDiv w:val="1"/>
      <w:marLeft w:val="0"/>
      <w:marRight w:val="0"/>
      <w:marTop w:val="0"/>
      <w:marBottom w:val="0"/>
      <w:divBdr>
        <w:top w:val="none" w:sz="0" w:space="0" w:color="auto"/>
        <w:left w:val="none" w:sz="0" w:space="0" w:color="auto"/>
        <w:bottom w:val="none" w:sz="0" w:space="0" w:color="auto"/>
        <w:right w:val="none" w:sz="0" w:space="0" w:color="auto"/>
      </w:divBdr>
    </w:div>
    <w:div w:id="2007859170">
      <w:bodyDiv w:val="1"/>
      <w:marLeft w:val="0"/>
      <w:marRight w:val="0"/>
      <w:marTop w:val="0"/>
      <w:marBottom w:val="0"/>
      <w:divBdr>
        <w:top w:val="none" w:sz="0" w:space="0" w:color="auto"/>
        <w:left w:val="none" w:sz="0" w:space="0" w:color="auto"/>
        <w:bottom w:val="none" w:sz="0" w:space="0" w:color="auto"/>
        <w:right w:val="none" w:sz="0" w:space="0" w:color="auto"/>
      </w:divBdr>
    </w:div>
    <w:div w:id="2014601429">
      <w:bodyDiv w:val="1"/>
      <w:marLeft w:val="0"/>
      <w:marRight w:val="0"/>
      <w:marTop w:val="0"/>
      <w:marBottom w:val="0"/>
      <w:divBdr>
        <w:top w:val="none" w:sz="0" w:space="0" w:color="auto"/>
        <w:left w:val="none" w:sz="0" w:space="0" w:color="auto"/>
        <w:bottom w:val="none" w:sz="0" w:space="0" w:color="auto"/>
        <w:right w:val="none" w:sz="0" w:space="0" w:color="auto"/>
      </w:divBdr>
    </w:div>
    <w:div w:id="2021393945">
      <w:bodyDiv w:val="1"/>
      <w:marLeft w:val="0"/>
      <w:marRight w:val="0"/>
      <w:marTop w:val="0"/>
      <w:marBottom w:val="0"/>
      <w:divBdr>
        <w:top w:val="none" w:sz="0" w:space="0" w:color="auto"/>
        <w:left w:val="none" w:sz="0" w:space="0" w:color="auto"/>
        <w:bottom w:val="none" w:sz="0" w:space="0" w:color="auto"/>
        <w:right w:val="none" w:sz="0" w:space="0" w:color="auto"/>
      </w:divBdr>
    </w:div>
    <w:div w:id="2025814725">
      <w:bodyDiv w:val="1"/>
      <w:marLeft w:val="0"/>
      <w:marRight w:val="0"/>
      <w:marTop w:val="0"/>
      <w:marBottom w:val="0"/>
      <w:divBdr>
        <w:top w:val="none" w:sz="0" w:space="0" w:color="auto"/>
        <w:left w:val="none" w:sz="0" w:space="0" w:color="auto"/>
        <w:bottom w:val="none" w:sz="0" w:space="0" w:color="auto"/>
        <w:right w:val="none" w:sz="0" w:space="0" w:color="auto"/>
      </w:divBdr>
    </w:div>
    <w:div w:id="2036612290">
      <w:bodyDiv w:val="1"/>
      <w:marLeft w:val="0"/>
      <w:marRight w:val="0"/>
      <w:marTop w:val="0"/>
      <w:marBottom w:val="0"/>
      <w:divBdr>
        <w:top w:val="none" w:sz="0" w:space="0" w:color="auto"/>
        <w:left w:val="none" w:sz="0" w:space="0" w:color="auto"/>
        <w:bottom w:val="none" w:sz="0" w:space="0" w:color="auto"/>
        <w:right w:val="none" w:sz="0" w:space="0" w:color="auto"/>
      </w:divBdr>
    </w:div>
    <w:div w:id="2043357149">
      <w:bodyDiv w:val="1"/>
      <w:marLeft w:val="0"/>
      <w:marRight w:val="0"/>
      <w:marTop w:val="0"/>
      <w:marBottom w:val="0"/>
      <w:divBdr>
        <w:top w:val="none" w:sz="0" w:space="0" w:color="auto"/>
        <w:left w:val="none" w:sz="0" w:space="0" w:color="auto"/>
        <w:bottom w:val="none" w:sz="0" w:space="0" w:color="auto"/>
        <w:right w:val="none" w:sz="0" w:space="0" w:color="auto"/>
      </w:divBdr>
    </w:div>
    <w:div w:id="2044791069">
      <w:bodyDiv w:val="1"/>
      <w:marLeft w:val="0"/>
      <w:marRight w:val="0"/>
      <w:marTop w:val="0"/>
      <w:marBottom w:val="0"/>
      <w:divBdr>
        <w:top w:val="none" w:sz="0" w:space="0" w:color="auto"/>
        <w:left w:val="none" w:sz="0" w:space="0" w:color="auto"/>
        <w:bottom w:val="none" w:sz="0" w:space="0" w:color="auto"/>
        <w:right w:val="none" w:sz="0" w:space="0" w:color="auto"/>
      </w:divBdr>
    </w:div>
    <w:div w:id="2045672310">
      <w:bodyDiv w:val="1"/>
      <w:marLeft w:val="0"/>
      <w:marRight w:val="0"/>
      <w:marTop w:val="0"/>
      <w:marBottom w:val="0"/>
      <w:divBdr>
        <w:top w:val="none" w:sz="0" w:space="0" w:color="auto"/>
        <w:left w:val="none" w:sz="0" w:space="0" w:color="auto"/>
        <w:bottom w:val="none" w:sz="0" w:space="0" w:color="auto"/>
        <w:right w:val="none" w:sz="0" w:space="0" w:color="auto"/>
      </w:divBdr>
    </w:div>
    <w:div w:id="2047489829">
      <w:bodyDiv w:val="1"/>
      <w:marLeft w:val="0"/>
      <w:marRight w:val="0"/>
      <w:marTop w:val="0"/>
      <w:marBottom w:val="0"/>
      <w:divBdr>
        <w:top w:val="none" w:sz="0" w:space="0" w:color="auto"/>
        <w:left w:val="none" w:sz="0" w:space="0" w:color="auto"/>
        <w:bottom w:val="none" w:sz="0" w:space="0" w:color="auto"/>
        <w:right w:val="none" w:sz="0" w:space="0" w:color="auto"/>
      </w:divBdr>
    </w:div>
    <w:div w:id="2048600116">
      <w:bodyDiv w:val="1"/>
      <w:marLeft w:val="0"/>
      <w:marRight w:val="0"/>
      <w:marTop w:val="0"/>
      <w:marBottom w:val="0"/>
      <w:divBdr>
        <w:top w:val="none" w:sz="0" w:space="0" w:color="auto"/>
        <w:left w:val="none" w:sz="0" w:space="0" w:color="auto"/>
        <w:bottom w:val="none" w:sz="0" w:space="0" w:color="auto"/>
        <w:right w:val="none" w:sz="0" w:space="0" w:color="auto"/>
      </w:divBdr>
    </w:div>
    <w:div w:id="2052219592">
      <w:bodyDiv w:val="1"/>
      <w:marLeft w:val="0"/>
      <w:marRight w:val="0"/>
      <w:marTop w:val="0"/>
      <w:marBottom w:val="0"/>
      <w:divBdr>
        <w:top w:val="none" w:sz="0" w:space="0" w:color="auto"/>
        <w:left w:val="none" w:sz="0" w:space="0" w:color="auto"/>
        <w:bottom w:val="none" w:sz="0" w:space="0" w:color="auto"/>
        <w:right w:val="none" w:sz="0" w:space="0" w:color="auto"/>
      </w:divBdr>
    </w:div>
    <w:div w:id="2068676505">
      <w:bodyDiv w:val="1"/>
      <w:marLeft w:val="0"/>
      <w:marRight w:val="0"/>
      <w:marTop w:val="0"/>
      <w:marBottom w:val="0"/>
      <w:divBdr>
        <w:top w:val="none" w:sz="0" w:space="0" w:color="auto"/>
        <w:left w:val="none" w:sz="0" w:space="0" w:color="auto"/>
        <w:bottom w:val="none" w:sz="0" w:space="0" w:color="auto"/>
        <w:right w:val="none" w:sz="0" w:space="0" w:color="auto"/>
      </w:divBdr>
    </w:div>
    <w:div w:id="2071806220">
      <w:bodyDiv w:val="1"/>
      <w:marLeft w:val="0"/>
      <w:marRight w:val="0"/>
      <w:marTop w:val="0"/>
      <w:marBottom w:val="0"/>
      <w:divBdr>
        <w:top w:val="none" w:sz="0" w:space="0" w:color="auto"/>
        <w:left w:val="none" w:sz="0" w:space="0" w:color="auto"/>
        <w:bottom w:val="none" w:sz="0" w:space="0" w:color="auto"/>
        <w:right w:val="none" w:sz="0" w:space="0" w:color="auto"/>
      </w:divBdr>
    </w:div>
    <w:div w:id="2074308171">
      <w:bodyDiv w:val="1"/>
      <w:marLeft w:val="0"/>
      <w:marRight w:val="0"/>
      <w:marTop w:val="0"/>
      <w:marBottom w:val="0"/>
      <w:divBdr>
        <w:top w:val="none" w:sz="0" w:space="0" w:color="auto"/>
        <w:left w:val="none" w:sz="0" w:space="0" w:color="auto"/>
        <w:bottom w:val="none" w:sz="0" w:space="0" w:color="auto"/>
        <w:right w:val="none" w:sz="0" w:space="0" w:color="auto"/>
      </w:divBdr>
    </w:div>
    <w:div w:id="2075156599">
      <w:bodyDiv w:val="1"/>
      <w:marLeft w:val="0"/>
      <w:marRight w:val="0"/>
      <w:marTop w:val="0"/>
      <w:marBottom w:val="0"/>
      <w:divBdr>
        <w:top w:val="none" w:sz="0" w:space="0" w:color="auto"/>
        <w:left w:val="none" w:sz="0" w:space="0" w:color="auto"/>
        <w:bottom w:val="none" w:sz="0" w:space="0" w:color="auto"/>
        <w:right w:val="none" w:sz="0" w:space="0" w:color="auto"/>
      </w:divBdr>
    </w:div>
    <w:div w:id="2101758485">
      <w:bodyDiv w:val="1"/>
      <w:marLeft w:val="0"/>
      <w:marRight w:val="0"/>
      <w:marTop w:val="0"/>
      <w:marBottom w:val="0"/>
      <w:divBdr>
        <w:top w:val="none" w:sz="0" w:space="0" w:color="auto"/>
        <w:left w:val="none" w:sz="0" w:space="0" w:color="auto"/>
        <w:bottom w:val="none" w:sz="0" w:space="0" w:color="auto"/>
        <w:right w:val="none" w:sz="0" w:space="0" w:color="auto"/>
      </w:divBdr>
    </w:div>
    <w:div w:id="2109546425">
      <w:bodyDiv w:val="1"/>
      <w:marLeft w:val="0"/>
      <w:marRight w:val="0"/>
      <w:marTop w:val="0"/>
      <w:marBottom w:val="0"/>
      <w:divBdr>
        <w:top w:val="none" w:sz="0" w:space="0" w:color="auto"/>
        <w:left w:val="none" w:sz="0" w:space="0" w:color="auto"/>
        <w:bottom w:val="none" w:sz="0" w:space="0" w:color="auto"/>
        <w:right w:val="none" w:sz="0" w:space="0" w:color="auto"/>
      </w:divBdr>
    </w:div>
    <w:div w:id="2125152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onafrancapalmaseca.com" TargetMode="External"/><Relationship Id="rId13" Type="http://schemas.openxmlformats.org/officeDocument/2006/relationships/hyperlink" Target="https://zf.mincit.gov.co/"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s://www.dane.gov.co/" TargetMode="External"/><Relationship Id="rId17"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hyperlink" Target="https://www.andi.com.co/Home/"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onafrancabarranquilla.co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dian.gov.co" TargetMode="External"/><Relationship Id="rId23" Type="http://schemas.openxmlformats.org/officeDocument/2006/relationships/fontTable" Target="fontTable.xml"/><Relationship Id="rId10" Type="http://schemas.openxmlformats.org/officeDocument/2006/relationships/hyperlink" Target="https://www.zonafrancarionegro.com"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s://zonafrancalacayena.com" TargetMode="External"/><Relationship Id="rId14" Type="http://schemas.openxmlformats.org/officeDocument/2006/relationships/hyperlink" Target="https://www.andi.com.co/Home/" TargetMode="External"/><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Adr16</b:Tag>
    <b:SourceType>InternetSite</b:SourceType>
    <b:Guid>{A5CD2BC3-EF68-426E-ABDE-7F8F68462892}</b:Guid>
    <b:Author>
      <b:Author>
        <b:NameList>
          <b:Person>
            <b:Last>Reyes</b:Last>
            <b:First>Adriana</b:First>
            <b:Middle>Yadira Beltrán Murcia*Pastor Hamleth Sierra</b:Middle>
          </b:Person>
        </b:NameList>
      </b:Author>
    </b:Author>
    <b:Title>Caracterización del régimen de zonas francas en Colombia</b:Title>
    <b:Year>2016</b:Year>
    <b:Month>noviembre </b:Month>
    <b:Day>28</b:Day>
    <b:URL>https://www.dian.gov.co/dian/cifras/Cuadernos%20de%20Trabajo/Caracterizaci%C3%B3n%20del%20r%C3%A9gimen%20de%20zonas%20francas%20en%20Colombia.pdf</b:URL>
    <b:RefOrder>26</b:RefOrder>
  </b:Source>
  <b:Source>
    <b:Tag>Mar23</b:Tag>
    <b:SourceType>JournalArticle</b:SourceType>
    <b:Guid>{02207BB6-6A27-4D04-A451-B23914D07A32}</b:Guid>
    <b:Title>Beneficios de las Zonas Francas como Herramienta Operativa para las Empresas Colombianas</b:Title>
    <b:Year>2023</b:Year>
    <b:Author>
      <b:Author>
        <b:NameList>
          <b:Person>
            <b:Last>Alcázar</b:Last>
            <b:First>Maria</b:First>
            <b:Middle>Camila Rondón</b:Middle>
          </b:Person>
        </b:NameList>
      </b:Author>
    </b:Author>
    <b:JournalName>Facultad de Negocios Internacionales</b:JournalName>
    <b:Pages>1-31</b:Pages>
    <b:RefOrder>27</b:RefOrder>
  </b:Source>
  <b:Source>
    <b:Tag>Gui19</b:Tag>
    <b:SourceType>JournalArticle</b:SourceType>
    <b:Guid>{76C589D3-8222-4644-B5A9-C85BEF10104F}</b:Guid>
    <b:Author>
      <b:Author>
        <b:NameList>
          <b:Person>
            <b:Last>Luna</b:Last>
            <b:First>Guillermo</b:First>
            <b:Middle>Alexander Arévalo</b:Middle>
          </b:Person>
          <b:Person>
            <b:Last>Lizarazo</b:Last>
            <b:First>Guillermo</b:First>
            <b:Middle>Alejandro Arévalo</b:Middle>
          </b:Person>
        </b:NameList>
      </b:Author>
    </b:Author>
    <b:Title>Las zonas francas en Colombia: desarrollo empresarial y regional, 2009-2016</b:Title>
    <b:JournalName>Apuntes del Cenes, vol. 38, núm. 68</b:JournalName>
    <b:Year>2019</b:Year>
    <b:Pages>151-184</b:Pages>
    <b:RefOrder>3</b:RefOrder>
  </b:Source>
  <b:Source>
    <b:Tag>Dav02</b:Tag>
    <b:SourceType>Book</b:SourceType>
    <b:Guid>{08509ECD-805C-4959-87C2-F8956BE5D8BA}</b:Guid>
    <b:Title>Ensayos económicos</b:Title>
    <b:Year>2002</b:Year>
    <b:Author>
      <b:Author>
        <b:NameList>
          <b:Person>
            <b:Last>Ricardo</b:Last>
            <b:First>David</b:First>
          </b:Person>
        </b:NameList>
      </b:Author>
    </b:Author>
    <b:City>New York</b:City>
    <b:Publisher>University Press of the Pacific</b:Publisher>
    <b:RefOrder>28</b:RefOrder>
  </b:Source>
  <b:Source>
    <b:Tag>Req21</b:Tag>
    <b:SourceType>JournalArticle</b:SourceType>
    <b:Guid>{A53F5BD6-E77C-451D-BB9A-616F957CDF77}</b:Guid>
    <b:Author>
      <b:Author>
        <b:NameList>
          <b:Person>
            <b:Last>Requeijo</b:Last>
            <b:First>Jaime</b:First>
          </b:Person>
        </b:NameList>
      </b:Author>
    </b:Author>
    <b:Title>Ideas y creencias en la teoría del intercambio internacional:el teorema de Heckscher-OhlinSamuelson</b:Title>
    <b:Year>2021</b:Year>
    <b:JournalName>Facultad de Ciencias Económicas y Empresariales: Universidad de Madrid (Complutense)</b:JournalName>
    <b:Pages>183-198</b:Pages>
    <b:RefOrder>29</b:RefOrder>
  </b:Source>
  <b:Source>
    <b:Tag>Pau06</b:Tag>
    <b:SourceType>Book</b:SourceType>
    <b:Guid>{D4452FBF-4D13-4F8E-8ACA-00A4E11E8D55}</b:Guid>
    <b:Title>ECONOMÍA INTERNACIONAL: Teoría y política</b:Title>
    <b:Year>2006</b:Year>
    <b:Author>
      <b:Author>
        <b:NameList>
          <b:Person>
            <b:Last>Krugman</b:Last>
            <b:First>Paul</b:First>
            <b:Middle>R.</b:Middle>
          </b:Person>
          <b:Person>
            <b:Last>Obstfeld</b:Last>
            <b:First>Maurice</b:First>
          </b:Person>
        </b:NameList>
      </b:Author>
    </b:Author>
    <b:City>Madrid</b:City>
    <b:Publisher>PEARSON EDUCACIÓN, S.A.</b:Publisher>
    <b:RefOrder>10</b:RefOrder>
  </b:Source>
  <b:Source>
    <b:Tag>Mci12</b:Tag>
    <b:SourceType>DocumentFromInternetSite</b:SourceType>
    <b:Guid>{5DF3E0F6-7E1D-4CD2-8116-A8E0E3C3DA52}</b:Guid>
    <b:Title>Ministerio de comercio, industria y turismo</b:Title>
    <b:Year>2012</b:Year>
    <b:Author>
      <b:Author>
        <b:NameList>
          <b:Person>
            <b:Last>Mcit</b:Last>
          </b:Person>
        </b:NameList>
      </b:Author>
    </b:Author>
    <b:Month>Octubre</b:Month>
    <b:Day>17</b:Day>
    <b:URL>https://www.aplicaciones-mcit.gov.co/colombiaprospera/wp-content/uploads/2012/11/2012-10-17-MINCOMERCIO_VDE_ZF_Valledupar.pdf</b:URL>
    <b:RefOrder>30</b:RefOrder>
  </b:Source>
  <b:Source>
    <b:Tag>Jua17</b:Tag>
    <b:SourceType>Report</b:SourceType>
    <b:Guid>{2B4B1A7B-363A-4BA6-A012-BDFEFBEF6455}</b:Guid>
    <b:Title>Escalafón de la competitividad de los departamentos de Colombia 2017</b:Title>
    <b:Year>2017</b:Year>
    <b:Author>
      <b:Author>
        <b:NameList>
          <b:Person>
            <b:Last>Ramírez</b:Last>
            <b:First>Juan</b:First>
            <b:Middle>Carlos</b:Middle>
          </b:Person>
          <b:Person>
            <b:Last>Aguas</b:Last>
            <b:First>Johan</b:First>
            <b:Middle>Manuel de</b:Middle>
          </b:Person>
        </b:NameList>
      </b:Author>
    </b:Author>
    <b:Publisher>Comisión Económica para América Latina y el Caribe</b:Publisher>
    <b:City>Bogotá</b:City>
    <b:RefOrder>31</b:RefOrder>
  </b:Source>
  <b:Source>
    <b:Tag>Ros12</b:Tag>
    <b:SourceType>InternetSite</b:SourceType>
    <b:Guid>{88E7A1FA-2832-4196-8A20-B2CA1C63F796}</b:Guid>
    <b:Title>APUNTES JURIDICOS®</b:Title>
    <b:Year>2012</b:Year>
    <b:Author>
      <b:Author>
        <b:NameList>
          <b:Person>
            <b:Last>Arratia</b:Last>
            <b:First>Rosario</b:First>
          </b:Person>
        </b:NameList>
      </b:Author>
    </b:Author>
    <b:Month>Octubre</b:Month>
    <b:Day>10</b:Day>
    <b:URL>https://jorgemachicado.blogspot.com/2012/10/oda.html</b:URL>
    <b:RefOrder>32</b:RefOrder>
  </b:Source>
  <b:Source>
    <b:Tag>Ala06</b:Tag>
    <b:SourceType>Report</b:SourceType>
    <b:Guid>{CC816A59-2C9A-49AD-BF0D-E90B4059FEF1}</b:Guid>
    <b:Title>Los principios del Derecho Aduanero (tesis Doctoral): Teoría general y aplicación a la problemática de la infracción de declaración inexacta</b:Title>
    <b:Year>2006</b:Year>
    <b:Author>
      <b:Author>
        <b:NameList>
          <b:Person>
            <b:Last>Alais</b:Last>
            <b:First>Horacio</b:First>
            <b:Middle>Félix</b:Middle>
          </b:Person>
        </b:NameList>
      </b:Author>
    </b:Author>
    <b:Publisher>Universidad Austral</b:Publisher>
    <b:City>Buenos Aires</b:City>
    <b:RefOrder>33</b:RefOrder>
  </b:Source>
  <b:Source>
    <b:Tag>Jes16</b:Tag>
    <b:SourceType>JournalArticle</b:SourceType>
    <b:Guid>{47752425-ACD0-415D-8FA5-10351383A558}</b:Guid>
    <b:Title>Estudio y análisis de Zonas Económicas Especiales. Propuestas de mejora para las Zonas Francas españolas actuales.</b:Title>
    <b:Year>2016</b:Year>
    <b:Author>
      <b:Author>
        <b:NameList>
          <b:Person>
            <b:Last>Ortiz</b:Last>
            <b:First>Jesús</b:First>
            <b:Middle>Arteaga</b:Middle>
          </b:Person>
          <b:Person>
            <b:Last>Delgado</b:Last>
            <b:First>Pedro</b:First>
            <b:Middle>Ferrer</b:Middle>
          </b:Person>
          <b:Person>
            <b:Last>Martel</b:Last>
            <b:First>María</b:First>
            <b:Middle>José Miranda</b:Middle>
          </b:Person>
          <b:Person>
            <b:Last>Riveras</b:Last>
            <b:First>Jorge</b:First>
          </b:Person>
        </b:NameList>
      </b:Author>
    </b:Author>
    <b:JournalName>Revista Empresa Y Humanismo, 19(2), </b:JournalName>
    <b:Pages>7-50</b:Pages>
    <b:RefOrder>4</b:RefOrder>
  </b:Source>
  <b:Source>
    <b:Tag>Vél14</b:Tag>
    <b:SourceType>JournalArticle</b:SourceType>
    <b:Guid>{C01D7E1A-57BD-4810-AFA3-8F6C06F7EAD4}</b:Guid>
    <b:Author>
      <b:Author>
        <b:NameList>
          <b:Person>
            <b:Last>Vélez</b:Last>
            <b:First>Jorge</b:First>
            <b:Middle>Eduardo Montoya</b:Middle>
          </b:Person>
          <b:Person>
            <b:Last>León</b:Last>
            <b:First>Gonzalo</b:First>
            <b:Middle>Emilio Rincón</b:Middle>
          </b:Person>
        </b:NameList>
      </b:Author>
    </b:Author>
    <b:Title>Las zonas francas y el sector logístico en Colombia: una aproximación teórica</b:Title>
    <b:JournalName>Revista Escenarios: empresa y territorio No.3, ISSN 2322-6331</b:JournalName>
    <b:Year>2014</b:Year>
    <b:Pages>1-20</b:Pages>
    <b:RefOrder>34</b:RefOrder>
  </b:Source>
  <b:Source>
    <b:Tag>Min17</b:Tag>
    <b:SourceType>DocumentFromInternetSite</b:SourceType>
    <b:Guid>{7AC87128-E5D6-4AFA-966E-10DB576B3686}</b:Guid>
    <b:Author>
      <b:Author>
        <b:NameList>
          <b:Person>
            <b:Last>Mincit</b:Last>
          </b:Person>
        </b:NameList>
      </b:Author>
    </b:Author>
    <b:Title>Ministerio de Comercio, Industria y Turismo</b:Title>
    <b:Year>2017</b:Year>
    <b:Month>Septiembre</b:Month>
    <b:Day>1</b:Day>
    <b:URL>https://www.mincit.gov.co/CMSPages/GetFile.aspx?guid=42cbdea9-d4ea-4ec6-90ed-e7f02d622b03</b:URL>
    <b:RefOrder>35</b:RefOrder>
  </b:Source>
  <b:Source>
    <b:Tag>Art16</b:Tag>
    <b:SourceType>JournalArticle</b:SourceType>
    <b:Guid>{B5D184BA-C940-4E9D-B738-8CC3647F26E4}</b:Guid>
    <b:Title>Estudio y análisis de Zonas Económicas Especiales. Propuestas de mejora para las Zonas Francas españolas actuales. </b:Title>
    <b:Year>2016</b:Year>
    <b:Author>
      <b:Author>
        <b:NameList>
          <b:Person>
            <b:Last>Arteaga</b:Last>
            <b:First>Ortiz</b:First>
            <b:Middle>J</b:Middle>
          </b:Person>
          <b:Person>
            <b:Last>Ferrer</b:Last>
            <b:First>Delgado</b:First>
            <b:Middle>P</b:Middle>
          </b:Person>
          <b:Person>
            <b:Last>Miranda</b:Last>
            <b:First>Martel</b:First>
            <b:Middle>M</b:Middle>
          </b:Person>
          <b:Person>
            <b:Last>Riveras</b:Last>
            <b:First>J</b:First>
          </b:Person>
        </b:NameList>
      </b:Author>
    </b:Author>
    <b:JournalName>Revista Empresa y Humanismo, XIX(2),</b:JournalName>
    <b:Pages> 7-50</b:Pages>
    <b:RefOrder>5</b:RefOrder>
  </b:Source>
  <b:Source>
    <b:Tag>Lli11</b:Tag>
    <b:SourceType>InternetSite</b:SourceType>
    <b:Guid>{83CB5878-7BB5-4377-BFB6-F443D259CF3B}</b:Guid>
    <b:Title>Revista Portafolio</b:Title>
    <b:Year>2011</b:Year>
    <b:Author>
      <b:Author>
        <b:NameList>
          <b:Person>
            <b:Last>Llinás</b:Last>
            <b:First>Toledo</b:First>
            <b:Middle>Frenando</b:Middle>
          </b:Person>
        </b:NameList>
      </b:Author>
    </b:Author>
    <b:Month>enero</b:Month>
    <b:Day>15</b:Day>
    <b:URL>https://www.portafolio.co/opinion/redaccion-portafolio/zonas-francas-50-anos-despues-124864</b:URL>
    <b:RefOrder>6</b:RefOrder>
  </b:Source>
  <b:Source>
    <b:Tag>Mar15</b:Tag>
    <b:SourceType>JournalArticle</b:SourceType>
    <b:Guid>{DF9E52AF-C0F0-4CCD-84E9-B83112F75075}</b:Guid>
    <b:Title>Incentivos públicos de nueva generación para la atracción de inversión extranjera directa (IED) en Centroamérica</b:Title>
    <b:Year>2015</b:Year>
    <b:Author>
      <b:Author>
        <b:NameList>
          <b:Person>
            <b:Last>Martínez</b:Last>
            <b:First>Piva</b:First>
            <b:Middle>Jorge Mario</b:Middle>
          </b:Person>
        </b:NameList>
      </b:Author>
    </b:Author>
    <b:JournalName>Estudios y perspectivas</b:JournalName>
    <b:Pages>5-45</b:Pages>
    <b:RefOrder>36</b:RefOrder>
  </b:Source>
  <b:Source>
    <b:Tag>Val20</b:Tag>
    <b:SourceType>JournalArticle</b:SourceType>
    <b:Guid>{2C9403CD-DA1D-4297-AB7C-42798652FFD7}</b:Guid>
    <b:Author>
      <b:Author>
        <b:NameList>
          <b:Person>
            <b:Last>Valencia</b:Last>
            <b:First>González</b:First>
            <b:Middle>Catherine</b:Middle>
          </b:Person>
        </b:NameList>
      </b:Author>
    </b:Author>
    <b:Title>Zonas francas en Colombia: una evaluación de sus avances comerciales</b:Title>
    <b:JournalName>Revista ESPACIOS. ISSN: 0798-1015</b:JournalName>
    <b:Year>2020</b:Year>
    <b:Pages>192-203</b:Pages>
    <b:RefOrder>7</b:RefOrder>
  </b:Source>
  <b:Source>
    <b:Tag>Bar66</b:Tag>
    <b:SourceType>JournalArticle</b:SourceType>
    <b:Guid>{3D315866-3A46-4B14-8A83-F9368A04BD35}</b:Guid>
    <b:Author>
      <b:Author>
        <b:NameList>
          <b:Person>
            <b:Last>Baró</b:Last>
            <b:First>Herrera</b:First>
            <b:Middle>Silvio</b:Middle>
          </b:Person>
        </b:NameList>
      </b:Author>
    </b:Author>
    <b:Title>El desarrollo sostenible : desafío para la humanidad</b:Title>
    <b:JournalName>Economía y desarrollo : publicación de la Facultad de Economía de la Universidad de La Habana. - La Habana, ISSN 0252-8584, ZDB-ID 40937-6. - Vol. 119.1996, 1, </b:JournalName>
    <b:Year>1966</b:Year>
    <b:Pages>123-140</b:Pages>
    <b:RefOrder>8</b:RefOrder>
  </b:Source>
  <b:Source>
    <b:Tag>Mig16</b:Tag>
    <b:SourceType>JournalArticle</b:SourceType>
    <b:Guid>{F29C5905-5918-4183-8B60-F6AD88A793AA}</b:Guid>
    <b:Author>
      <b:Author>
        <b:NameList>
          <b:Person>
            <b:Last>Argote</b:Last>
            <b:First>Miguel</b:First>
            <b:Middle>Alirio</b:Middle>
          </b:Person>
        </b:NameList>
      </b:Author>
    </b:Author>
    <b:Title>REFLEXIONANDO ACERCA DE LA AGENDAS PROSPECTIVAS PARA LA PRODUCTIVIDAD Y COMPETITIVIDAD </b:Title>
    <b:JournalName>Revista SENA</b:JournalName>
    <b:Year>2016</b:Year>
    <b:Pages>71-76</b:Pages>
    <b:RefOrder>37</b:RefOrder>
  </b:Source>
  <b:Source>
    <b:Tag>Gar17</b:Tag>
    <b:SourceType>JournalArticle</b:SourceType>
    <b:Guid>{CD055494-9FBB-4C6F-B4B6-44E4457019DE}</b:Guid>
    <b:Author>
      <b:Author>
        <b:NameList>
          <b:Person>
            <b:Last>García</b:Last>
            <b:First>Rafael</b:First>
            <b:Middle>Guillermo Caceres</b:Middle>
          </b:Person>
          <b:Person>
            <b:Last>Ospina</b:Last>
            <b:First>Héctor</b:First>
            <b:Middle>Rodrigo Estupiñan</b:Middle>
          </b:Person>
        </b:NameList>
      </b:Author>
    </b:Author>
    <b:Title>Evolución del modelo de zonas francas permanentes en el mundo: Con un énfasis en el caso Latinoamericano</b:Title>
    <b:JournalName> Revista DYNA, 84(202)</b:JournalName>
    <b:Year>2017</b:Year>
    <b:Pages> 221-229</b:Pages>
    <b:RefOrder>9</b:RefOrder>
  </b:Source>
  <b:Source>
    <b:Tag>Her18</b:Tag>
    <b:SourceType>Report</b:SourceType>
    <b:Guid>{B9A1269A-10AA-455E-ABDE-052C6F42FCAE}</b:Guid>
    <b:Author>
      <b:Author>
        <b:NameList>
          <b:Person>
            <b:Last>Herrera</b:Last>
            <b:First>Bernal</b:First>
            <b:Middle>Andrés Ricardo</b:Middle>
          </b:Person>
          <b:Person>
            <b:Last>Pérez</b:Last>
            <b:First>González</b:First>
            <b:Middle>Iván Alberto</b:Middle>
          </b:Person>
          <b:Person>
            <b:Last>Garavito</b:Last>
            <b:First>Álvarez</b:First>
            <b:Middle>Karla Mileidy</b:Middle>
          </b:Person>
        </b:NameList>
      </b:Author>
    </b:Author>
    <b:Title>Factores para el desarrollo y crecimiento económico de la Zona Franca de Cúcuta tomando como referencia la Zona Franca de Bogotá (Trabajo de Grado)</b:Title>
    <b:Year>2018</b:Year>
    <b:Publisher>Universitaria Agustiniana </b:Publisher>
    <b:City>Bogotá, D.C. </b:City>
    <b:RefOrder>38</b:RefOrder>
  </b:Source>
  <b:Source>
    <b:Tag>Paz02</b:Tag>
    <b:SourceType>JournalArticle</b:SourceType>
    <b:Guid>{8EBACE44-26A3-4FFC-BADC-055275ADE70E}</b:Guid>
    <b:Title>Los enfoques microeconómicos sobre la expansión de las empresas transnacionales</b:Title>
    <b:Year>2002</b:Year>
    <b:Author>
      <b:Author>
        <b:NameList>
          <b:Person>
            <b:Last>Paz</b:Last>
            <b:First>María</b:First>
            <b:Middle>José Antolín</b:Middle>
          </b:Person>
        </b:NameList>
      </b:Author>
    </b:Author>
    <b:JournalName> Boletín económico de ICE, Información Comercial Española, ISSN-e 2340-8804, ISSN 0214-8307, Nº 2732</b:JournalName>
    <b:Pages>37-44</b:Pages>
    <b:RefOrder>39</b:RefOrder>
  </b:Source>
  <b:Source>
    <b:Tag>Pin15</b:Tag>
    <b:SourceType>JournalArticle</b:SourceType>
    <b:Guid>{50A177AD-9CE9-425E-907B-C7BE8B0A3D45}</b:Guid>
    <b:Author>
      <b:Author>
        <b:NameList>
          <b:Person>
            <b:Last>Pinzón</b:Last>
            <b:First>Enrique</b:First>
            <b:Middle>Alvarez</b:Middle>
          </b:Person>
          <b:Person>
            <b:Last>Lora</b:Last>
            <b:First>Julio</b:First>
            <b:Middle>Enrique Suarez</b:Middle>
          </b:Person>
        </b:NameList>
      </b:Author>
    </b:Author>
    <b:Title>La generación de beneficios sociales y económicos de las zonas francas en Colombia</b:Title>
    <b:JournalName>FACE: Revista De La Facultad De Ciencias Económicas Y Empresariales, 15(2),</b:JournalName>
    <b:Year>2015</b:Year>
    <b:Pages>52–66.</b:Pages>
    <b:RefOrder>40</b:RefOrder>
  </b:Source>
  <b:Source>
    <b:Tag>Elv03</b:Tag>
    <b:SourceType>JournalArticle</b:SourceType>
    <b:Guid>{7B21A0A2-9037-42F0-9D1F-7A50AC7F0D51}</b:Guid>
    <b:Author>
      <b:Author>
        <b:NameList>
          <b:Person>
            <b:Last>Salgado</b:Last>
            <b:First>Elvira</b:First>
          </b:Person>
        </b:NameList>
      </b:Author>
    </b:Author>
    <b:Title>Teoría de costos de transacción: una breve reseña</b:Title>
    <b:JournalName>Cuadernos de Administración, vol. 16, núm. 26, julio-diciembre, 2003</b:JournalName>
    <b:Year>2003</b:Year>
    <b:Pages>61-78</b:Pages>
    <b:RefOrder>41</b:RefOrder>
  </b:Source>
  <b:Source>
    <b:Tag>Mon19</b:Tag>
    <b:SourceType>DocumentFromInternetSite</b:SourceType>
    <b:Guid>{5A38C106-5BB3-47C5-85BF-92C3FB640D06}</b:Guid>
    <b:Year>2019</b:Year>
    <b:Author>
      <b:Author>
        <b:NameList>
          <b:Person>
            <b:Last>Montes</b:Last>
            <b:First>Henry</b:First>
            <b:Middle>Alí Montealegre</b:Middle>
          </b:Person>
        </b:NameList>
      </b:Author>
    </b:Author>
    <b:Month>Noviembre</b:Month>
    <b:Day>1</b:Day>
    <b:URL>https://camaraaguachica.org.co/files/ley-transparencia/obligacion-reporte/estudios-investigaciones-otros/turistico.pdf</b:URL>
    <b:RefOrder>42</b:RefOrder>
  </b:Source>
  <b:Source>
    <b:Tag>Pra22</b:Tag>
    <b:SourceType>InternetSite</b:SourceType>
    <b:Guid>{6264C1D6-C858-4FF3-A160-5B153CEBA422}</b:Guid>
    <b:Author>
      <b:Author>
        <b:NameList>
          <b:Person>
            <b:Last>Prado</b:Last>
            <b:First>Lina</b:First>
            <b:Middle>Galindo</b:Middle>
          </b:Person>
        </b:NameList>
      </b:Author>
    </b:Author>
    <b:Title>Gobernación del Cesar</b:Title>
    <b:Year>2022</b:Year>
    <b:Month>Enero</b:Month>
    <b:Day>27</b:Day>
    <b:URL>https://cesar.gov.co/d/es/noticias/boletines/5257-artbp-000598-2022</b:URL>
    <b:RefOrder>20</b:RefOrder>
  </b:Source>
  <b:Source>
    <b:Tag>Min241</b:Tag>
    <b:SourceType>InternetSite</b:SourceType>
    <b:Guid>{A7DFEB57-2193-4271-A5A4-A22F49224171}</b:Guid>
    <b:Author>
      <b:Author>
        <b:NameList>
          <b:Person>
            <b:Last>MinAgricultura</b:Last>
          </b:Person>
        </b:NameList>
      </b:Author>
    </b:Author>
    <b:Title>Agronet</b:Title>
    <b:Year>2024</b:Year>
    <b:Month>septiembre</b:Month>
    <b:Day>27</b:Day>
    <b:URL>https://www.agronet.gov.co/estadistica/Paginas/home.aspx?cod=9</b:URL>
    <b:RefOrder>22</b:RefOrder>
  </b:Source>
  <b:Source>
    <b:Tag>Min242</b:Tag>
    <b:SourceType>DocumentFromInternetSite</b:SourceType>
    <b:Guid>{E30AD7C2-0EDE-41E2-B602-84461DBFA820}</b:Guid>
    <b:Title>ministerio de comercio industria y turismo</b:Title>
    <b:Year>2024</b:Year>
    <b:Month>Agosto</b:Month>
    <b:Day>1</b:Day>
    <b:URL>https://www.mincit.gov.co/getattachment/estudios-economicos/perfiles-economicos-por-departamentos/perfiles-economicos-por-departamentos/cesar/agosto-2024/oee-jcy-perfil-departamental-cesar-26ago24.pdf.aspx</b:URL>
    <b:Author>
      <b:Author>
        <b:NameList>
          <b:Person>
            <b:Last>MinComercio</b:Last>
          </b:Person>
        </b:NameList>
      </b:Author>
    </b:Author>
    <b:RefOrder>43</b:RefOrder>
  </b:Source>
  <b:Source>
    <b:Tag>Gui</b:Tag>
    <b:SourceType>Report</b:SourceType>
    <b:Guid>{D0DBC817-3106-4FAA-ACFC-B0BC7265A24B}</b:Guid>
    <b:Title>Guias lega </b:Title>
    <b:RefOrder>44</b:RefOrder>
  </b:Source>
  <b:Source>
    <b:Tag>Nic24</b:Tag>
    <b:SourceType>Report</b:SourceType>
    <b:Guid>{3F91882E-B733-480B-AA6E-C689ABFBEAEC}</b:Guid>
    <b:Author>
      <b:Author>
        <b:NameList>
          <b:Person>
            <b:Last>Potdevin</b:Last>
            <b:First>Nicolás</b:First>
          </b:Person>
        </b:NameList>
      </b:Author>
    </b:Author>
    <b:Title>Guia Legal de Zonas Francas 2024</b:Title>
    <b:Year>2024</b:Year>
    <b:Publisher>Gomez-Pinzon</b:Publisher>
    <b:City>Bogotá, Colombia</b:City>
    <b:RefOrder>24</b:RefOrder>
  </b:Source>
  <b:Source>
    <b:Tag>Gut12</b:Tag>
    <b:SourceType>JournalArticle</b:SourceType>
    <b:Guid>{FF8651C9-AC96-4308-A03A-2E9F15B85AD0}</b:Guid>
    <b:Title>Conflictos sociales y violencia en el departamento del Cesar, Colombia</b:Title>
    <b:Year>2012</b:Year>
    <b:Author>
      <b:Author>
        <b:NameList>
          <b:Person>
            <b:Last>Gutiérrez</b:Last>
            <b:First>Omar</b:First>
            <b:Middle>Lemus</b:Middle>
          </b:Person>
        </b:NameList>
      </b:Author>
    </b:Author>
    <b:JournalName>https://revistas.unal.edu.co/index.php/recs/article/view/31335/39579</b:JournalName>
    <b:Pages>1-20</b:Pages>
    <b:RefOrder>45</b:RefOrder>
  </b:Source>
  <b:Source>
    <b:Tag>Con05</b:Tag>
    <b:SourceType>DocumentFromInternetSite</b:SourceType>
    <b:Guid>{094DFAFD-A9E7-4E24-8BC2-00BCDA99D146}</b:Guid>
    <b:Title>Función Pública</b:Title>
    <b:Year>2005</b:Year>
    <b:Author>
      <b:Author>
        <b:Corporate>Congreso de la Republica </b:Corporate>
      </b:Author>
    </b:Author>
    <b:Month>Diciembre</b:Month>
    <b:Day>30</b:Day>
    <b:URL>https://www.funcionpublica.gov.co/eva/gestornormativo/norma.php?i=18704</b:URL>
    <b:RefOrder>46</b:RefOrder>
  </b:Source>
  <b:Source>
    <b:Tag>Dep05</b:Tag>
    <b:SourceType>Report</b:SourceType>
    <b:Guid>{11632BD5-86CC-4AC2-BC39-D526A7EBC3B1}</b:Guid>
    <b:Author>
      <b:Author>
        <b:Corporate>Departamento Administrativo de la Función Pública</b:Corporate>
      </b:Author>
    </b:Author>
    <b:Title>Ley 1004 de 2005</b:Title>
    <b:Year>2005</b:Year>
    <b:URL>https://www.funcionpublica.gov.co/eva/gestornormativo/norma_pdf.php?i=18704#:~:text=Art%C3%ADculo%201%C2%B0.,aduanera%20y%20de%20comercio%20exterior.</b:URL>
    <b:City>Colombia </b:City>
    <b:Pages>3</b:Pages>
    <b:RefOrder>47</b:RefOrder>
  </b:Source>
  <b:Source>
    <b:Tag>Dep051</b:Tag>
    <b:SourceType>Report</b:SourceType>
    <b:Guid>{19EBBF3F-F0F2-4B00-AA24-A7B1F8339797}</b:Guid>
    <b:Author>
      <b:Author>
        <b:Corporate>Departamento Administrativo de Función Publica</b:Corporate>
      </b:Author>
    </b:Author>
    <b:Title>Ley 1004 de 2005</b:Title>
    <b:Year>2005</b:Year>
    <b:URL>https://www.funcionpublica.gov.co/eva/gestornormativo/norma.php?i=18704</b:URL>
    <b:RefOrder>48</b:RefOrder>
  </b:Source>
  <b:Source>
    <b:Tag>Alc16</b:Tag>
    <b:SourceType>Report</b:SourceType>
    <b:Guid>{C95E4B89-22EB-4E3B-9003-9B277ABF2211}</b:Guid>
    <b:Author>
      <b:Author>
        <b:Corporate>Alcaldia Mayor de Bogota</b:Corporate>
      </b:Author>
    </b:Author>
    <b:Title>Decreto 2147 de 2016</b:Title>
    <b:Year>2016</b:Year>
    <b:City>Bogota </b:City>
    <b:URL>https://www.alcaldiabogota.gov.co/sisjur/normas/Norma1.jsp?i=67953</b:URL>
    <b:RefOrder>16</b:RefOrder>
  </b:Source>
  <b:Source>
    <b:Tag>DIA08</b:Tag>
    <b:SourceType>Report</b:SourceType>
    <b:Guid>{9E9AE284-8EC8-47B9-A32B-D18C0BA3AEC7}</b:Guid>
    <b:Author>
      <b:Author>
        <b:Corporate>DIAN</b:Corporate>
      </b:Author>
    </b:Author>
    <b:Title>CIRCULAR EXTERNA 43 DE 2008</b:Title>
    <b:Year>2008</b:Year>
    <b:URL>https://normograma.dian.gov.co/dian/compilacion/docs/circular_dian_0043_2008.htm#:~:text=Es%20la%20operaci%C3%B3n%20que%20permite%20el%20ingreso%20para%20un%20usuario,usuario%20industrial%20de%20zona%20franca.</b:URL>
    <b:RefOrder>11</b:RefOrder>
  </b:Source>
  <b:Source>
    <b:Tag>DIA21</b:Tag>
    <b:SourceType>Report</b:SourceType>
    <b:Guid>{F7C1D260-1A83-457F-B414-FEBBCD3006DC}</b:Guid>
    <b:Author>
      <b:Author>
        <b:Corporate>DIAN</b:Corporate>
      </b:Author>
    </b:Author>
    <b:Title>La Circular 6 de 2021</b:Title>
    <b:Year>2021</b:Year>
    <b:URL>https://normograma.dian.gov.co/dian/compilacion/docs/circular_dian_0006_2021.htm#:~:text=Asunto%3A,presentar%20Declaraci%C3%B3n%20Especial%20de%20Importaci%C3%B3n.</b:URL>
    <b:RefOrder>12</b:RefOrder>
  </b:Source>
  <b:Source>
    <b:Tag>DIA10</b:Tag>
    <b:SourceType>Report</b:SourceType>
    <b:Guid>{E98A4273-4E61-4491-AD3A-E666705BE631}</b:Guid>
    <b:Author>
      <b:Author>
        <b:Corporate>DIAN</b:Corporate>
      </b:Author>
    </b:Author>
    <b:Title>CIRCULAR EXTERNA 33 DE 2010</b:Title>
    <b:Year>2010</b:Year>
    <b:URL>https://normograma.dian.gov.co/dian/compilacion/docs/circular_dian_0033_2010.htm</b:URL>
    <b:RefOrder>13</b:RefOrder>
  </b:Source>
  <b:Source>
    <b:Tag>DIA081</b:Tag>
    <b:SourceType>Report</b:SourceType>
    <b:Guid>{34790A8E-2A5A-47FB-879B-3DBF02EE2126}</b:Guid>
    <b:Author>
      <b:Author>
        <b:Corporate>DIAN</b:Corporate>
      </b:Author>
    </b:Author>
    <b:Title>CIRCULAR EXTERNA 43 DE 2008</b:Title>
    <b:Year>2008</b:Year>
    <b:URL>https://normograma.dian.gov.co/dian/compilacion/docs/circular_dian_0043_2008.htm</b:URL>
    <b:RefOrder>14</b:RefOrder>
  </b:Source>
  <b:Source>
    <b:Tag>Cor23</b:Tag>
    <b:SourceType>Report</b:SourceType>
    <b:Guid>{EE4F8C9F-1D79-4CFE-8883-90F5AAAC7B6A}</b:Guid>
    <b:Author>
      <b:Author>
        <b:Corporate>Corte Constitucional de Colombia</b:Corporate>
      </b:Author>
    </b:Author>
    <b:Title>Sentencia C-384 de 2023</b:Title>
    <b:Year>2023</b:Year>
    <b:URL>chrome-extension://efaidnbmnnnibpcajpcglclefindmkaj/https://www.corteconstitucional.gov.co/comunicados/COMUNICADO%2036%20-%20Octubre%202%20de%202023.pdf</b:URL>
    <b:RefOrder>15</b:RefOrder>
  </b:Source>
  <b:Source>
    <b:Tag>DIA19</b:Tag>
    <b:SourceType>Report</b:SourceType>
    <b:Guid>{D3E3689C-67ED-4968-A1F8-2C7B480CD28F}</b:Guid>
    <b:Author>
      <b:Author>
        <b:Corporate>DIAN</b:Corporate>
      </b:Author>
    </b:Author>
    <b:Title>Decreto 1165 de 2019</b:Title>
    <b:Year>2019</b:Year>
    <b:URL>chrome-extension://efaidnbmnnnibpcajpcglclefindmkaj/https://www.dian.gov.co/aduanas/aspectecmercancias/Origen1/1-1-1-Decreto-1165-2019-Extracto-regulaciones-relacionadas-con-el-origen.pdf</b:URL>
    <b:RefOrder>49</b:RefOrder>
  </b:Source>
  <b:Source>
    <b:Tag>Sec24</b:Tag>
    <b:SourceType>Report</b:SourceType>
    <b:Guid>{99968E15-BA87-4F8D-8F5F-EE9EA003F262}</b:Guid>
    <b:Author>
      <b:Author>
        <b:Corporate>Secretaria Mayor de Bogota</b:Corporate>
      </b:Author>
    </b:Author>
    <b:Title>Decreto 027 de 2024</b:Title>
    <b:Year>2024</b:Year>
    <b:URL>https://www.alcaldiabogota.gov.co/sisjur/normas/Norma1.jsp?i=152942</b:URL>
    <b:RefOrder>50</b:RefOrder>
  </b:Source>
  <b:Source>
    <b:Tag>DAN24</b:Tag>
    <b:SourceType>Report</b:SourceType>
    <b:Guid>{28851900-45DC-46F4-B785-D8DB5EA61C1E}</b:Guid>
    <b:Author>
      <b:Author>
        <b:Corporate>DANE</b:Corporate>
      </b:Author>
    </b:Author>
    <b:Title>Zonas Francas</b:Title>
    <b:Year>2024</b:Year>
    <b:URL>https://www.dane.gov.co/index.php/estadisticas-por-tema/comercio-internacional/zonas-francas</b:URL>
    <b:RefOrder>51</b:RefOrder>
  </b:Source>
  <b:Source>
    <b:Tag>Dnp24</b:Tag>
    <b:SourceType>InternetSite</b:SourceType>
    <b:Guid>{BDE27D80-0C7F-4A68-9566-6EB89F41EFBC}</b:Guid>
    <b:Title>TerriData</b:Title>
    <b:Year>2024</b:Year>
    <b:Month>septiembre</b:Month>
    <b:Day>26</b:Day>
    <b:URL>https://terridata.dnp.gov.co/index-app.html#/comparaciones</b:URL>
    <b:Author>
      <b:Author>
        <b:Corporate>DNP</b:Corporate>
      </b:Author>
    </b:Author>
    <b:RefOrder>25</b:RefOrder>
  </b:Source>
  <b:Source>
    <b:Tag>Dan242</b:Tag>
    <b:SourceType>InternetSite</b:SourceType>
    <b:Guid>{27CB1EB9-0789-42D3-BB9F-9CC66106A3EC}</b:Guid>
    <b:Author>
      <b:Author>
        <b:Corporate>DANE</b:Corporate>
      </b:Author>
    </b:Author>
    <b:Title>Departamento Administrativo Nacional de Planeación</b:Title>
    <b:Year>2024</b:Year>
    <b:Month>Septiembre</b:Month>
    <b:Day>26</b:Day>
    <b:URL>https://www.dane.gov.co/</b:URL>
    <b:RefOrder>21</b:RefOrder>
  </b:Source>
  <b:Source>
    <b:Tag>Esa01</b:Tag>
    <b:SourceType>InternetSite</b:SourceType>
    <b:Guid>{4462F8BD-9C74-4A86-9DEB-8B243645CB97}</b:Guid>
    <b:Author>
      <b:Author>
        <b:Corporate>ESAP</b:Corporate>
      </b:Author>
    </b:Author>
    <b:Title>repositoriocdim.esap</b:Title>
    <b:Year>2001</b:Year>
    <b:Month>diciembre</b:Month>
    <b:Day>1</b:Day>
    <b:URL>https://repositoriocdim.esap.edu.co/handle/20.500.14471/10338</b:URL>
    <b:RefOrder>23</b:RefOrder>
  </b:Source>
  <b:Source>
    <b:Tag>Nic07</b:Tag>
    <b:SourceType>Book</b:SourceType>
    <b:Guid>{8791F93D-CB82-4744-A594-4F1D181470C9}</b:Guid>
    <b:Title>Políticas activas para atraer inversión extranjera directa en América Latina y el Caribe </b:Title>
    <b:Year>2007</b:Year>
    <b:Publisher>CEPAL - SERIE Desarrollo productivo</b:Publisher>
    <b:City>Santiago de Chile</b:City>
    <b:Author>
      <b:Author>
        <b:NameList>
          <b:Person>
            <b:Last>Gligo</b:Last>
            <b:First>Nicolo</b:First>
          </b:Person>
        </b:NameList>
      </b:Author>
    </b:Author>
    <b:RefOrder>2</b:RefOrder>
  </b:Source>
  <b:Source>
    <b:Tag>Dua04</b:Tag>
    <b:SourceType>Report</b:SourceType>
    <b:Guid>{5D4EC378-18E1-4B7D-B671-58ADC4B23CAE}</b:Guid>
    <b:Title>Factrores determinantes y críticos en empresas y servicios para la obtencion de ventajas competitivas sostenibles y transferibles a estratégias de globalización: un análisis de la industria del siftware</b:Title>
    <b:Year>2004</b:Year>
    <b:City>Barcelona</b:City>
    <b:Publisher>Universidad Autónoma de Barcelona</b:Publisher>
    <b:Author>
      <b:Author>
        <b:NameList>
          <b:Person>
            <b:Last>Duarte</b:Last>
            <b:First>Jose</b:First>
            <b:Middle>Luis Castillo</b:Middle>
          </b:Person>
        </b:NameList>
      </b:Author>
    </b:Author>
    <b:RefOrder>52</b:RefOrder>
  </b:Source>
  <b:Source>
    <b:Tag>Mon15</b:Tag>
    <b:SourceType>JournalArticle</b:SourceType>
    <b:Guid>{63B8AB6A-EF58-49A2-BD68-08C8BFC97121}</b:Guid>
    <b:Title>Formulación de una estrategia para prevenir y controlar las crisis en la Organización de la Zona Franca de Aras</b:Title>
    <b:Year>2015</b:Year>
    <b:Author>
      <b:Author>
        <b:NameList>
          <b:Person>
            <b:Last>Monavvarian</b:Last>
            <b:First>A</b:First>
          </b:Person>
          <b:Person>
            <b:Last>Alamdari</b:Last>
            <b:First>J.</b:First>
          </b:Person>
        </b:NameList>
      </b:Author>
    </b:Author>
    <b:JournalName>Revista Europea en Línea de Ciencias Naturales y Sociales , 4</b:JournalName>
    <b:Pages>781-797</b:Pages>
    <b:RefOrder>17</b:RefOrder>
  </b:Source>
  <b:Source>
    <b:Tag>Liu21</b:Tag>
    <b:SourceType>JournalArticle</b:SourceType>
    <b:Guid>{1031BA0D-068A-4AA4-9EBD-EF2CE19BAC17}</b:Guid>
    <b:Author>
      <b:Author>
        <b:NameList>
          <b:Person>
            <b:Last>Liu</b:Last>
            <b:First>J</b:First>
          </b:Person>
          <b:Person>
            <b:Last>Wang</b:Last>
            <b:First>X</b:First>
          </b:Person>
          <b:Person>
            <b:Last>Guo</b:Last>
            <b:First>J</b:First>
          </b:Person>
        </b:NameList>
      </b:Author>
    </b:Author>
    <b:Title>Eficiencia portuaria y sus factores influyentes en el contexto de las Zonas Francas Piloto</b:Title>
    <b:JournalName>Transport Policy , 105</b:JournalName>
    <b:Year>2021</b:Year>
    <b:Pages>67-79</b:Pages>
    <b:RefOrder>18</b:RefOrder>
  </b:Source>
  <b:Source>
    <b:Tag>Tan22</b:Tag>
    <b:SourceType>JournalArticle</b:SourceType>
    <b:Guid>{0A97B859-51F8-498B-8977-4330C912D9E0}</b:Guid>
    <b:Author>
      <b:Author>
        <b:NameList>
          <b:Person>
            <b:Last>Tang</b:Last>
            <b:First>L</b:First>
          </b:Person>
          <b:Person>
            <b:Last>Tan</b:Last>
            <b:First>X</b:First>
          </b:Person>
          <b:Person>
            <b:Last>Guo</b:Last>
            <b:First>P</b:First>
          </b:Person>
          <b:Person>
            <b:Last>Huang</b:Last>
            <b:First>T</b:First>
          </b:Person>
          <b:Person>
            <b:Last>Liu</b:Last>
            <b:First>T</b:First>
          </b:Person>
        </b:NameList>
      </b:Author>
    </b:Author>
    <b:Title>Análisis comparativo de los factores de ubicación y su influencia externa en las zonas portuarias de libre comercio en China</b:Title>
    <b:JournalName>Sostenibilidad 2022 , 14 (4)</b:JournalName>
    <b:Year>2022</b:Year>
    <b:Pages>1-19</b:Pages>
    <b:RefOrder>19</b:RefOrder>
  </b:Source>
  <b:Source>
    <b:Tag>Ang19</b:Tag>
    <b:SourceType>Report</b:SourceType>
    <b:Guid>{CB51CF26-006B-416F-8CE0-1177DDCEF461}</b:Guid>
    <b:Title>Factores políticos y económicos que han influido en el desarrollo logístico y comercial de la Zona Franca de Bogotá 2012-2017 (Trabajo de Grado)</b:Title>
    <b:Year>2019</b:Year>
    <b:Author>
      <b:Author>
        <b:NameList>
          <b:Person>
            <b:Last>Espitia</b:Last>
            <b:First>Angela</b:First>
          </b:Person>
          <b:Person>
            <b:Last>Leon</b:Last>
            <b:First>Edna</b:First>
          </b:Person>
        </b:NameList>
      </b:Author>
    </b:Author>
    <b:Publisher>Universidad de La Salle</b:Publisher>
    <b:City>Bogotá</b:City>
    <b:RefOrder>1</b:RefOrder>
  </b:Source>
</b:Sources>
</file>

<file path=customXml/itemProps1.xml><?xml version="1.0" encoding="utf-8"?>
<ds:datastoreItem xmlns:ds="http://schemas.openxmlformats.org/officeDocument/2006/customXml" ds:itemID="{D6CB56F7-C528-4BF9-B495-2BE52FA00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186</Pages>
  <Words>45697</Words>
  <Characters>251338</Characters>
  <Application>Microsoft Office Word</Application>
  <DocSecurity>0</DocSecurity>
  <Lines>2094</Lines>
  <Paragraphs>592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maurico pedrozo</dc:creator>
  <cp:keywords/>
  <dc:description/>
  <cp:lastModifiedBy>ECONOMIA</cp:lastModifiedBy>
  <cp:revision>2</cp:revision>
  <dcterms:created xsi:type="dcterms:W3CDTF">2025-01-24T16:11:00Z</dcterms:created>
  <dcterms:modified xsi:type="dcterms:W3CDTF">2025-01-24T16:11:00Z</dcterms:modified>
</cp:coreProperties>
</file>