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ascii="Times New Roman" w:hAnsi="Times New Roman" w:cs="Times New Roman"/>
          <w:sz w:val="24"/>
          <w:szCs w:val="24"/>
          <w:lang w:val="es-CO"/>
        </w:rPr>
      </w:pPr>
      <w:r>
        <w:rPr>
          <w:rFonts w:ascii="Times New Roman" w:hAnsi="Times New Roman" w:cs="Times New Roman"/>
          <w:sz w:val="24"/>
          <w:szCs w:val="24"/>
          <w:lang w:val="es-CO"/>
        </w:rPr>
        <w:t>Análisis del Nivel de Prevención de Riesgos Laborales en las Empresas del Sector Construcción en Aguachica- Cesar</w:t>
      </w:r>
    </w:p>
    <w:p>
      <w:pPr>
        <w:rPr>
          <w:rFonts w:ascii="Times New Roman" w:hAnsi="Times New Roman"/>
          <w:sz w:val="20"/>
          <w:szCs w:val="20"/>
        </w:rPr>
      </w:pPr>
    </w:p>
    <w:p>
      <w:pPr>
        <w:jc w:val="center"/>
        <w:rPr>
          <w:rFonts w:ascii="Times New Roman" w:hAnsi="Times New Roman"/>
          <w:b/>
        </w:rPr>
      </w:pPr>
      <w:r>
        <w:rPr>
          <w:rFonts w:ascii="Times New Roman" w:hAnsi="Times New Roman"/>
          <w:b/>
        </w:rPr>
        <w:t>Analysis of the Level of Occupational Risk Prevention in Companies in the Construction Sector in Aguachica- Cesar</w:t>
      </w:r>
    </w:p>
    <w:p>
      <w:pPr>
        <w:pStyle w:val="16"/>
        <w:spacing w:after="120" w:line="240" w:lineRule="auto"/>
        <w:contextualSpacing/>
        <w:jc w:val="center"/>
        <w:rPr>
          <w:rFonts w:ascii="Times New Roman" w:hAnsi="Times New Roman"/>
          <w:i/>
          <w:szCs w:val="20"/>
          <w:vertAlign w:val="superscript"/>
        </w:rPr>
      </w:pPr>
      <w:r>
        <w:rPr>
          <w:rFonts w:ascii="Times New Roman" w:hAnsi="Times New Roman"/>
          <w:i/>
          <w:szCs w:val="20"/>
          <w:vertAlign w:val="superscript"/>
        </w:rPr>
        <w:t>Robles Otalvarez Luis Hernandoª, Solano Vidales Sergio AndrésbCruz Herrera Javier</w:t>
      </w:r>
    </w:p>
    <w:p>
      <w:pPr>
        <w:pStyle w:val="16"/>
        <w:spacing w:after="120" w:line="240" w:lineRule="auto"/>
        <w:contextualSpacing/>
        <w:jc w:val="center"/>
        <w:rPr>
          <w:rFonts w:ascii="Times New Roman" w:hAnsi="Times New Roman"/>
          <w:i/>
          <w:szCs w:val="20"/>
          <w:vertAlign w:val="superscript"/>
        </w:rPr>
      </w:pPr>
      <w:r>
        <w:rPr>
          <w:rFonts w:ascii="Times New Roman" w:hAnsi="Times New Roman"/>
          <w:i/>
          <w:szCs w:val="20"/>
          <w:vertAlign w:val="superscript"/>
        </w:rPr>
        <w:t>Enriquec</w:t>
      </w:r>
    </w:p>
    <w:p>
      <w:pPr>
        <w:pStyle w:val="16"/>
        <w:spacing w:after="120" w:line="240" w:lineRule="auto"/>
        <w:contextualSpacing/>
        <w:jc w:val="center"/>
        <w:rPr>
          <w:rFonts w:ascii="Times New Roman" w:hAnsi="Times New Roman"/>
          <w:i/>
          <w:szCs w:val="20"/>
          <w:vertAlign w:val="superscript"/>
        </w:rPr>
      </w:pPr>
    </w:p>
    <w:p>
      <w:pPr>
        <w:spacing w:after="0" w:line="240" w:lineRule="auto"/>
        <w:jc w:val="center"/>
        <w:rPr>
          <w:rFonts w:ascii="Times New Roman" w:hAnsi="Times New Roman"/>
          <w:sz w:val="20"/>
          <w:szCs w:val="20"/>
          <w:lang w:val="es-CO"/>
        </w:rPr>
      </w:pPr>
      <w:r>
        <w:rPr>
          <w:rFonts w:ascii="Times New Roman" w:hAnsi="Times New Roman"/>
          <w:sz w:val="20"/>
          <w:szCs w:val="20"/>
          <w:lang w:val="es-CO"/>
        </w:rPr>
        <w:t xml:space="preserve">ª Estudiante Administración de empresas de la universidad popular del cesar, seccional Aguachica, Email: </w:t>
      </w:r>
    </w:p>
    <w:p>
      <w:pPr>
        <w:spacing w:after="0" w:line="240" w:lineRule="auto"/>
        <w:jc w:val="center"/>
        <w:rPr>
          <w:rFonts w:ascii="Times New Roman" w:hAnsi="Times New Roman"/>
          <w:sz w:val="20"/>
          <w:szCs w:val="20"/>
          <w:lang w:val="es-CO"/>
        </w:rPr>
      </w:pPr>
      <w:r>
        <w:rPr>
          <w:rFonts w:ascii="Times New Roman" w:hAnsi="Times New Roman"/>
          <w:sz w:val="20"/>
          <w:szCs w:val="20"/>
          <w:lang w:val="es-CO"/>
        </w:rPr>
        <w:t xml:space="preserve">lhrobles@unicesar.edu.co. ORCID ID: </w:t>
      </w:r>
      <w:r>
        <w:fldChar w:fldCharType="begin"/>
      </w:r>
      <w:r>
        <w:instrText xml:space="preserve"> HYPERLINK "https://orcid.org/0009-0007-1807-5093" </w:instrText>
      </w:r>
      <w:r>
        <w:fldChar w:fldCharType="separate"/>
      </w:r>
      <w:r>
        <w:rPr>
          <w:rStyle w:val="6"/>
          <w:rFonts w:ascii="Times New Roman" w:hAnsi="Times New Roman"/>
          <w:sz w:val="20"/>
          <w:szCs w:val="20"/>
          <w:lang w:val="es-CO"/>
        </w:rPr>
        <w:t>https://orcid.org/0009-0007-1807-5093</w:t>
      </w:r>
      <w:r>
        <w:rPr>
          <w:rStyle w:val="6"/>
          <w:rFonts w:ascii="Times New Roman" w:hAnsi="Times New Roman"/>
          <w:sz w:val="20"/>
          <w:szCs w:val="20"/>
          <w:lang w:val="es-CO"/>
        </w:rPr>
        <w:fldChar w:fldCharType="end"/>
      </w:r>
      <w:r>
        <w:rPr>
          <w:rFonts w:ascii="Times New Roman" w:hAnsi="Times New Roman"/>
          <w:sz w:val="20"/>
          <w:szCs w:val="20"/>
          <w:lang w:val="es-CO"/>
        </w:rPr>
        <w:t>.</w:t>
      </w:r>
    </w:p>
    <w:p>
      <w:pPr>
        <w:spacing w:after="0" w:line="240" w:lineRule="auto"/>
        <w:jc w:val="center"/>
        <w:rPr>
          <w:rFonts w:ascii="Times New Roman" w:hAnsi="Times New Roman"/>
          <w:sz w:val="20"/>
          <w:szCs w:val="20"/>
          <w:lang w:val="es-CO"/>
        </w:rPr>
      </w:pPr>
    </w:p>
    <w:p>
      <w:pPr>
        <w:spacing w:after="0" w:line="240" w:lineRule="auto"/>
        <w:jc w:val="center"/>
        <w:rPr>
          <w:rFonts w:ascii="Times New Roman" w:hAnsi="Times New Roman"/>
          <w:sz w:val="20"/>
          <w:szCs w:val="20"/>
          <w:lang w:val="es-CO"/>
        </w:rPr>
      </w:pPr>
      <w:r>
        <w:rPr>
          <w:rFonts w:ascii="Times New Roman" w:hAnsi="Times New Roman"/>
          <w:sz w:val="20"/>
          <w:szCs w:val="20"/>
          <w:lang w:val="es-CO"/>
        </w:rPr>
        <w:t xml:space="preserve">b Estudiante Administración de empresas de la universidad popular del cesar, seccional Aguachica, Email: sandressolano@unicersare.edu.co. ORCID ID: </w:t>
      </w:r>
      <w:r>
        <w:fldChar w:fldCharType="begin"/>
      </w:r>
      <w:r>
        <w:instrText xml:space="preserve"> HYPERLINK "https://orcid.org/0009-0000-2715-0111" </w:instrText>
      </w:r>
      <w:r>
        <w:fldChar w:fldCharType="separate"/>
      </w:r>
      <w:r>
        <w:rPr>
          <w:rStyle w:val="6"/>
          <w:rFonts w:ascii="Times New Roman" w:hAnsi="Times New Roman"/>
          <w:sz w:val="20"/>
          <w:szCs w:val="20"/>
          <w:lang w:val="es-CO"/>
        </w:rPr>
        <w:t>https://orcid.org/0009-0000-2715-0111</w:t>
      </w:r>
      <w:r>
        <w:rPr>
          <w:rStyle w:val="6"/>
          <w:rFonts w:ascii="Times New Roman" w:hAnsi="Times New Roman"/>
          <w:sz w:val="20"/>
          <w:szCs w:val="20"/>
          <w:lang w:val="es-CO"/>
        </w:rPr>
        <w:fldChar w:fldCharType="end"/>
      </w:r>
      <w:r>
        <w:rPr>
          <w:rFonts w:ascii="Times New Roman" w:hAnsi="Times New Roman"/>
          <w:sz w:val="20"/>
          <w:szCs w:val="20"/>
          <w:lang w:val="es-CO"/>
        </w:rPr>
        <w:t>.</w:t>
      </w:r>
    </w:p>
    <w:p>
      <w:pPr>
        <w:spacing w:after="0" w:line="240" w:lineRule="auto"/>
        <w:jc w:val="center"/>
        <w:rPr>
          <w:rFonts w:ascii="Times New Roman" w:hAnsi="Times New Roman"/>
          <w:sz w:val="20"/>
          <w:szCs w:val="20"/>
          <w:lang w:val="es-CO"/>
        </w:rPr>
      </w:pPr>
    </w:p>
    <w:p>
      <w:pPr>
        <w:spacing w:after="0" w:line="240" w:lineRule="auto"/>
        <w:jc w:val="center"/>
        <w:rPr>
          <w:rFonts w:ascii="Times New Roman" w:hAnsi="Times New Roman"/>
          <w:sz w:val="20"/>
          <w:szCs w:val="20"/>
          <w:lang w:val="es-CO"/>
        </w:rPr>
      </w:pPr>
      <w:r>
        <w:rPr>
          <w:rFonts w:ascii="Times New Roman" w:hAnsi="Times New Roman"/>
          <w:sz w:val="20"/>
          <w:szCs w:val="20"/>
          <w:lang w:val="es-CO"/>
        </w:rPr>
        <w:t xml:space="preserve">c Especialista en Gerencia de Proyectos y Gerencia Financiera, Docente del programa de Administración de Empresas de la Universidad Popular del Cesar, Seccional Aguachica, Investigador del Grupo de </w:t>
      </w:r>
    </w:p>
    <w:p>
      <w:pPr>
        <w:spacing w:after="0" w:line="240" w:lineRule="auto"/>
        <w:jc w:val="center"/>
        <w:rPr>
          <w:rFonts w:ascii="Times New Roman" w:hAnsi="Times New Roman"/>
          <w:sz w:val="20"/>
          <w:szCs w:val="20"/>
          <w:lang w:val="es-CO"/>
        </w:rPr>
      </w:pPr>
      <w:r>
        <w:rPr>
          <w:rFonts w:ascii="Times New Roman" w:hAnsi="Times New Roman"/>
          <w:sz w:val="20"/>
          <w:szCs w:val="20"/>
          <w:lang w:val="es-CO"/>
        </w:rPr>
        <w:t>Investigación BUTERAMA. Líder del Semillero de Investigación SIGA, jenriquecruz@unicesar.edu.co.</w:t>
      </w:r>
    </w:p>
    <w:p>
      <w:pPr>
        <w:spacing w:after="0" w:line="240" w:lineRule="auto"/>
        <w:jc w:val="center"/>
        <w:rPr>
          <w:rFonts w:ascii="Times New Roman" w:hAnsi="Times New Roman"/>
          <w:sz w:val="20"/>
          <w:szCs w:val="20"/>
          <w:lang w:val="es-CO"/>
        </w:rPr>
      </w:pPr>
      <w:r>
        <w:rPr>
          <w:rFonts w:ascii="Times New Roman" w:hAnsi="Times New Roman"/>
          <w:sz w:val="20"/>
          <w:szCs w:val="20"/>
          <w:lang w:val="es-CO"/>
        </w:rPr>
        <w:t xml:space="preserve">ORCID ID: </w:t>
      </w:r>
      <w:r>
        <w:fldChar w:fldCharType="begin"/>
      </w:r>
      <w:r>
        <w:instrText xml:space="preserve"> HYPERLINK "https://orcid.org/0000-0001-5328-9096" </w:instrText>
      </w:r>
      <w:r>
        <w:fldChar w:fldCharType="separate"/>
      </w:r>
      <w:r>
        <w:rPr>
          <w:rStyle w:val="6"/>
          <w:rFonts w:ascii="Times New Roman" w:hAnsi="Times New Roman"/>
          <w:sz w:val="20"/>
          <w:szCs w:val="20"/>
          <w:lang w:val="es-CO"/>
        </w:rPr>
        <w:t>https://orcid.org/0000-0001-5328-9096</w:t>
      </w:r>
      <w:r>
        <w:rPr>
          <w:rStyle w:val="6"/>
          <w:rFonts w:ascii="Times New Roman" w:hAnsi="Times New Roman"/>
          <w:sz w:val="20"/>
          <w:szCs w:val="20"/>
          <w:lang w:val="es-CO"/>
        </w:rPr>
        <w:fldChar w:fldCharType="end"/>
      </w:r>
    </w:p>
    <w:p>
      <w:pPr>
        <w:spacing w:after="0" w:line="240" w:lineRule="auto"/>
        <w:jc w:val="center"/>
        <w:rPr>
          <w:rFonts w:ascii="Times New Roman" w:hAnsi="Times New Roman"/>
          <w:sz w:val="20"/>
          <w:szCs w:val="20"/>
          <w:lang w:val="es-CO"/>
        </w:rPr>
      </w:pPr>
    </w:p>
    <w:p>
      <w:pPr>
        <w:rPr>
          <w:rFonts w:ascii="Times New Roman" w:hAnsi="Times New Roman"/>
          <w:sz w:val="20"/>
          <w:szCs w:val="20"/>
        </w:rPr>
      </w:pPr>
      <w:r>
        <w:rPr>
          <w:rFonts w:ascii="Times New Roman" w:hAnsi="Times New Roman"/>
          <w:sz w:val="20"/>
          <w:szCs w:val="20"/>
          <w:lang w:val="es-CO" w:eastAsia="es-CO"/>
        </w:rPr>
        <w:drawing>
          <wp:inline distT="0" distB="0" distL="0" distR="0">
            <wp:extent cx="5934075" cy="19685"/>
            <wp:effectExtent l="0" t="0" r="0" b="0"/>
            <wp:docPr id="1" name="Imagen 1" descr="BD10219_"/>
            <wp:cNvGraphicFramePr/>
            <a:graphic xmlns:a="http://schemas.openxmlformats.org/drawingml/2006/main">
              <a:graphicData uri="http://schemas.openxmlformats.org/drawingml/2006/picture">
                <pic:pic xmlns:pic="http://schemas.openxmlformats.org/drawingml/2006/picture">
                  <pic:nvPicPr>
                    <pic:cNvPr id="1" name="Imagen 1" descr="BD10219_"/>
                    <pic:cNvPicPr/>
                  </pic:nvPicPr>
                  <pic:blipFill>
                    <a:blip r:embed="rId12">
                      <a:extLst>
                        <a:ext uri="{28A0092B-C50C-407E-A947-70E740481C1C}">
                          <a14:useLocalDpi xmlns:a14="http://schemas.microsoft.com/office/drawing/2010/main" val="0"/>
                        </a:ext>
                      </a:extLst>
                    </a:blip>
                    <a:srcRect/>
                    <a:stretch>
                      <a:fillRect/>
                    </a:stretch>
                  </pic:blipFill>
                  <pic:spPr>
                    <a:xfrm>
                      <a:off x="0" y="0"/>
                      <a:ext cx="5934075" cy="19685"/>
                    </a:xfrm>
                    <a:prstGeom prst="rect">
                      <a:avLst/>
                    </a:prstGeom>
                    <a:noFill/>
                    <a:ln>
                      <a:noFill/>
                    </a:ln>
                  </pic:spPr>
                </pic:pic>
              </a:graphicData>
            </a:graphic>
          </wp:inline>
        </w:drawing>
      </w:r>
    </w:p>
    <w:p>
      <w:pPr>
        <w:pStyle w:val="2"/>
        <w:spacing w:before="120" w:after="120"/>
        <w:rPr>
          <w:rFonts w:ascii="Times New Roman" w:hAnsi="Times New Roman" w:cs="Times New Roman"/>
          <w:sz w:val="20"/>
          <w:szCs w:val="20"/>
          <w:lang w:val="es-ES"/>
        </w:rPr>
      </w:pPr>
      <w:r>
        <w:rPr>
          <w:rFonts w:ascii="Times New Roman" w:hAnsi="Times New Roman" w:cs="Times New Roman"/>
          <w:sz w:val="20"/>
          <w:szCs w:val="20"/>
          <w:lang w:val="es-ES"/>
        </w:rPr>
        <w:t>RESUMEN</w:t>
      </w:r>
    </w:p>
    <w:p>
      <w:pPr>
        <w:pStyle w:val="17"/>
        <w:rPr>
          <w:rFonts w:ascii="Times New Roman" w:hAnsi="Times New Roman" w:cs="Times New Roman"/>
          <w:b w:val="0"/>
          <w:sz w:val="20"/>
          <w:szCs w:val="20"/>
          <w:lang w:val="es-CO"/>
        </w:rPr>
      </w:pPr>
      <w:r>
        <w:rPr>
          <w:color w:val="222222"/>
          <w:sz w:val="20"/>
          <w:szCs w:val="20"/>
          <w:lang w:val="es-CO"/>
        </w:rPr>
        <w:t xml:space="preserve">El presente trabajo se enfoca en abordar la problemática de la prevención de riesgos laborales en el sector de la construcción en el municipio de Aguachica, Cesar. Se justifica debido a la importancia crucial de garantizar la seguridad de los trabajadores en un entorno laboral que presenta inherentemente diversos riesgos. El objetivo principal es obtener una comprensión detallada de las prácticas de prevención de riesgos laborales en estas empresas. Para ello, se empleó un enfoque cuantitativo, respaldado por un diseño descriptivo no experimental. La obtención de datos se llevó a cabo mediante la aplicación de cuestionario y hoja de cotejo, que permitieron recopilar información directa. </w:t>
      </w:r>
      <w:r>
        <w:rPr>
          <w:rFonts w:hint="default"/>
          <w:color w:val="222222"/>
          <w:sz w:val="20"/>
          <w:szCs w:val="20"/>
          <w:lang w:val="es-CO"/>
        </w:rPr>
        <w:t>L</w:t>
      </w:r>
      <w:r>
        <w:rPr>
          <w:color w:val="222222"/>
          <w:sz w:val="20"/>
          <w:szCs w:val="20"/>
          <w:lang w:val="es-CO"/>
        </w:rPr>
        <w:t xml:space="preserve">os resultados </w:t>
      </w:r>
      <w:r>
        <w:rPr>
          <w:rFonts w:hint="default"/>
          <w:color w:val="222222"/>
          <w:sz w:val="20"/>
          <w:szCs w:val="20"/>
          <w:lang w:val="es-CO"/>
        </w:rPr>
        <w:t>desvelaron</w:t>
      </w:r>
      <w:r>
        <w:rPr>
          <w:color w:val="222222"/>
          <w:sz w:val="20"/>
          <w:szCs w:val="20"/>
          <w:lang w:val="es-CO"/>
        </w:rPr>
        <w:t xml:space="preserve"> un panorama sobre el nivel de conocimiento, conciencia y cumplimiento de normativas de seguridad en el sector, brindando así información valiosa para la toma de decisiones y la implementación de mejoras en las prácticas de prevención de riesgos laborales. </w:t>
      </w:r>
    </w:p>
    <w:p>
      <w:pPr>
        <w:pStyle w:val="3"/>
        <w:spacing w:before="120" w:after="120"/>
        <w:rPr>
          <w:rFonts w:ascii="Times New Roman" w:hAnsi="Times New Roman" w:cs="Times New Roman"/>
          <w:b w:val="0"/>
          <w:sz w:val="20"/>
          <w:szCs w:val="20"/>
          <w:lang w:val="es-ES"/>
        </w:rPr>
      </w:pPr>
      <w:r>
        <w:rPr>
          <w:rFonts w:ascii="Times New Roman" w:hAnsi="Times New Roman" w:cs="Times New Roman"/>
          <w:sz w:val="20"/>
          <w:szCs w:val="20"/>
          <w:lang w:val="es-ES"/>
        </w:rPr>
        <w:t xml:space="preserve">Palabras clave: </w:t>
      </w:r>
      <w:r>
        <w:rPr>
          <w:rFonts w:ascii="Times New Roman" w:hAnsi="Times New Roman" w:cs="Times New Roman"/>
          <w:b w:val="0"/>
          <w:bCs w:val="0"/>
          <w:color w:val="222222"/>
          <w:sz w:val="20"/>
          <w:szCs w:val="20"/>
          <w:lang w:val="es-CO" w:eastAsia="es-ES"/>
        </w:rPr>
        <w:t>Cultura de Seguridad, EPP (Equipo de Protección Personal), Normativa de Seguridad laboral, Prevención de riesgo y Protocolo.</w:t>
      </w:r>
    </w:p>
    <w:p>
      <w:pPr>
        <w:pStyle w:val="2"/>
        <w:spacing w:before="120" w:after="120"/>
        <w:rPr>
          <w:rFonts w:ascii="Times New Roman" w:hAnsi="Times New Roman" w:cs="Times New Roman"/>
          <w:sz w:val="20"/>
          <w:szCs w:val="20"/>
          <w:lang w:val="es-ES"/>
        </w:rPr>
      </w:pPr>
      <w:r>
        <w:rPr>
          <w:rFonts w:ascii="Times New Roman" w:hAnsi="Times New Roman" w:cs="Times New Roman"/>
          <w:b w:val="0"/>
          <w:kern w:val="0"/>
          <w:sz w:val="20"/>
          <w:szCs w:val="20"/>
          <w:lang w:val="es-CO" w:eastAsia="es-CO"/>
        </w:rPr>
        <w:drawing>
          <wp:inline distT="0" distB="0" distL="0" distR="0">
            <wp:extent cx="5934075" cy="19685"/>
            <wp:effectExtent l="0" t="0" r="0" b="0"/>
            <wp:docPr id="2" name="Imagen 2" descr="BD10219_"/>
            <wp:cNvGraphicFramePr/>
            <a:graphic xmlns:a="http://schemas.openxmlformats.org/drawingml/2006/main">
              <a:graphicData uri="http://schemas.openxmlformats.org/drawingml/2006/picture">
                <pic:pic xmlns:pic="http://schemas.openxmlformats.org/drawingml/2006/picture">
                  <pic:nvPicPr>
                    <pic:cNvPr id="2" name="Imagen 2" descr="BD10219_"/>
                    <pic:cNvPicPr/>
                  </pic:nvPicPr>
                  <pic:blipFill>
                    <a:blip r:embed="rId12">
                      <a:extLst>
                        <a:ext uri="{28A0092B-C50C-407E-A947-70E740481C1C}">
                          <a14:useLocalDpi xmlns:a14="http://schemas.microsoft.com/office/drawing/2010/main" val="0"/>
                        </a:ext>
                      </a:extLst>
                    </a:blip>
                    <a:srcRect/>
                    <a:stretch>
                      <a:fillRect/>
                    </a:stretch>
                  </pic:blipFill>
                  <pic:spPr>
                    <a:xfrm>
                      <a:off x="0" y="0"/>
                      <a:ext cx="5934075" cy="19685"/>
                    </a:xfrm>
                    <a:prstGeom prst="rect">
                      <a:avLst/>
                    </a:prstGeom>
                    <a:noFill/>
                    <a:ln>
                      <a:noFill/>
                    </a:ln>
                  </pic:spPr>
                </pic:pic>
              </a:graphicData>
            </a:graphic>
          </wp:inline>
        </w:drawing>
      </w:r>
      <w:r>
        <w:rPr>
          <w:rFonts w:ascii="Times New Roman" w:hAnsi="Times New Roman" w:cs="Times New Roman"/>
          <w:sz w:val="20"/>
          <w:szCs w:val="20"/>
          <w:lang w:val="es-ES"/>
        </w:rPr>
        <w:t xml:space="preserve"> </w:t>
      </w:r>
    </w:p>
    <w:p>
      <w:pPr>
        <w:pStyle w:val="2"/>
        <w:spacing w:before="120" w:after="120"/>
        <w:rPr>
          <w:rFonts w:ascii="Times New Roman" w:hAnsi="Times New Roman" w:cs="Times New Roman"/>
          <w:sz w:val="20"/>
          <w:szCs w:val="20"/>
          <w:lang w:val="es-CO"/>
        </w:rPr>
      </w:pPr>
      <w:r>
        <w:rPr>
          <w:rFonts w:ascii="Times New Roman" w:hAnsi="Times New Roman" w:cs="Times New Roman"/>
          <w:sz w:val="20"/>
          <w:szCs w:val="20"/>
          <w:lang w:val="es-CO"/>
        </w:rPr>
        <w:t>ABSTRAC</w:t>
      </w:r>
    </w:p>
    <w:p>
      <w:pPr>
        <w:pStyle w:val="17"/>
        <w:rPr>
          <w:color w:val="222222"/>
          <w:sz w:val="20"/>
          <w:szCs w:val="20"/>
          <w:lang w:val="es-CO"/>
        </w:rPr>
      </w:pPr>
      <w:r>
        <w:rPr>
          <w:rFonts w:hint="default"/>
          <w:color w:val="222222"/>
          <w:sz w:val="20"/>
          <w:szCs w:val="20"/>
          <w:lang w:val="es-CO"/>
        </w:rPr>
        <w:t>This work focuses on addressing the problem of occupational risk prevention in the construction sector in the municipality of Aguachica, Cesar. It is justified due to the crucial importance of ensuring the safety of workers in a work environment that inherently presents various risks. The main objective is to obtain a detailed understanding of the occupational risk prevention practices in these companies. To achieve this, a quantitative approach was used, supported by a non-experimental descriptive design. Data collection was carried out through the application of a questionnaire and check sheet, which allowed direct information to be collected. The results revealed an overview of the level of knowledge, awareness and compliance with safety regulations in the sector, thus providing valuable information for decision-making and the implementation of improvements in occupational risk prevention practices.</w:t>
      </w:r>
    </w:p>
    <w:p>
      <w:pPr>
        <w:pStyle w:val="17"/>
        <w:rPr>
          <w:color w:val="222222"/>
          <w:sz w:val="20"/>
          <w:szCs w:val="20"/>
        </w:rPr>
      </w:pPr>
      <w:r>
        <w:rPr>
          <w:b/>
          <w:sz w:val="20"/>
          <w:szCs w:val="20"/>
        </w:rPr>
        <w:t>Key words</w:t>
      </w:r>
      <w:r>
        <w:rPr>
          <w:sz w:val="20"/>
          <w:szCs w:val="20"/>
        </w:rPr>
        <w:t xml:space="preserve">: </w:t>
      </w:r>
      <w:r>
        <w:rPr>
          <w:color w:val="222222"/>
          <w:sz w:val="20"/>
          <w:szCs w:val="20"/>
        </w:rPr>
        <w:t>Safety Culture, PPE (Personal Protective Equipment), Workplace Safety Regulations, Risk Prevention and Protocol</w:t>
      </w:r>
    </w:p>
    <w:p>
      <w:pPr>
        <w:pStyle w:val="3"/>
        <w:spacing w:before="120" w:after="120"/>
        <w:rPr>
          <w:sz w:val="20"/>
          <w:szCs w:val="20"/>
        </w:rPr>
      </w:pPr>
      <w:r>
        <w:rPr>
          <w:rFonts w:ascii="Times New Roman" w:hAnsi="Times New Roman" w:cs="Times New Roman"/>
          <w:sz w:val="20"/>
          <w:szCs w:val="20"/>
          <w:lang w:val="es-CO" w:eastAsia="es-CO"/>
        </w:rPr>
        <w:drawing>
          <wp:inline distT="0" distB="0" distL="0" distR="0">
            <wp:extent cx="5934075" cy="19685"/>
            <wp:effectExtent l="0" t="0" r="0" b="0"/>
            <wp:docPr id="3" name="Imagen 3" descr="BD10219_"/>
            <wp:cNvGraphicFramePr/>
            <a:graphic xmlns:a="http://schemas.openxmlformats.org/drawingml/2006/main">
              <a:graphicData uri="http://schemas.openxmlformats.org/drawingml/2006/picture">
                <pic:pic xmlns:pic="http://schemas.openxmlformats.org/drawingml/2006/picture">
                  <pic:nvPicPr>
                    <pic:cNvPr id="3" name="Imagen 3" descr="BD10219_"/>
                    <pic:cNvPicPr/>
                  </pic:nvPicPr>
                  <pic:blipFill>
                    <a:blip r:embed="rId12">
                      <a:extLst>
                        <a:ext uri="{28A0092B-C50C-407E-A947-70E740481C1C}">
                          <a14:useLocalDpi xmlns:a14="http://schemas.microsoft.com/office/drawing/2010/main" val="0"/>
                        </a:ext>
                      </a:extLst>
                    </a:blip>
                    <a:srcRect/>
                    <a:stretch>
                      <a:fillRect/>
                    </a:stretch>
                  </pic:blipFill>
                  <pic:spPr>
                    <a:xfrm>
                      <a:off x="0" y="0"/>
                      <a:ext cx="5934075" cy="19685"/>
                    </a:xfrm>
                    <a:prstGeom prst="rect">
                      <a:avLst/>
                    </a:prstGeom>
                    <a:noFill/>
                    <a:ln>
                      <a:noFill/>
                    </a:ln>
                  </pic:spPr>
                </pic:pic>
              </a:graphicData>
            </a:graphic>
          </wp:inline>
        </w:drawing>
      </w:r>
    </w:p>
    <w:p>
      <w:pPr>
        <w:rPr>
          <w:rFonts w:ascii="Times New Roman" w:hAnsi="Times New Roman"/>
          <w:b/>
          <w:sz w:val="20"/>
          <w:szCs w:val="20"/>
        </w:rPr>
      </w:pPr>
    </w:p>
    <w:p>
      <w:pPr>
        <w:rPr>
          <w:rFonts w:ascii="Times New Roman" w:hAnsi="Times New Roman"/>
          <w:b/>
          <w:sz w:val="20"/>
          <w:szCs w:val="20"/>
        </w:rPr>
        <w:sectPr>
          <w:headerReference r:id="rId7" w:type="first"/>
          <w:footerReference r:id="rId10" w:type="first"/>
          <w:headerReference r:id="rId5" w:type="default"/>
          <w:footerReference r:id="rId8" w:type="default"/>
          <w:headerReference r:id="rId6" w:type="even"/>
          <w:footerReference r:id="rId9" w:type="even"/>
          <w:pgSz w:w="11907" w:h="16839"/>
          <w:pgMar w:top="1417" w:right="1701" w:bottom="1417" w:left="1701" w:header="720" w:footer="720" w:gutter="0"/>
          <w:cols w:space="720" w:num="1"/>
          <w:docGrid w:linePitch="360" w:charSpace="0"/>
        </w:sectPr>
      </w:pPr>
    </w:p>
    <w:p>
      <w:pPr>
        <w:jc w:val="center"/>
        <w:rPr>
          <w:rFonts w:ascii="Times New Roman" w:hAnsi="Times New Roman"/>
          <w:b/>
          <w:sz w:val="20"/>
          <w:szCs w:val="20"/>
        </w:rPr>
      </w:pPr>
      <w:r>
        <w:rPr>
          <w:rFonts w:ascii="Times New Roman" w:hAnsi="Times New Roman"/>
          <w:b/>
          <w:sz w:val="20"/>
          <w:szCs w:val="20"/>
        </w:rPr>
        <w:t xml:space="preserve">ANÁLISIS DEL NIVEL DE PREVENCIÓN DE RIESGOS LABORALES EN LAS EMPRESAS DEL SECTOR CONSTRUCCIÓN EN AGUACHICA- CESAR </w:t>
      </w:r>
    </w:p>
    <w:p>
      <w:pPr>
        <w:pStyle w:val="2"/>
        <w:rPr>
          <w:rFonts w:ascii="Times New Roman" w:hAnsi="Times New Roman" w:cs="Times New Roman"/>
          <w:sz w:val="20"/>
          <w:szCs w:val="20"/>
          <w:lang w:val="es-CO"/>
        </w:rPr>
      </w:pPr>
      <w:r>
        <w:rPr>
          <w:rFonts w:ascii="Times New Roman" w:hAnsi="Times New Roman" w:cs="Times New Roman"/>
          <w:sz w:val="20"/>
          <w:szCs w:val="20"/>
          <w:lang w:val="es-CO"/>
        </w:rPr>
        <w:t>Introducción</w:t>
      </w:r>
    </w:p>
    <w:p>
      <w:pPr>
        <w:spacing w:before="120" w:after="120"/>
        <w:jc w:val="both"/>
        <w:rPr>
          <w:rFonts w:ascii="Times New Roman" w:hAnsi="Times New Roman"/>
          <w:sz w:val="20"/>
          <w:szCs w:val="20"/>
        </w:rPr>
      </w:pPr>
      <w:r>
        <w:rPr>
          <w:rFonts w:hint="default" w:ascii="Times New Roman" w:hAnsi="Times New Roman"/>
          <w:sz w:val="20"/>
          <w:szCs w:val="20"/>
        </w:rPr>
        <w:t>Al observar el sector de la construcción en Aguachica, Cesar, surge la inquietud acerca de cuál es el nivel de prevención de riesgos laborales y seguridad de los trabajadores. Este interés se intensifica debido a las condiciones inherentes de peligro presentes en las actividades de construcción, las cuales están caracterizadas por la manipulación de materiales y maquinaria pesada, así como la exposición a elementos ambientales variables. Estos factores generan desafíos sustanciales en términos de seguridad laboral y plantean la necesidad de una evaluación exhaustiva de las prácticas actuales. Como señala Smith (2018), "la gestión efectiva de la seguridad en el sector de la construcción es esencial para prevenir accidentes y promover un entorno laboral seguro" (p. 45).</w:t>
      </w:r>
    </w:p>
    <w:p>
      <w:pPr>
        <w:spacing w:before="120" w:after="120"/>
        <w:jc w:val="both"/>
        <w:rPr>
          <w:rFonts w:hint="default" w:ascii="Times New Roman" w:hAnsi="Times New Roman"/>
          <w:sz w:val="20"/>
          <w:szCs w:val="20"/>
          <w:lang w:val="es-ES"/>
        </w:rPr>
      </w:pPr>
      <w:r>
        <w:rPr>
          <w:rFonts w:hint="default" w:ascii="Times New Roman" w:hAnsi="Times New Roman"/>
          <w:sz w:val="20"/>
          <w:szCs w:val="20"/>
          <w:lang w:val="es-ES"/>
        </w:rPr>
        <w:t>Conforme a información de la Cámara de Comercio del Cesar, en el año 2021, el sector de la construcción se ocupó del tercer puesto en cuanto al mayor número de accidentes registrados, con un total de 650 accidentes registrados (Cámara de Comercio del Cesar, 2021). Esta información nos muestra la imperante necesidad de contar con buenas estrategias en mitigación de riesgos laborales en las empresas del sector. Como advierte Rodríguez (2020), "el análisis de las estadísticas de accidentes es esencial para identificar áreas de mejora y diseñar estrategias efectivas de prevención en el sector de la construcción" (p. 75).</w:t>
      </w:r>
    </w:p>
    <w:p>
      <w:pPr>
        <w:spacing w:before="120" w:after="120"/>
        <w:jc w:val="both"/>
        <w:rPr>
          <w:rFonts w:hint="default" w:ascii="Times New Roman" w:hAnsi="Times New Roman"/>
          <w:sz w:val="20"/>
          <w:szCs w:val="20"/>
          <w:lang w:val="es-ES"/>
        </w:rPr>
      </w:pPr>
      <w:r>
        <w:rPr>
          <w:rFonts w:hint="default" w:ascii="Times New Roman" w:hAnsi="Times New Roman"/>
          <w:sz w:val="20"/>
          <w:szCs w:val="20"/>
          <w:lang w:val="es-ES"/>
        </w:rPr>
        <w:t>Por otra parte, se encuentra una falta de artículos, investigaciones o información específicas que busquen abordar y dar a conocer el nivel de prevención de riesgos laborales en las empresas de construcción en Aguachica, lo que ha dejado un vacío de conocimiento que dificulta la toma de decisiones informadas tanto para empresarios como para trabajadores. Esto conlleva a condiciones laborales inseguras, aumento de accidentes y riesgos en el entorno de trabajo, y en última instancia, afectar la calidad de vida de los trabajadores y la productividad en las empresas. Como apunta Martínez (2020), "la falta de investigación específica sobre la prevención de riesgos laborales en ciertos sectores puede tener consecuencias significativas, ya que limita la comprensión profunda de los desafíos y la implementación efectiva de medidas preventivas" (p. 134).</w:t>
      </w:r>
    </w:p>
    <w:p>
      <w:pPr>
        <w:spacing w:before="120" w:after="120"/>
        <w:jc w:val="both"/>
        <w:rPr>
          <w:rFonts w:hint="default" w:ascii="Times New Roman" w:hAnsi="Times New Roman"/>
          <w:sz w:val="20"/>
          <w:szCs w:val="20"/>
          <w:lang w:val="es-ES"/>
        </w:rPr>
      </w:pPr>
      <w:r>
        <w:rPr>
          <w:rFonts w:hint="default" w:ascii="Times New Roman" w:hAnsi="Times New Roman"/>
          <w:sz w:val="20"/>
          <w:szCs w:val="20"/>
        </w:rPr>
        <w:t>l presente estudio busca ofrecer una visión de que la falta de medidas adecuadas de seguridad en los lugares de trabajo puede resultar en accidentes, lesiones y pérdida de vidas humanas, así como de consecuencias económicas, sociales y legales para la propia empresa. Como señala Martínez (2018), "la seguridad en el trabajo no solo es esencial para la protección de los trabajadores, sino también para la sostenibilidad y reputación de la empresa" (p. 56). Es crucial resaltar que, a pesar de la existencia de regulaciones y normativas que buscan garantizar la seguridad en el ámbito laboral, es fundamental analizar la efectividad de cómo estas se están implementando en el contexto específico del sector de la construcción en Aguachica</w:t>
      </w:r>
      <w:r>
        <w:rPr>
          <w:rFonts w:hint="default" w:ascii="Times New Roman" w:hAnsi="Times New Roman"/>
          <w:sz w:val="20"/>
          <w:szCs w:val="20"/>
          <w:lang w:val="es-ES"/>
        </w:rPr>
        <w:t>.</w:t>
      </w:r>
    </w:p>
    <w:p>
      <w:pPr>
        <w:spacing w:before="120" w:after="120"/>
        <w:jc w:val="both"/>
        <w:rPr>
          <w:rFonts w:hint="default" w:ascii="Times New Roman" w:hAnsi="Times New Roman"/>
          <w:sz w:val="20"/>
          <w:szCs w:val="20"/>
        </w:rPr>
      </w:pPr>
      <w:r>
        <w:rPr>
          <w:rFonts w:hint="default" w:ascii="Times New Roman" w:hAnsi="Times New Roman"/>
          <w:sz w:val="20"/>
          <w:szCs w:val="20"/>
        </w:rPr>
        <w:t xml:space="preserve">En este contexto, el presente estudio </w:t>
      </w:r>
      <w:r>
        <w:rPr>
          <w:rFonts w:hint="default" w:ascii="Times New Roman" w:hAnsi="Times New Roman"/>
          <w:sz w:val="20"/>
          <w:szCs w:val="20"/>
          <w:lang w:val="es-ES"/>
        </w:rPr>
        <w:t xml:space="preserve">como objetivo general </w:t>
      </w:r>
      <w:r>
        <w:rPr>
          <w:rFonts w:hint="default" w:ascii="Times New Roman" w:hAnsi="Times New Roman"/>
          <w:sz w:val="20"/>
          <w:szCs w:val="20"/>
        </w:rPr>
        <w:t>indagar en la situación actual de la prevención de riesgos laborales en las empresas del sector construcción en Aguachica, Cesar, mediante la recolección y análisis de datos cuantitativos</w:t>
      </w:r>
      <w:r>
        <w:rPr>
          <w:rFonts w:hint="default" w:ascii="Times New Roman" w:hAnsi="Times New Roman"/>
          <w:sz w:val="20"/>
          <w:szCs w:val="20"/>
          <w:lang w:val="es-ES"/>
        </w:rPr>
        <w:t>,</w:t>
      </w:r>
      <w:r>
        <w:rPr>
          <w:rFonts w:hint="default" w:ascii="Times New Roman" w:hAnsi="Times New Roman"/>
          <w:sz w:val="20"/>
          <w:szCs w:val="20"/>
        </w:rPr>
        <w:t xml:space="preserve"> </w:t>
      </w:r>
      <w:r>
        <w:rPr>
          <w:rFonts w:hint="default" w:ascii="Times New Roman" w:hAnsi="Times New Roman"/>
          <w:sz w:val="20"/>
          <w:szCs w:val="20"/>
          <w:lang w:val="es-ES"/>
        </w:rPr>
        <w:t xml:space="preserve">a través de 2 instrumentos de de recolección de datos: encuestas de preguntas ceradas y hojas de cotejo Como señala Rodríguez (2017), "la utilización de métodos cuantitativos proporciona una base sólida para la evaluación objetiva de la seguridad laboral” (p. 112).  Ademas de un </w:t>
      </w:r>
      <w:r>
        <w:rPr>
          <w:rFonts w:hint="default" w:ascii="Times New Roman" w:hAnsi="Times New Roman"/>
          <w:sz w:val="20"/>
          <w:szCs w:val="20"/>
        </w:rPr>
        <w:t xml:space="preserve">enfoque </w:t>
      </w:r>
      <w:r>
        <w:rPr>
          <w:rFonts w:hint="default" w:ascii="Times New Roman" w:hAnsi="Times New Roman"/>
          <w:sz w:val="20"/>
          <w:szCs w:val="20"/>
          <w:lang w:val="es-ES"/>
        </w:rPr>
        <w:t>descriptivo</w:t>
      </w:r>
      <w:r>
        <w:rPr>
          <w:rFonts w:hint="default" w:ascii="Times New Roman" w:hAnsi="Times New Roman"/>
          <w:sz w:val="20"/>
          <w:szCs w:val="20"/>
        </w:rPr>
        <w:t>,</w:t>
      </w:r>
      <w:r>
        <w:rPr>
          <w:rFonts w:hint="default" w:ascii="Times New Roman" w:hAnsi="Times New Roman"/>
          <w:sz w:val="20"/>
          <w:szCs w:val="20"/>
          <w:lang w:val="es-ES"/>
        </w:rPr>
        <w:t xml:space="preserve"> debido a que</w:t>
      </w:r>
      <w:r>
        <w:rPr>
          <w:rFonts w:hint="default" w:ascii="Times New Roman" w:hAnsi="Times New Roman"/>
          <w:sz w:val="20"/>
          <w:szCs w:val="20"/>
        </w:rPr>
        <w:t xml:space="preserve"> </w:t>
      </w:r>
      <w:r>
        <w:rPr>
          <w:rFonts w:hint="default" w:ascii="Times New Roman" w:hAnsi="Times New Roman"/>
          <w:sz w:val="20"/>
          <w:szCs w:val="20"/>
          <w:lang w:val="es-ES"/>
        </w:rPr>
        <w:t>el presente</w:t>
      </w:r>
      <w:r>
        <w:rPr>
          <w:rFonts w:hint="default" w:ascii="Times New Roman" w:hAnsi="Times New Roman"/>
          <w:sz w:val="20"/>
          <w:szCs w:val="20"/>
        </w:rPr>
        <w:t xml:space="preserve"> estudio aspira a proporcionar información precisa y </w:t>
      </w:r>
      <w:r>
        <w:rPr>
          <w:rFonts w:hint="default" w:ascii="Times New Roman" w:hAnsi="Times New Roman"/>
          <w:sz w:val="20"/>
          <w:szCs w:val="20"/>
          <w:lang w:val="es-ES"/>
        </w:rPr>
        <w:t>confiable</w:t>
      </w:r>
      <w:r>
        <w:rPr>
          <w:rFonts w:hint="default" w:ascii="Times New Roman" w:hAnsi="Times New Roman"/>
          <w:sz w:val="20"/>
          <w:szCs w:val="20"/>
        </w:rPr>
        <w:t xml:space="preserve"> que contribuya a una transformación positiva en la cultura de seguridad laboral en el sector de la construcción en la región.</w:t>
      </w:r>
    </w:p>
    <w:p>
      <w:pPr>
        <w:spacing w:before="120" w:after="120"/>
        <w:jc w:val="both"/>
        <w:rPr>
          <w:rFonts w:hint="default" w:ascii="Times New Roman" w:hAnsi="Times New Roman"/>
          <w:sz w:val="20"/>
          <w:szCs w:val="20"/>
          <w:lang w:val="es-CO"/>
        </w:rPr>
      </w:pPr>
      <w:r>
        <w:rPr>
          <w:rFonts w:hint="default" w:ascii="Times New Roman" w:hAnsi="Times New Roman"/>
          <w:sz w:val="20"/>
          <w:szCs w:val="20"/>
          <w:lang w:val="es-ES"/>
        </w:rPr>
        <w:t xml:space="preserve">Ademas, para el presente trabajos tuvieron en cuenta una amplia gama de trabajos pertinentes con la prevención de riesgos destacando en el área de la construcción </w:t>
      </w:r>
      <w:r>
        <w:rPr>
          <w:rFonts w:hint="default" w:ascii="Times New Roman" w:hAnsi="Times New Roman"/>
          <w:sz w:val="20"/>
          <w:szCs w:val="20"/>
          <w:lang w:val="es-CO"/>
        </w:rPr>
        <w:t xml:space="preserve">entre los cuales se puede destacar trabajos como: “El Marco Jurídico en la Prevención De Riesgos Laborales en el Sector de la Construcción: Subcontratación y Coordinación de Actividades en las Obras”, por Blázquez Román, José Alejandro, Universidad de Murcia, 2016, que brinda una visión fuera de lo nacional del marco jurídico en el temas de la prevención de riesgos labores que muestra una una imagen de como podría evolucionar el tema en Colombia. </w:t>
      </w:r>
    </w:p>
    <w:p>
      <w:pPr>
        <w:spacing w:before="120" w:after="120"/>
        <w:jc w:val="both"/>
        <w:rPr>
          <w:rFonts w:hint="default" w:ascii="Times New Roman" w:hAnsi="Times New Roman"/>
          <w:sz w:val="20"/>
          <w:szCs w:val="20"/>
          <w:lang w:val="es-CO"/>
        </w:rPr>
      </w:pPr>
      <w:r>
        <w:rPr>
          <w:rFonts w:hint="default" w:ascii="Times New Roman" w:hAnsi="Times New Roman"/>
          <w:sz w:val="20"/>
          <w:szCs w:val="20"/>
          <w:lang w:val="es-CO"/>
        </w:rPr>
        <w:t>“Integración de la Prevención de Riesgos Laborales en las Pymes del Sector de la Construcción”, por María Segarra Cañamares, Universidad de Castilla-La Mancha, 2015, el cual tiene como propósito mostrar las dificultades que surgen al integrar un sistema de prevención de riesgos laborales y la determinación de las causas.</w:t>
      </w:r>
    </w:p>
    <w:p>
      <w:pPr>
        <w:spacing w:before="120" w:after="120"/>
        <w:jc w:val="both"/>
        <w:rPr>
          <w:rFonts w:hint="default" w:ascii="Times New Roman" w:hAnsi="Times New Roman"/>
          <w:sz w:val="20"/>
          <w:szCs w:val="20"/>
          <w:lang w:val="es-CO"/>
        </w:rPr>
      </w:pPr>
      <w:r>
        <w:rPr>
          <w:rFonts w:hint="default" w:ascii="Times New Roman" w:hAnsi="Times New Roman"/>
          <w:sz w:val="20"/>
          <w:szCs w:val="20"/>
          <w:lang w:val="es-CO"/>
        </w:rPr>
        <w:t>“La Ley de Riesgos Laborales, una Realidad Jurídica en Colombia, Estudio del Régimen de Transición de Riesgos Profesionales a Riesgos Laborales”, por Montemiranda Enamorado, Natalia Cristina Paternina Peña, María Paulina, Universidad de Cartagena, 2015, que pretende describir como a sido el cambio de régimen  de riesgos profesionales a riesgos laborales y la forma en la que esto a impactado jurídica y socialmente a los trabajadores colombianos.</w:t>
      </w:r>
    </w:p>
    <w:p>
      <w:pPr>
        <w:spacing w:before="120" w:after="120"/>
        <w:jc w:val="both"/>
        <w:rPr>
          <w:rFonts w:hint="default" w:ascii="Times New Roman" w:hAnsi="Times New Roman"/>
          <w:sz w:val="20"/>
          <w:szCs w:val="20"/>
          <w:lang w:val="es-CO"/>
        </w:rPr>
      </w:pPr>
      <w:r>
        <w:rPr>
          <w:rFonts w:hint="default" w:ascii="Times New Roman" w:hAnsi="Times New Roman"/>
          <w:sz w:val="20"/>
          <w:szCs w:val="20"/>
          <w:lang w:val="es-CO"/>
        </w:rPr>
        <w:t>“Sistemas de Gestión en Seguridad y Salud en el Trabajo (Sg-Sst) Diagnóstico y Análisis Para el Sector de la Construcción”, por Roa Quintero, Diana María, Universidad nacional de Colombia, 2017, muestra el como medir el grado de cumplimientos de diferentes indicadores de cumplimiento y como es us análisis desde un punto de vista no experimental.</w:t>
      </w:r>
    </w:p>
    <w:p>
      <w:pPr>
        <w:spacing w:before="120" w:after="120"/>
        <w:jc w:val="both"/>
        <w:rPr>
          <w:rFonts w:hint="default" w:ascii="Times New Roman" w:hAnsi="Times New Roman"/>
          <w:sz w:val="20"/>
          <w:szCs w:val="20"/>
          <w:lang w:val="es-CO"/>
        </w:rPr>
      </w:pPr>
      <w:r>
        <w:rPr>
          <w:rFonts w:hint="default" w:ascii="Times New Roman" w:hAnsi="Times New Roman"/>
          <w:sz w:val="20"/>
          <w:szCs w:val="20"/>
          <w:lang w:val="es-CO"/>
        </w:rPr>
        <w:t>“Implementación de un Plan De Manejo de Riesgo en el Almacenamiento de Sustancias Químicas en Plantas de Alimentos y Harinas Avidesa Mac Pollo S.A”,por Gabriel lozano Rodríguez, universidad popular del cesar, 2016, que nos permite tener una visión mas clara de la como debe hacerse la manipulación de químicos peligrosos en diferentes entornos laborales.</w:t>
      </w:r>
    </w:p>
    <w:p>
      <w:pPr>
        <w:spacing w:before="120" w:after="120"/>
        <w:jc w:val="both"/>
        <w:rPr>
          <w:rFonts w:hint="default" w:ascii="Times New Roman" w:hAnsi="Times New Roman"/>
          <w:sz w:val="20"/>
          <w:szCs w:val="20"/>
          <w:lang w:val="es-CO"/>
        </w:rPr>
      </w:pPr>
      <w:r>
        <w:rPr>
          <w:rFonts w:hint="default" w:ascii="Times New Roman" w:hAnsi="Times New Roman"/>
          <w:sz w:val="20"/>
          <w:szCs w:val="20"/>
          <w:lang w:val="es-CO"/>
        </w:rPr>
        <w:t xml:space="preserve">“Evaluación de Riesgos Laborales y Diseño de una Guía de Medidas Preventivas para Microempresas del Sector Metalmecánico de la Ciudad de Cartagena”.por Suárez Pérez, Jennifer Melissa barrios Zabaleta, viviana marcela, universidad de Cartagena, 2016, el cual es un trabajo que tiene como objetivo, evaluar los riesgos laborales y diseñar una guía medidas preventivas para microempresas del sector metalmecánico de la ciudad de Cartagena que posee una gran relación con el proyecto presente por su metodología y objetivos similares. </w:t>
      </w:r>
    </w:p>
    <w:p>
      <w:pPr>
        <w:spacing w:before="120" w:after="120"/>
        <w:jc w:val="both"/>
        <w:rPr>
          <w:rFonts w:hint="default" w:ascii="Times New Roman" w:hAnsi="Times New Roman"/>
          <w:sz w:val="20"/>
          <w:szCs w:val="20"/>
          <w:lang w:val="es-ES"/>
        </w:rPr>
      </w:pPr>
      <w:r>
        <w:rPr>
          <w:rFonts w:hint="default" w:ascii="Times New Roman" w:hAnsi="Times New Roman"/>
          <w:sz w:val="20"/>
          <w:szCs w:val="20"/>
          <w:lang w:val="es-CO"/>
        </w:rPr>
        <w:t>A</w:t>
      </w:r>
      <w:r>
        <w:rPr>
          <w:rFonts w:hint="default" w:ascii="Times New Roman" w:hAnsi="Times New Roman"/>
          <w:sz w:val="20"/>
          <w:szCs w:val="20"/>
          <w:lang w:val="es-ES"/>
        </w:rPr>
        <w:t>demas se tomaron como referencia a tres destacado autores reconocidos como expertos en la materia: Frank Bird, James Reason y Luis López</w:t>
      </w:r>
      <w:r>
        <w:rPr>
          <w:rFonts w:hint="default" w:ascii="Times New Roman" w:hAnsi="Times New Roman"/>
          <w:sz w:val="20"/>
          <w:szCs w:val="20"/>
          <w:lang w:val="es-CO"/>
        </w:rPr>
        <w:t xml:space="preserve"> </w:t>
      </w:r>
      <w:r>
        <w:rPr>
          <w:rFonts w:hint="default" w:ascii="Times New Roman" w:hAnsi="Times New Roman"/>
          <w:sz w:val="20"/>
          <w:szCs w:val="20"/>
          <w:lang w:val="es-ES"/>
        </w:rPr>
        <w:t>Arquillos que ofrecen una visión amplia respecto a las diferentes facetas del sector de la construcción y su respectivo control</w:t>
      </w:r>
      <w:r>
        <w:rPr>
          <w:rFonts w:hint="default" w:ascii="Times New Roman" w:hAnsi="Times New Roman"/>
          <w:sz w:val="20"/>
          <w:szCs w:val="20"/>
          <w:lang w:val="es-CO"/>
        </w:rPr>
        <w:t xml:space="preserve"> mostrando cada uno maestría en diferentes temas como lo son el control sobre las actividades laborales de Frank Bird, las diferentes capas de seguridad contra accidentes de James Reason y la ergonómica y su importancia para la seguridad laboral de Luis </w:t>
      </w:r>
      <w:r>
        <w:rPr>
          <w:rFonts w:hint="default" w:ascii="Times New Roman" w:hAnsi="Times New Roman"/>
          <w:sz w:val="20"/>
          <w:szCs w:val="20"/>
          <w:lang w:val="es-ES"/>
        </w:rPr>
        <w:t>López</w:t>
      </w:r>
      <w:r>
        <w:rPr>
          <w:rFonts w:hint="default" w:ascii="Times New Roman" w:hAnsi="Times New Roman"/>
          <w:sz w:val="20"/>
          <w:szCs w:val="20"/>
          <w:lang w:val="es-CO"/>
        </w:rPr>
        <w:t xml:space="preserve"> </w:t>
      </w:r>
      <w:r>
        <w:rPr>
          <w:rFonts w:hint="default" w:ascii="Times New Roman" w:hAnsi="Times New Roman"/>
          <w:sz w:val="20"/>
          <w:szCs w:val="20"/>
          <w:lang w:val="es-ES"/>
        </w:rPr>
        <w:t>Arquillos.</w:t>
      </w:r>
    </w:p>
    <w:p>
      <w:pPr>
        <w:spacing w:before="120" w:after="120"/>
        <w:jc w:val="both"/>
        <w:rPr>
          <w:rFonts w:hint="default" w:ascii="Times New Roman" w:hAnsi="Times New Roman"/>
          <w:sz w:val="20"/>
          <w:szCs w:val="20"/>
          <w:lang w:val="es-ES"/>
        </w:rPr>
      </w:pPr>
    </w:p>
    <w:p>
      <w:pPr>
        <w:pStyle w:val="2"/>
        <w:spacing w:before="120" w:after="120"/>
        <w:jc w:val="both"/>
        <w:rPr>
          <w:rFonts w:ascii="Times New Roman" w:hAnsi="Times New Roman" w:cs="Times New Roman"/>
          <w:sz w:val="20"/>
          <w:szCs w:val="20"/>
          <w:lang w:val="es-CO"/>
        </w:rPr>
      </w:pPr>
      <w:r>
        <w:rPr>
          <w:rFonts w:ascii="Times New Roman" w:hAnsi="Times New Roman" w:cs="Times New Roman"/>
          <w:sz w:val="20"/>
          <w:szCs w:val="20"/>
          <w:lang w:val="es-CO"/>
        </w:rPr>
        <w:t>Materiales, Métodos, Metodología</w:t>
      </w:r>
    </w:p>
    <w:p>
      <w:pPr>
        <w:jc w:val="both"/>
        <w:rPr>
          <w:rFonts w:hint="default" w:ascii="Times New Roman" w:hAnsi="Times New Roman"/>
          <w:sz w:val="20"/>
          <w:szCs w:val="20"/>
        </w:rPr>
      </w:pPr>
      <w:r>
        <w:rPr>
          <w:rFonts w:hint="default" w:ascii="Times New Roman" w:hAnsi="Times New Roman"/>
          <w:sz w:val="20"/>
          <w:szCs w:val="20"/>
        </w:rPr>
        <w:t>El presente proyecto posee un enfoque cuantitativo debido a su fuente principal en la obtención de información real y de área, esto a través de instrumentos investigativos basados en el análisis de datos numéricos en busca de análisis de información por medio de datos numéricos y estadísticos con la certeza de que se realiza a través de fuentes verídicas y confiables (Johnson, 2018, p. 72)</w:t>
      </w:r>
    </w:p>
    <w:p>
      <w:pPr>
        <w:jc w:val="both"/>
        <w:rPr>
          <w:rFonts w:hint="default" w:ascii="Times New Roman" w:hAnsi="Times New Roman"/>
          <w:sz w:val="20"/>
          <w:szCs w:val="20"/>
        </w:rPr>
      </w:pPr>
      <w:r>
        <w:rPr>
          <w:rFonts w:hint="default" w:ascii="Times New Roman" w:hAnsi="Times New Roman"/>
          <w:sz w:val="20"/>
          <w:szCs w:val="20"/>
        </w:rPr>
        <w:t>El diseño de la investigación que se utiliza es el diseño descriptivo, esto a favor de su utilidad para explorar y comprender una situación o fenómeno a profundidad y facilitar la caracterización de variables específicas sobre la prevención de riesgos laborales (Smith &amp; Brown, 2019, p. 115). Además, simplifica la recopilación de datos, siendo un diseño no experimental al buscar que no se realice una intervención en las variables del estudio (Martínez, 2020, p. 88).</w:t>
      </w:r>
    </w:p>
    <w:p>
      <w:pPr>
        <w:jc w:val="both"/>
        <w:rPr>
          <w:rFonts w:hint="default" w:ascii="Times New Roman" w:hAnsi="Times New Roman"/>
          <w:sz w:val="20"/>
          <w:szCs w:val="20"/>
          <w:lang w:val="es-CO"/>
        </w:rPr>
      </w:pPr>
      <w:r>
        <w:rPr>
          <w:rFonts w:hint="default" w:ascii="Times New Roman" w:hAnsi="Times New Roman"/>
          <w:sz w:val="20"/>
          <w:szCs w:val="20"/>
          <w:lang w:val="es-CO"/>
        </w:rPr>
        <w:t>En el marco de la investigación, se utilizaron como fuentes primarias de información instrumentos de elaboración y ejecución propia, como lo son un cuestionario de preguntas cerradas y una hoja de cotejo (Rodríguez, 2017, p. 102). Ambos instrumentos fueron diseñados con el propósito de recabar información acerca del actual nivel de implementación de sistemas de seguridad laboral y su nivel de conocimientos sobre este tema, con el objetivo de comprender en detalle el punto de vista y situación general del sector frente al tema de riesgos laborales (Gómez, 2021, p. 45).</w:t>
      </w:r>
    </w:p>
    <w:p>
      <w:pPr>
        <w:jc w:val="both"/>
        <w:rPr>
          <w:rFonts w:hint="default" w:ascii="Times New Roman" w:hAnsi="Times New Roman"/>
          <w:sz w:val="20"/>
          <w:szCs w:val="20"/>
          <w:lang w:val="es-CO"/>
        </w:rPr>
      </w:pPr>
      <w:r>
        <w:rPr>
          <w:rFonts w:hint="default" w:ascii="Times New Roman" w:hAnsi="Times New Roman"/>
          <w:sz w:val="20"/>
          <w:szCs w:val="20"/>
          <w:lang w:val="es-CO"/>
        </w:rPr>
        <w:t>El instrumento de encuesta de preguntas cerradas consta de 10 preguntas sobre diferentes temas de prevención de riesgos laborales, de respuesta múltiple donde solo una de las respuestas era la correcta. Estas preguntas están dirigidas a diferentes trabajadores del área de la construcción en Aguachica, Cesar, con el propósito de conocer cuál es actualmente su nivel de conocimiento sobre la seguridad en el trabajo y la prevención de riesgos laborales</w:t>
      </w:r>
      <w:r>
        <w:rPr>
          <w:rFonts w:hint="default" w:ascii="Times New Roman" w:hAnsi="Times New Roman"/>
          <w:sz w:val="20"/>
          <w:szCs w:val="20"/>
          <w:lang w:val="es-ES"/>
        </w:rPr>
        <w:t>.</w:t>
      </w:r>
    </w:p>
    <w:p>
      <w:pPr>
        <w:jc w:val="both"/>
        <w:rPr>
          <w:rFonts w:hint="default" w:ascii="Times New Roman" w:hAnsi="Times New Roman"/>
          <w:sz w:val="20"/>
          <w:szCs w:val="20"/>
          <w:lang w:val="es-ES"/>
        </w:rPr>
      </w:pPr>
      <w:r>
        <w:rPr>
          <w:rFonts w:hint="default" w:ascii="Times New Roman" w:hAnsi="Times New Roman"/>
          <w:sz w:val="20"/>
          <w:szCs w:val="20"/>
          <w:lang w:val="es-CO"/>
        </w:rPr>
        <w:t>Como segundo instrumento, la hoja de cotejo también cuenta con 10 preguntas, pero a diferencia de las preguntas cerradas, estas están dirigidas a los dirigentes o representantes de las empresas de construcción del municipio. Estas preguntas fueron planteadas con el propósito de comprender qué mecanismos de prevención de riesgos laborales estaba ejecutando la empresa actualmente, a través de preguntar cuáles de los mecanismos o herramientas más comunes recopilados esta utilizando la empresa actualmente</w:t>
      </w:r>
      <w:r>
        <w:rPr>
          <w:rFonts w:hint="default" w:ascii="Times New Roman" w:hAnsi="Times New Roman"/>
          <w:sz w:val="20"/>
          <w:szCs w:val="20"/>
          <w:lang w:val="es-ES"/>
        </w:rPr>
        <w:t>.</w:t>
      </w:r>
    </w:p>
    <w:p>
      <w:pPr>
        <w:jc w:val="both"/>
        <w:rPr>
          <w:rFonts w:hint="default" w:ascii="Times New Roman" w:hAnsi="Times New Roman"/>
          <w:sz w:val="20"/>
          <w:szCs w:val="20"/>
          <w:lang w:val="es-CO"/>
        </w:rPr>
      </w:pPr>
      <w:r>
        <w:rPr>
          <w:rFonts w:hint="default" w:ascii="Times New Roman" w:hAnsi="Times New Roman"/>
          <w:sz w:val="20"/>
          <w:szCs w:val="20"/>
          <w:lang w:val="es-CO"/>
        </w:rPr>
        <w:t xml:space="preserve">Como población se encuentra que en el  municipio de Aguachica existen un total de 106 empresas del sector de la construcción legalmente constituidas ante  la cámara de comercio. </w:t>
      </w:r>
      <w:r>
        <w:rPr>
          <w:rFonts w:hint="default" w:ascii="Times New Roman" w:hAnsi="Times New Roman"/>
          <w:sz w:val="20"/>
          <w:szCs w:val="20"/>
          <w:lang w:val="es-ES"/>
        </w:rPr>
        <w:t>Debido a esto</w:t>
      </w:r>
      <w:r>
        <w:rPr>
          <w:rFonts w:hint="default" w:ascii="Times New Roman" w:hAnsi="Times New Roman"/>
          <w:sz w:val="20"/>
          <w:szCs w:val="20"/>
          <w:lang w:val="es-CO"/>
        </w:rPr>
        <w:t xml:space="preserve"> se tomo la decisión de usar </w:t>
      </w:r>
      <w:r>
        <w:rPr>
          <w:rFonts w:hint="default" w:ascii="Times New Roman" w:hAnsi="Times New Roman"/>
          <w:sz w:val="20"/>
          <w:szCs w:val="20"/>
          <w:lang w:val="es-ES"/>
        </w:rPr>
        <w:t>utilizar un</w:t>
      </w:r>
      <w:r>
        <w:rPr>
          <w:rFonts w:hint="default" w:ascii="Times New Roman" w:hAnsi="Times New Roman"/>
          <w:sz w:val="20"/>
          <w:szCs w:val="20"/>
          <w:lang w:val="es-CO"/>
        </w:rPr>
        <w:t xml:space="preserve"> método de muestro </w:t>
      </w:r>
      <w:r>
        <w:rPr>
          <w:rFonts w:hint="default" w:ascii="Times New Roman" w:hAnsi="Times New Roman"/>
          <w:sz w:val="20"/>
          <w:szCs w:val="20"/>
          <w:lang w:val="es-ES"/>
        </w:rPr>
        <w:t xml:space="preserve">en especifico el método </w:t>
      </w:r>
      <w:r>
        <w:rPr>
          <w:rFonts w:hint="default" w:ascii="Times New Roman" w:hAnsi="Times New Roman"/>
          <w:sz w:val="20"/>
          <w:szCs w:val="20"/>
          <w:lang w:val="es-CO"/>
        </w:rPr>
        <w:t xml:space="preserve">probabilistico simple </w:t>
      </w:r>
      <w:r>
        <w:rPr>
          <w:rFonts w:hint="default" w:ascii="Times New Roman" w:hAnsi="Times New Roman"/>
          <w:sz w:val="20"/>
          <w:szCs w:val="20"/>
          <w:lang w:val="es-ES"/>
        </w:rPr>
        <w:t>para que de esta manera</w:t>
      </w:r>
      <w:r>
        <w:rPr>
          <w:rFonts w:hint="default" w:ascii="Times New Roman" w:hAnsi="Times New Roman"/>
          <w:sz w:val="20"/>
          <w:szCs w:val="20"/>
          <w:lang w:val="es-CO"/>
        </w:rPr>
        <w:t xml:space="preserve"> todas las empresas tenga</w:t>
      </w:r>
      <w:r>
        <w:rPr>
          <w:rFonts w:hint="default" w:ascii="Times New Roman" w:hAnsi="Times New Roman"/>
          <w:sz w:val="20"/>
          <w:szCs w:val="20"/>
          <w:lang w:val="es-ES"/>
        </w:rPr>
        <w:t xml:space="preserve">n el mismo porcentaje de </w:t>
      </w:r>
      <w:r>
        <w:rPr>
          <w:rFonts w:hint="default" w:ascii="Times New Roman" w:hAnsi="Times New Roman"/>
          <w:sz w:val="20"/>
          <w:szCs w:val="20"/>
          <w:lang w:val="es-CO"/>
        </w:rPr>
        <w:t xml:space="preserve"> posibilidades de participar de en el ejercicio, ademas de dando como resultado una muestra total de 75 empresas.</w:t>
      </w:r>
    </w:p>
    <w:p>
      <w:pPr>
        <w:jc w:val="both"/>
        <w:rPr>
          <w:rFonts w:hint="default" w:ascii="Times New Roman" w:hAnsi="Times New Roman"/>
          <w:sz w:val="20"/>
          <w:szCs w:val="20"/>
          <w:lang w:val="es-CO"/>
        </w:rPr>
      </w:pPr>
      <w:r>
        <w:rPr>
          <w:rFonts w:hint="default" w:ascii="Times New Roman" w:hAnsi="Times New Roman"/>
          <w:sz w:val="20"/>
          <w:szCs w:val="20"/>
          <w:lang w:val="es-ES"/>
        </w:rPr>
        <w:t>Una vez ya</w:t>
      </w:r>
      <w:r>
        <w:rPr>
          <w:rFonts w:hint="default" w:ascii="Times New Roman" w:hAnsi="Times New Roman"/>
          <w:sz w:val="20"/>
          <w:szCs w:val="20"/>
          <w:lang w:val="es-CO"/>
        </w:rPr>
        <w:t xml:space="preserve"> realizadas encuestas y hojas de cotejo y</w:t>
      </w:r>
      <w:r>
        <w:rPr>
          <w:rFonts w:hint="default" w:ascii="Times New Roman" w:hAnsi="Times New Roman"/>
          <w:sz w:val="20"/>
          <w:szCs w:val="20"/>
          <w:lang w:val="es-ES"/>
        </w:rPr>
        <w:t xml:space="preserve"> habiendo ya </w:t>
      </w:r>
      <w:r>
        <w:rPr>
          <w:rFonts w:hint="default" w:ascii="Times New Roman" w:hAnsi="Times New Roman"/>
          <w:sz w:val="20"/>
          <w:szCs w:val="20"/>
          <w:lang w:val="es-CO"/>
        </w:rPr>
        <w:t xml:space="preserve"> seleccionado la muestras se procede a crear un plan  para el </w:t>
      </w:r>
      <w:r>
        <w:rPr>
          <w:rFonts w:hint="default" w:ascii="Times New Roman" w:hAnsi="Times New Roman"/>
          <w:sz w:val="20"/>
          <w:szCs w:val="20"/>
          <w:lang w:val="es-ES"/>
        </w:rPr>
        <w:t>procedimiento</w:t>
      </w:r>
      <w:r>
        <w:rPr>
          <w:rFonts w:hint="default" w:ascii="Times New Roman" w:hAnsi="Times New Roman"/>
          <w:sz w:val="20"/>
          <w:szCs w:val="20"/>
          <w:lang w:val="es-CO"/>
        </w:rPr>
        <w:t xml:space="preserve"> de aplicación de las encuestas que consiste en los siguientes pasos: ponerse en contacto con las fuentes de estudio de campo para solicitar su colaboración y permiso para la aplicación de los instrumentos, Posterior mente se procederá a a realizar la aplicación de los cuestionarios asegurándose de las respuestas a esto se recopilen de manera precisa y completa.</w:t>
      </w:r>
    </w:p>
    <w:p>
      <w:pPr>
        <w:jc w:val="both"/>
        <w:rPr>
          <w:rFonts w:hint="default" w:ascii="Times New Roman" w:hAnsi="Times New Roman"/>
          <w:sz w:val="20"/>
          <w:szCs w:val="20"/>
          <w:lang w:val="es-CO"/>
        </w:rPr>
      </w:pPr>
      <w:r>
        <w:rPr>
          <w:rFonts w:hint="default" w:ascii="Times New Roman" w:hAnsi="Times New Roman"/>
          <w:sz w:val="20"/>
          <w:szCs w:val="20"/>
          <w:lang w:val="es-CO"/>
        </w:rPr>
        <w:t>Es</w:t>
      </w:r>
      <w:r>
        <w:rPr>
          <w:rFonts w:hint="default" w:ascii="Times New Roman" w:hAnsi="Times New Roman"/>
          <w:sz w:val="20"/>
          <w:szCs w:val="20"/>
          <w:lang w:val="es-ES"/>
        </w:rPr>
        <w:t xml:space="preserve">ta </w:t>
      </w:r>
      <w:r>
        <w:rPr>
          <w:rFonts w:hint="default" w:ascii="Times New Roman" w:hAnsi="Times New Roman"/>
          <w:sz w:val="20"/>
          <w:szCs w:val="20"/>
          <w:lang w:val="es-CO"/>
        </w:rPr>
        <w:t xml:space="preserve">aplicación </w:t>
      </w:r>
      <w:r>
        <w:rPr>
          <w:rFonts w:hint="default" w:ascii="Times New Roman" w:hAnsi="Times New Roman"/>
          <w:sz w:val="20"/>
          <w:szCs w:val="20"/>
          <w:lang w:val="es-ES"/>
        </w:rPr>
        <w:t>tiene fundamentación</w:t>
      </w:r>
      <w:r>
        <w:rPr>
          <w:rFonts w:hint="default" w:ascii="Times New Roman" w:hAnsi="Times New Roman"/>
          <w:sz w:val="20"/>
          <w:szCs w:val="20"/>
          <w:lang w:val="es-CO"/>
        </w:rPr>
        <w:t xml:space="preserve"> en la necesidad de obtener datos fidedignos y relevantes para el análisis posterior. Como señala Johnson (2019), "la fase de aplicación de instrumentos en una investigación cuantitativa es crucial para garantizar la validez y la confiabilidad de los datos recopilados" (p. 45). </w:t>
      </w:r>
    </w:p>
    <w:p>
      <w:pPr>
        <w:jc w:val="both"/>
        <w:rPr>
          <w:rFonts w:hint="default" w:ascii="Times New Roman" w:hAnsi="Times New Roman"/>
          <w:sz w:val="20"/>
          <w:szCs w:val="20"/>
          <w:lang w:val="es-CO"/>
        </w:rPr>
      </w:pPr>
      <w:r>
        <w:rPr>
          <w:rFonts w:hint="default" w:ascii="Times New Roman" w:hAnsi="Times New Roman"/>
          <w:sz w:val="20"/>
          <w:szCs w:val="20"/>
          <w:lang w:val="es-CO"/>
        </w:rPr>
        <w:t xml:space="preserve">De esta manera posteriormente realizar el análisis de los datos a través de la calculación de medidas estadísticas como promedios, desviaciones estándar y frecuencias para tener una comprensión inicial de la distribución y variabilidad de las respuestas y la interpretación de el análisis de los datos en el contexto de los objetivos planteados en esta investigación haciendo una relación entre la teoría con y los datos resultantes.   </w:t>
      </w:r>
    </w:p>
    <w:p>
      <w:pPr>
        <w:jc w:val="both"/>
        <w:rPr>
          <w:rFonts w:ascii="Times New Roman" w:hAnsi="Times New Roman" w:cs="Times New Roman"/>
          <w:sz w:val="20"/>
          <w:szCs w:val="20"/>
          <w:lang w:val="es-CO"/>
        </w:rPr>
      </w:pPr>
      <w:r>
        <w:rPr>
          <w:rFonts w:hint="default" w:ascii="Times New Roman" w:hAnsi="Times New Roman"/>
          <w:sz w:val="20"/>
          <w:szCs w:val="20"/>
          <w:lang w:val="es-ES"/>
        </w:rPr>
        <w:t>Se llevara a cabo la elaboración de gráficos u otro tipo de herramientas de visualización para representar  los resultados de una manera clara y de fácil comprensión. Esta estrategia tiene como propósito de facilitar a los interesados el acceso a la información de los hallazgos encontrados, pormoviendos asi una compresión mas eficiente y efectiva de los datos recopilados y los análisis derivados de estos.</w:t>
      </w:r>
    </w:p>
    <w:p>
      <w:pPr>
        <w:pStyle w:val="2"/>
        <w:spacing w:before="120" w:after="120"/>
        <w:jc w:val="both"/>
        <w:rPr>
          <w:rFonts w:hint="default"/>
          <w:lang w:val="es-ES"/>
        </w:rPr>
      </w:pPr>
      <w:r>
        <w:rPr>
          <w:rFonts w:ascii="Times New Roman" w:hAnsi="Times New Roman" w:cs="Times New Roman"/>
          <w:sz w:val="20"/>
          <w:szCs w:val="20"/>
          <w:lang w:val="es-CO"/>
        </w:rPr>
        <w:t>Resultados</w:t>
      </w:r>
    </w:p>
    <w:p>
      <w:pPr>
        <w:jc w:val="both"/>
        <w:rPr>
          <w:rFonts w:hint="default" w:ascii="Times New Roman" w:hAnsi="Times New Roman"/>
          <w:sz w:val="20"/>
          <w:szCs w:val="20"/>
          <w:lang w:val="es-ES" w:eastAsia="en-US"/>
        </w:rPr>
      </w:pPr>
      <w:r>
        <w:rPr>
          <w:rFonts w:hint="default" w:ascii="Times New Roman" w:hAnsi="Times New Roman"/>
          <w:sz w:val="20"/>
          <w:szCs w:val="20"/>
          <w:lang w:val="es-ES" w:eastAsia="en-US"/>
        </w:rPr>
        <w:t>Al llevar a cabo la ejecución de los  dos instrumentos de recolección de información primaria  es decir las encuesta de preguntas cerradas y hojas de cotejo se obtuvo un total del 92% de participación por parte de la muestra  se realizo  través el respectivo análisis de los resultados obtenidos, Con la ejecución de las herramientas se ha conseguido recopilar  información que ofrece una visión detallada del panorama local del municipio encontrando de manera general los siguientes porcentajes de aciertos de las diez preguntas en total.Como sugiere Smith (2019), "la participación activa en las herramientas de recolección de datos es esencial para garantizar la representatividad de la muestra y la validez de los resultados" (p. 88).</w:t>
      </w:r>
    </w:p>
    <w:p>
      <w:pPr>
        <w:jc w:val="both"/>
        <w:rPr>
          <w:rFonts w:hint="default" w:ascii="Times New Roman" w:hAnsi="Times New Roman"/>
          <w:sz w:val="20"/>
          <w:szCs w:val="20"/>
          <w:lang w:val="es-ES"/>
        </w:rPr>
      </w:pPr>
      <w:r>
        <w:rPr>
          <w:rFonts w:ascii="Times New Roman" w:hAnsi="Times New Roman"/>
          <w:sz w:val="20"/>
          <w:szCs w:val="20"/>
          <w:lang w:val="es-CO"/>
        </w:rPr>
        <w:t xml:space="preserve">Tabla 1. </w:t>
      </w:r>
      <w:r>
        <w:rPr>
          <w:rFonts w:hint="default" w:ascii="Times New Roman" w:hAnsi="Times New Roman"/>
          <w:sz w:val="20"/>
          <w:szCs w:val="20"/>
          <w:lang w:val="es-ES"/>
        </w:rPr>
        <w:t xml:space="preserve">porcentaje de acierto en los instrumentos de recolección de datos. </w:t>
      </w:r>
    </w:p>
    <w:tbl>
      <w:tblPr>
        <w:tblStyle w:val="5"/>
        <w:tblW w:w="4363" w:type="dxa"/>
        <w:tblInd w:w="0" w:type="dxa"/>
        <w:tblBorders>
          <w:top w:val="single" w:color="7F7F7F" w:sz="4" w:space="0"/>
          <w:left w:val="none" w:color="auto" w:sz="0" w:space="0"/>
          <w:bottom w:val="single" w:color="7F7F7F"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68"/>
        <w:gridCol w:w="976"/>
        <w:gridCol w:w="1119"/>
      </w:tblGrid>
      <w:tr>
        <w:tblPrEx>
          <w:tblBorders>
            <w:top w:val="single" w:color="7F7F7F" w:sz="4" w:space="0"/>
            <w:left w:val="none" w:color="auto" w:sz="0" w:space="0"/>
            <w:bottom w:val="single" w:color="7F7F7F" w:sz="4" w:space="0"/>
            <w:right w:val="none" w:color="auto" w:sz="0" w:space="0"/>
            <w:insideH w:val="none" w:color="auto" w:sz="0" w:space="0"/>
            <w:insideV w:val="none" w:color="auto" w:sz="0" w:space="0"/>
          </w:tblBorders>
        </w:tblPrEx>
        <w:trPr>
          <w:trHeight w:val="614" w:hRule="exact"/>
        </w:trPr>
        <w:tc>
          <w:tcPr>
            <w:tcW w:w="2268" w:type="dxa"/>
            <w:tcBorders>
              <w:top w:val="single" w:color="auto" w:sz="4" w:space="0"/>
              <w:bottom w:val="single" w:color="auto" w:sz="4" w:space="0"/>
            </w:tcBorders>
            <w:shd w:val="clear" w:color="auto" w:fill="auto"/>
            <w:noWrap/>
            <w:vAlign w:val="top"/>
          </w:tcPr>
          <w:p>
            <w:pPr>
              <w:jc w:val="center"/>
              <w:rPr>
                <w:rFonts w:hint="default" w:ascii="Times New Roman" w:hAnsi="Times New Roman" w:eastAsia="Calibri"/>
                <w:b/>
                <w:bCs/>
                <w:sz w:val="20"/>
                <w:szCs w:val="20"/>
                <w:lang w:val="es-ES"/>
              </w:rPr>
            </w:pPr>
            <w:r>
              <w:rPr>
                <w:rFonts w:hint="default" w:ascii="Times New Roman" w:hAnsi="Times New Roman" w:eastAsia="Calibri"/>
                <w:b/>
                <w:bCs/>
                <w:sz w:val="20"/>
                <w:szCs w:val="20"/>
                <w:lang w:val="es-ES"/>
              </w:rPr>
              <w:t xml:space="preserve">Herramienta de recolección primaria </w:t>
            </w:r>
          </w:p>
        </w:tc>
        <w:tc>
          <w:tcPr>
            <w:tcW w:w="976" w:type="dxa"/>
            <w:tcBorders>
              <w:top w:val="single" w:color="auto" w:sz="4" w:space="0"/>
              <w:bottom w:val="single" w:color="auto" w:sz="4" w:space="0"/>
            </w:tcBorders>
            <w:shd w:val="clear" w:color="auto" w:fill="auto"/>
            <w:noWrap/>
            <w:vAlign w:val="top"/>
          </w:tcPr>
          <w:p>
            <w:pPr>
              <w:jc w:val="center"/>
              <w:rPr>
                <w:rFonts w:hint="default" w:ascii="Times New Roman" w:hAnsi="Times New Roman" w:eastAsia="Calibri"/>
                <w:b/>
                <w:bCs/>
                <w:sz w:val="20"/>
                <w:szCs w:val="20"/>
                <w:lang w:val="es-ES"/>
              </w:rPr>
            </w:pPr>
            <w:r>
              <w:rPr>
                <w:rFonts w:hint="default" w:ascii="Times New Roman" w:hAnsi="Times New Roman" w:eastAsia="Calibri"/>
                <w:b/>
                <w:bCs/>
                <w:sz w:val="20"/>
                <w:szCs w:val="20"/>
                <w:lang w:val="es-ES"/>
              </w:rPr>
              <w:t>% de acierto</w:t>
            </w:r>
          </w:p>
        </w:tc>
        <w:tc>
          <w:tcPr>
            <w:tcW w:w="1119" w:type="dxa"/>
            <w:tcBorders>
              <w:top w:val="single" w:color="auto" w:sz="4" w:space="0"/>
              <w:bottom w:val="single" w:color="auto" w:sz="4" w:space="0"/>
            </w:tcBorders>
            <w:shd w:val="clear" w:color="auto" w:fill="auto"/>
            <w:noWrap/>
            <w:vAlign w:val="top"/>
          </w:tcPr>
          <w:p>
            <w:pPr>
              <w:jc w:val="center"/>
              <w:rPr>
                <w:rFonts w:hint="default" w:ascii="Times New Roman" w:hAnsi="Times New Roman" w:eastAsia="Calibri"/>
                <w:b/>
                <w:bCs/>
                <w:sz w:val="20"/>
                <w:szCs w:val="20"/>
                <w:lang w:val="es-ES"/>
              </w:rPr>
            </w:pPr>
            <w:r>
              <w:rPr>
                <w:rFonts w:hint="default" w:ascii="Times New Roman" w:hAnsi="Times New Roman" w:eastAsia="Calibri"/>
                <w:b/>
                <w:bCs/>
                <w:sz w:val="20"/>
                <w:szCs w:val="20"/>
                <w:lang w:val="es-ES"/>
              </w:rPr>
              <w:t xml:space="preserve">% de desacierto </w:t>
            </w:r>
          </w:p>
        </w:tc>
      </w:tr>
      <w:tr>
        <w:tblPrEx>
          <w:tblBorders>
            <w:top w:val="single" w:color="7F7F7F" w:sz="4" w:space="0"/>
            <w:left w:val="none" w:color="auto" w:sz="0" w:space="0"/>
            <w:bottom w:val="single" w:color="7F7F7F"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5" w:hRule="exact"/>
        </w:trPr>
        <w:tc>
          <w:tcPr>
            <w:tcW w:w="2268" w:type="dxa"/>
            <w:tcBorders>
              <w:top w:val="single" w:color="auto" w:sz="4" w:space="0"/>
              <w:bottom w:val="nil"/>
            </w:tcBorders>
            <w:shd w:val="clear" w:color="auto" w:fill="auto"/>
            <w:noWrap/>
            <w:vAlign w:val="top"/>
          </w:tcPr>
          <w:p>
            <w:pPr>
              <w:jc w:val="center"/>
              <w:rPr>
                <w:rFonts w:hint="default" w:ascii="Times New Roman" w:hAnsi="Times New Roman" w:eastAsia="Calibri"/>
                <w:b/>
                <w:bCs/>
                <w:sz w:val="20"/>
                <w:szCs w:val="20"/>
                <w:lang w:val="es-ES"/>
              </w:rPr>
            </w:pPr>
            <w:r>
              <w:rPr>
                <w:rFonts w:hint="default" w:ascii="Times New Roman" w:hAnsi="Times New Roman" w:eastAsia="Calibri"/>
                <w:b/>
                <w:bCs/>
                <w:sz w:val="20"/>
                <w:szCs w:val="20"/>
                <w:lang w:val="es-ES"/>
              </w:rPr>
              <w:t>Encuestas de pregunta cerradas</w:t>
            </w:r>
          </w:p>
        </w:tc>
        <w:tc>
          <w:tcPr>
            <w:tcW w:w="976" w:type="dxa"/>
            <w:tcBorders>
              <w:top w:val="single" w:color="auto" w:sz="4" w:space="0"/>
              <w:bottom w:val="nil"/>
            </w:tcBorders>
            <w:shd w:val="clear" w:color="auto" w:fill="auto"/>
            <w:noWrap/>
            <w:vAlign w:val="top"/>
          </w:tcPr>
          <w:p>
            <w:pPr>
              <w:jc w:val="center"/>
              <w:rPr>
                <w:rFonts w:hint="default" w:ascii="Times New Roman" w:hAnsi="Times New Roman" w:eastAsia="Calibri"/>
                <w:sz w:val="20"/>
                <w:szCs w:val="20"/>
                <w:lang w:val="es-ES"/>
              </w:rPr>
            </w:pPr>
            <w:r>
              <w:rPr>
                <w:rFonts w:hint="default" w:ascii="Times New Roman" w:hAnsi="Times New Roman" w:eastAsia="Calibri"/>
                <w:sz w:val="20"/>
                <w:szCs w:val="20"/>
                <w:lang w:val="es-ES"/>
              </w:rPr>
              <w:t>61%</w:t>
            </w:r>
          </w:p>
        </w:tc>
        <w:tc>
          <w:tcPr>
            <w:tcW w:w="1119" w:type="dxa"/>
            <w:tcBorders>
              <w:top w:val="single" w:color="auto" w:sz="4" w:space="0"/>
              <w:bottom w:val="nil"/>
            </w:tcBorders>
            <w:shd w:val="clear" w:color="auto" w:fill="auto"/>
            <w:noWrap/>
            <w:vAlign w:val="top"/>
          </w:tcPr>
          <w:p>
            <w:pPr>
              <w:jc w:val="center"/>
              <w:rPr>
                <w:rFonts w:hint="default" w:ascii="Times New Roman" w:hAnsi="Times New Roman" w:eastAsia="Calibri"/>
                <w:sz w:val="20"/>
                <w:szCs w:val="20"/>
                <w:lang w:val="es-ES"/>
              </w:rPr>
            </w:pPr>
            <w:r>
              <w:rPr>
                <w:rFonts w:hint="default" w:ascii="Times New Roman" w:hAnsi="Times New Roman" w:eastAsia="Calibri"/>
                <w:sz w:val="20"/>
                <w:szCs w:val="20"/>
                <w:lang w:val="es-ES"/>
              </w:rPr>
              <w:t>39%</w:t>
            </w:r>
          </w:p>
        </w:tc>
      </w:tr>
      <w:tr>
        <w:tblPrEx>
          <w:tblBorders>
            <w:top w:val="single" w:color="7F7F7F" w:sz="4" w:space="0"/>
            <w:left w:val="none" w:color="auto" w:sz="0" w:space="0"/>
            <w:bottom w:val="single" w:color="7F7F7F"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exact"/>
        </w:trPr>
        <w:tc>
          <w:tcPr>
            <w:tcW w:w="2268" w:type="dxa"/>
            <w:tcBorders>
              <w:top w:val="nil"/>
              <w:bottom w:val="single" w:color="auto" w:sz="4" w:space="0"/>
            </w:tcBorders>
            <w:shd w:val="clear" w:color="auto" w:fill="auto"/>
            <w:noWrap/>
            <w:vAlign w:val="top"/>
          </w:tcPr>
          <w:p>
            <w:pPr>
              <w:jc w:val="center"/>
              <w:rPr>
                <w:rFonts w:hint="default" w:ascii="Times New Roman" w:hAnsi="Times New Roman" w:eastAsia="Calibri"/>
                <w:b/>
                <w:bCs/>
                <w:sz w:val="20"/>
                <w:szCs w:val="20"/>
                <w:lang w:val="es-ES"/>
              </w:rPr>
            </w:pPr>
            <w:r>
              <w:rPr>
                <w:rFonts w:hint="default" w:ascii="Times New Roman" w:hAnsi="Times New Roman" w:eastAsia="Calibri"/>
                <w:b/>
                <w:bCs/>
                <w:sz w:val="20"/>
                <w:szCs w:val="20"/>
                <w:lang w:val="es-ES"/>
              </w:rPr>
              <w:t xml:space="preserve">Hojas de cotejo </w:t>
            </w:r>
          </w:p>
        </w:tc>
        <w:tc>
          <w:tcPr>
            <w:tcW w:w="976" w:type="dxa"/>
            <w:tcBorders>
              <w:top w:val="nil"/>
              <w:bottom w:val="single" w:color="auto" w:sz="4" w:space="0"/>
            </w:tcBorders>
            <w:shd w:val="clear" w:color="auto" w:fill="auto"/>
            <w:noWrap/>
            <w:vAlign w:val="top"/>
          </w:tcPr>
          <w:p>
            <w:pPr>
              <w:jc w:val="center"/>
              <w:rPr>
                <w:rFonts w:hint="default" w:ascii="Times New Roman" w:hAnsi="Times New Roman" w:eastAsia="Calibri"/>
                <w:sz w:val="20"/>
                <w:szCs w:val="20"/>
                <w:lang w:val="es-ES"/>
              </w:rPr>
            </w:pPr>
            <w:r>
              <w:rPr>
                <w:rFonts w:hint="default" w:ascii="Times New Roman" w:hAnsi="Times New Roman" w:eastAsia="Calibri"/>
                <w:sz w:val="20"/>
                <w:szCs w:val="20"/>
                <w:lang w:val="es-ES"/>
              </w:rPr>
              <w:t>76%</w:t>
            </w:r>
          </w:p>
        </w:tc>
        <w:tc>
          <w:tcPr>
            <w:tcW w:w="1119" w:type="dxa"/>
            <w:tcBorders>
              <w:top w:val="nil"/>
              <w:bottom w:val="single" w:color="auto" w:sz="4" w:space="0"/>
            </w:tcBorders>
            <w:shd w:val="clear" w:color="auto" w:fill="auto"/>
            <w:noWrap/>
            <w:vAlign w:val="top"/>
          </w:tcPr>
          <w:p>
            <w:pPr>
              <w:jc w:val="center"/>
              <w:rPr>
                <w:rFonts w:hint="default" w:ascii="Times New Roman" w:hAnsi="Times New Roman" w:eastAsia="Calibri"/>
                <w:sz w:val="20"/>
                <w:szCs w:val="20"/>
                <w:lang w:val="es-ES"/>
              </w:rPr>
            </w:pPr>
            <w:r>
              <w:rPr>
                <w:rFonts w:hint="default" w:ascii="Times New Roman" w:hAnsi="Times New Roman" w:eastAsia="Calibri"/>
                <w:sz w:val="20"/>
                <w:szCs w:val="20"/>
                <w:lang w:val="es-ES"/>
              </w:rPr>
              <w:t>24%</w:t>
            </w:r>
          </w:p>
        </w:tc>
      </w:tr>
    </w:tbl>
    <w:p>
      <w:pPr>
        <w:jc w:val="both"/>
        <w:rPr>
          <w:rFonts w:hint="default" w:ascii="Times New Roman" w:hAnsi="Times New Roman"/>
          <w:sz w:val="20"/>
          <w:szCs w:val="20"/>
          <w:lang w:val="es-ES" w:eastAsia="en-US"/>
        </w:rPr>
      </w:pPr>
      <w:r>
        <w:rPr>
          <w:rFonts w:hint="default" w:ascii="Times New Roman" w:hAnsi="Times New Roman"/>
          <w:sz w:val="20"/>
          <w:szCs w:val="20"/>
          <w:lang w:val="es-ES" w:eastAsia="en-US"/>
        </w:rPr>
        <w:t>Nota: la fuente de la tabla es de auditoria propia</w:t>
      </w:r>
    </w:p>
    <w:p>
      <w:pPr>
        <w:jc w:val="both"/>
        <w:rPr>
          <w:rFonts w:hint="default" w:ascii="Times New Roman" w:hAnsi="Times New Roman"/>
          <w:sz w:val="20"/>
          <w:szCs w:val="20"/>
          <w:lang w:val="es-ES"/>
        </w:rPr>
      </w:pPr>
      <w:r>
        <w:rPr>
          <w:rFonts w:hint="default" w:ascii="Times New Roman" w:hAnsi="Times New Roman"/>
          <w:sz w:val="20"/>
          <w:szCs w:val="20"/>
          <w:lang w:val="es-ES" w:eastAsia="en-US"/>
        </w:rPr>
        <w:t>En las encuestas de preguntas cerradas se observa que el porcentaje de respuestas correctas es solo de el 61%. este indicador sugiere que el conocimiento que tienen los empleados del sector encuentran en un nivel medio según la tabla 2. este hallazgo señala</w:t>
      </w:r>
      <w:r>
        <w:rPr>
          <w:rFonts w:hint="default" w:ascii="Times New Roman" w:hAnsi="Times New Roman"/>
          <w:sz w:val="20"/>
          <w:szCs w:val="20"/>
          <w:lang w:val="es-ES"/>
        </w:rPr>
        <w:t xml:space="preserve"> que en cuanto conocimientos en los procedimientos y conceptos de prevención de riesgos laborales los trabajadores aun tienen un amplio margen de mejora, siendo  a destacar su importancias debido a que su nivel de conocimiento sobre este tema se encuentra respectivamente relacionado a sus posibilidades de que se presenten accidentes en su ambiente laboral.</w:t>
      </w:r>
    </w:p>
    <w:p>
      <w:pPr>
        <w:jc w:val="both"/>
        <w:rPr>
          <w:rFonts w:hint="default" w:ascii="Times New Roman" w:hAnsi="Times New Roman"/>
          <w:sz w:val="20"/>
          <w:szCs w:val="20"/>
          <w:lang w:val="es-ES" w:eastAsia="en-US"/>
        </w:rPr>
      </w:pPr>
      <w:r>
        <w:rPr>
          <w:rFonts w:ascii="Times New Roman" w:hAnsi="Times New Roman"/>
          <w:sz w:val="20"/>
          <w:szCs w:val="20"/>
          <w:lang w:val="es-CO"/>
        </w:rPr>
        <w:t xml:space="preserve">Tabla </w:t>
      </w:r>
      <w:r>
        <w:rPr>
          <w:rFonts w:hint="default" w:ascii="Times New Roman" w:hAnsi="Times New Roman"/>
          <w:sz w:val="20"/>
          <w:szCs w:val="20"/>
          <w:lang w:val="es-ES"/>
        </w:rPr>
        <w:t>2</w:t>
      </w:r>
      <w:r>
        <w:rPr>
          <w:rFonts w:ascii="Times New Roman" w:hAnsi="Times New Roman"/>
          <w:sz w:val="20"/>
          <w:szCs w:val="20"/>
          <w:lang w:val="es-CO"/>
        </w:rPr>
        <w:t xml:space="preserve">. </w:t>
      </w:r>
      <w:r>
        <w:rPr>
          <w:rFonts w:hint="default" w:ascii="Times New Roman" w:hAnsi="Times New Roman"/>
          <w:sz w:val="20"/>
          <w:szCs w:val="20"/>
          <w:lang w:val="es-CO"/>
        </w:rPr>
        <w:t>categorización</w:t>
      </w:r>
    </w:p>
    <w:tbl>
      <w:tblPr>
        <w:tblStyle w:val="23"/>
        <w:tblW w:w="4278"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484"/>
        <w:gridCol w:w="1397"/>
        <w:gridCol w:w="1397"/>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7" w:hRule="atLeast"/>
        </w:trPr>
        <w:tc>
          <w:tcPr>
            <w:tcW w:w="1484" w:type="dxa"/>
            <w:tcBorders>
              <w:top w:val="single" w:color="auto" w:sz="4" w:space="0"/>
              <w:left w:val="dotted" w:color="auto" w:sz="0" w:space="0"/>
              <w:bottom w:val="single" w:color="auto" w:sz="4" w:space="0"/>
              <w:right w:val="dotted" w:color="auto" w:sz="0" w:space="0"/>
              <w:insideH w:val="single" w:sz="4" w:space="0"/>
            </w:tcBorders>
            <w:shd w:val="clear" w:color="auto" w:fill="FFFFFF"/>
            <w:vAlign w:val="center"/>
          </w:tcPr>
          <w:p>
            <w:pPr>
              <w:jc w:val="center"/>
              <w:rPr>
                <w:rFonts w:hint="default" w:ascii="Times New Roman" w:hAnsi="Times New Roman" w:eastAsia="Calibri" w:cs="Times New Roman"/>
                <w:b/>
                <w:bCs/>
                <w:color w:val="000000"/>
                <w:sz w:val="20"/>
                <w:szCs w:val="20"/>
                <w:lang w:val="es-ES" w:eastAsia="es-ES" w:bidi="ar-SA"/>
              </w:rPr>
            </w:pPr>
            <w:r>
              <w:rPr>
                <w:rFonts w:hint="default" w:ascii="Times New Roman" w:hAnsi="Times New Roman" w:eastAsia="Calibri"/>
                <w:b/>
                <w:bCs/>
                <w:color w:val="000000"/>
                <w:sz w:val="20"/>
                <w:szCs w:val="20"/>
                <w:lang w:val="es-ES"/>
              </w:rPr>
              <w:t>Categoría</w:t>
            </w:r>
          </w:p>
        </w:tc>
        <w:tc>
          <w:tcPr>
            <w:tcW w:w="1397" w:type="dxa"/>
            <w:tcBorders>
              <w:top w:val="single" w:color="auto" w:sz="4" w:space="0"/>
              <w:left w:val="dotted" w:color="auto" w:sz="0" w:space="0"/>
              <w:bottom w:val="single" w:color="auto" w:sz="4" w:space="0"/>
              <w:right w:val="dotted" w:color="auto" w:sz="0" w:space="0"/>
              <w:insideH w:val="single" w:sz="4" w:space="0"/>
            </w:tcBorders>
            <w:shd w:val="clear" w:color="auto" w:fill="FFFFFF"/>
            <w:vAlign w:val="center"/>
          </w:tcPr>
          <w:p>
            <w:pPr>
              <w:jc w:val="center"/>
              <w:rPr>
                <w:rFonts w:hint="default" w:ascii="Times New Roman" w:hAnsi="Times New Roman" w:eastAsia="Calibri"/>
                <w:b/>
                <w:bCs/>
                <w:color w:val="000000"/>
                <w:sz w:val="20"/>
                <w:szCs w:val="20"/>
                <w:lang w:val="es-ES"/>
              </w:rPr>
            </w:pPr>
            <w:r>
              <w:rPr>
                <w:rFonts w:hint="default" w:ascii="Times New Roman" w:hAnsi="Times New Roman" w:eastAsia="Calibri"/>
                <w:b/>
                <w:bCs/>
                <w:color w:val="000000"/>
                <w:sz w:val="20"/>
                <w:szCs w:val="20"/>
                <w:lang w:val="es-ES"/>
              </w:rPr>
              <w:t>Mínimo porcentaje para entrar en esta categoría</w:t>
            </w:r>
          </w:p>
        </w:tc>
        <w:tc>
          <w:tcPr>
            <w:tcW w:w="1397" w:type="dxa"/>
            <w:tcBorders>
              <w:top w:val="single" w:color="auto" w:sz="4" w:space="0"/>
              <w:left w:val="dotted" w:color="auto" w:sz="0" w:space="0"/>
              <w:bottom w:val="single" w:color="auto" w:sz="4" w:space="0"/>
              <w:right w:val="dotted" w:color="auto" w:sz="0" w:space="0"/>
              <w:insideH w:val="single" w:sz="4" w:space="0"/>
            </w:tcBorders>
            <w:shd w:val="clear" w:color="auto" w:fill="FFFFFF"/>
            <w:vAlign w:val="center"/>
          </w:tcPr>
          <w:p>
            <w:pPr>
              <w:jc w:val="center"/>
              <w:rPr>
                <w:rFonts w:hint="default" w:ascii="Times New Roman" w:hAnsi="Times New Roman" w:eastAsia="Calibri"/>
                <w:b/>
                <w:bCs/>
                <w:color w:val="000000"/>
                <w:sz w:val="20"/>
                <w:szCs w:val="20"/>
                <w:lang w:val="es-ES"/>
              </w:rPr>
            </w:pPr>
            <w:r>
              <w:rPr>
                <w:rFonts w:hint="default" w:ascii="Times New Roman" w:hAnsi="Times New Roman" w:eastAsia="Calibri"/>
                <w:b/>
                <w:bCs/>
                <w:color w:val="000000"/>
                <w:sz w:val="20"/>
                <w:szCs w:val="20"/>
                <w:lang w:val="es-ES"/>
              </w:rPr>
              <w:t>Máximo porcentaje para entrar en esta categoría</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1484" w:type="dxa"/>
            <w:tcBorders>
              <w:top w:val="single" w:color="auto" w:sz="4" w:space="0"/>
              <w:left w:val="dotted" w:color="auto" w:sz="0" w:space="0"/>
              <w:bottom w:val="dotted" w:color="auto" w:sz="4" w:space="0"/>
              <w:right w:val="dotted" w:color="auto" w:sz="0" w:space="0"/>
            </w:tcBorders>
            <w:shd w:val="clear" w:color="auto" w:fill="FFFFFF"/>
            <w:vAlign w:val="center"/>
          </w:tcPr>
          <w:p>
            <w:pPr>
              <w:jc w:val="center"/>
              <w:rPr>
                <w:rFonts w:hint="default" w:ascii="Times New Roman" w:hAnsi="Times New Roman" w:eastAsia="Calibri" w:cs="Times New Roman"/>
                <w:b/>
                <w:bCs/>
                <w:color w:val="000000"/>
                <w:sz w:val="20"/>
                <w:szCs w:val="20"/>
                <w:lang w:val="es-ES" w:eastAsia="es-ES" w:bidi="ar-SA"/>
              </w:rPr>
            </w:pPr>
            <w:r>
              <w:rPr>
                <w:rFonts w:hint="default" w:ascii="Times New Roman" w:hAnsi="Times New Roman" w:eastAsia="Calibri"/>
                <w:b/>
                <w:bCs/>
                <w:color w:val="000000"/>
                <w:sz w:val="20"/>
                <w:szCs w:val="20"/>
                <w:lang w:val="es-ES"/>
              </w:rPr>
              <w:t>Excelente</w:t>
            </w:r>
          </w:p>
        </w:tc>
        <w:tc>
          <w:tcPr>
            <w:tcW w:w="1397" w:type="dxa"/>
            <w:tcBorders>
              <w:top w:val="single" w:color="auto" w:sz="4" w:space="0"/>
              <w:left w:val="dotted" w:color="auto" w:sz="0" w:space="0"/>
              <w:bottom w:val="dotted" w:color="auto" w:sz="4" w:space="0"/>
              <w:right w:val="dotted" w:color="auto" w:sz="0" w:space="0"/>
            </w:tcBorders>
            <w:shd w:val="clear" w:color="auto" w:fill="FFFFFF"/>
            <w:vAlign w:val="center"/>
          </w:tcPr>
          <w:p>
            <w:pPr>
              <w:jc w:val="center"/>
              <w:rPr>
                <w:rFonts w:hint="default" w:ascii="Times New Roman" w:hAnsi="Times New Roman" w:eastAsia="Calibri"/>
                <w:b w:val="0"/>
                <w:bCs w:val="0"/>
                <w:color w:val="000000"/>
                <w:sz w:val="20"/>
                <w:szCs w:val="20"/>
                <w:lang w:val="es-ES"/>
              </w:rPr>
            </w:pPr>
            <w:r>
              <w:rPr>
                <w:rFonts w:hint="default" w:ascii="Times New Roman" w:hAnsi="Times New Roman" w:eastAsia="Calibri"/>
                <w:b w:val="0"/>
                <w:bCs w:val="0"/>
                <w:color w:val="000000"/>
                <w:sz w:val="20"/>
                <w:szCs w:val="20"/>
                <w:lang w:val="es-ES"/>
              </w:rPr>
              <w:t>90%</w:t>
            </w:r>
          </w:p>
        </w:tc>
        <w:tc>
          <w:tcPr>
            <w:tcW w:w="1397" w:type="dxa"/>
            <w:tcBorders>
              <w:top w:val="single" w:color="auto" w:sz="4" w:space="0"/>
              <w:left w:val="dotted" w:color="auto" w:sz="0" w:space="0"/>
              <w:bottom w:val="dotted" w:color="auto" w:sz="4" w:space="0"/>
              <w:right w:val="dotted" w:color="auto" w:sz="0" w:space="0"/>
            </w:tcBorders>
            <w:shd w:val="clear" w:color="auto" w:fill="FFFFFF"/>
            <w:vAlign w:val="center"/>
          </w:tcPr>
          <w:p>
            <w:pPr>
              <w:jc w:val="center"/>
              <w:rPr>
                <w:rFonts w:hint="default" w:ascii="Times New Roman" w:hAnsi="Times New Roman" w:eastAsia="Calibri"/>
                <w:b w:val="0"/>
                <w:bCs w:val="0"/>
                <w:color w:val="000000"/>
                <w:sz w:val="20"/>
                <w:szCs w:val="20"/>
                <w:lang w:val="es-ES"/>
              </w:rPr>
            </w:pPr>
            <w:r>
              <w:rPr>
                <w:rFonts w:hint="default" w:ascii="Times New Roman" w:hAnsi="Times New Roman" w:eastAsia="Calibri"/>
                <w:b w:val="0"/>
                <w:bCs w:val="0"/>
                <w:color w:val="000000"/>
                <w:sz w:val="20"/>
                <w:szCs w:val="20"/>
                <w:lang w:val="es-ES"/>
              </w:rPr>
              <w:t>100%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1484" w:type="dxa"/>
            <w:tcBorders>
              <w:top w:val="dotted" w:color="auto" w:sz="4" w:space="0"/>
              <w:left w:val="dotted" w:color="auto" w:sz="0" w:space="0"/>
              <w:bottom w:val="dotted" w:color="auto" w:sz="4" w:space="0"/>
              <w:right w:val="dotted" w:color="auto" w:sz="0" w:space="0"/>
            </w:tcBorders>
            <w:shd w:val="clear" w:color="auto" w:fill="FFFFFF"/>
            <w:vAlign w:val="center"/>
          </w:tcPr>
          <w:p>
            <w:pPr>
              <w:jc w:val="center"/>
              <w:rPr>
                <w:rFonts w:hint="default" w:ascii="Times New Roman" w:hAnsi="Times New Roman" w:eastAsia="Calibri" w:cs="Times New Roman"/>
                <w:b/>
                <w:bCs/>
                <w:color w:val="000000"/>
                <w:sz w:val="20"/>
                <w:szCs w:val="20"/>
                <w:lang w:val="es-ES" w:eastAsia="es-ES" w:bidi="ar-SA"/>
              </w:rPr>
            </w:pPr>
            <w:r>
              <w:rPr>
                <w:rFonts w:hint="default" w:ascii="Times New Roman" w:hAnsi="Times New Roman" w:eastAsia="Calibri"/>
                <w:b/>
                <w:bCs/>
                <w:color w:val="000000"/>
                <w:sz w:val="20"/>
                <w:szCs w:val="20"/>
                <w:lang w:val="es-ES"/>
              </w:rPr>
              <w:t>Alto</w:t>
            </w:r>
          </w:p>
        </w:tc>
        <w:tc>
          <w:tcPr>
            <w:tcW w:w="1397" w:type="dxa"/>
            <w:tcBorders>
              <w:top w:val="dotted" w:color="auto" w:sz="4" w:space="0"/>
              <w:left w:val="dotted" w:color="auto" w:sz="0" w:space="0"/>
              <w:bottom w:val="dotted" w:color="auto" w:sz="4" w:space="0"/>
              <w:right w:val="dotted" w:color="auto" w:sz="0" w:space="0"/>
            </w:tcBorders>
            <w:shd w:val="clear" w:color="auto" w:fill="FFFFFF"/>
            <w:vAlign w:val="center"/>
          </w:tcPr>
          <w:p>
            <w:pPr>
              <w:jc w:val="center"/>
              <w:rPr>
                <w:rFonts w:hint="default" w:ascii="Times New Roman" w:hAnsi="Times New Roman" w:eastAsia="Calibri"/>
                <w:b w:val="0"/>
                <w:bCs w:val="0"/>
                <w:color w:val="000000"/>
                <w:sz w:val="20"/>
                <w:szCs w:val="20"/>
                <w:lang w:val="es-ES"/>
              </w:rPr>
            </w:pPr>
            <w:r>
              <w:rPr>
                <w:rFonts w:hint="default" w:ascii="Times New Roman" w:hAnsi="Times New Roman" w:eastAsia="Calibri"/>
                <w:b w:val="0"/>
                <w:bCs w:val="0"/>
                <w:color w:val="000000"/>
                <w:sz w:val="20"/>
                <w:szCs w:val="20"/>
                <w:lang w:val="es-ES"/>
              </w:rPr>
              <w:t>70%</w:t>
            </w:r>
          </w:p>
        </w:tc>
        <w:tc>
          <w:tcPr>
            <w:tcW w:w="1397" w:type="dxa"/>
            <w:tcBorders>
              <w:top w:val="dotted" w:color="auto" w:sz="4" w:space="0"/>
              <w:left w:val="dotted" w:color="auto" w:sz="0" w:space="0"/>
              <w:bottom w:val="dotted" w:color="auto" w:sz="4" w:space="0"/>
              <w:right w:val="dotted" w:color="auto" w:sz="0" w:space="0"/>
            </w:tcBorders>
            <w:shd w:val="clear" w:color="auto" w:fill="FFFFFF"/>
            <w:vAlign w:val="center"/>
          </w:tcPr>
          <w:p>
            <w:pPr>
              <w:jc w:val="center"/>
              <w:rPr>
                <w:rFonts w:hint="default" w:ascii="Times New Roman" w:hAnsi="Times New Roman" w:eastAsia="Calibri"/>
                <w:b w:val="0"/>
                <w:bCs w:val="0"/>
                <w:color w:val="000000"/>
                <w:sz w:val="20"/>
                <w:szCs w:val="20"/>
                <w:lang w:val="es-ES"/>
              </w:rPr>
            </w:pPr>
            <w:r>
              <w:rPr>
                <w:rFonts w:hint="default" w:ascii="Times New Roman" w:hAnsi="Times New Roman" w:eastAsia="Calibri"/>
                <w:b w:val="0"/>
                <w:bCs w:val="0"/>
                <w:color w:val="000000"/>
                <w:sz w:val="20"/>
                <w:szCs w:val="20"/>
                <w:lang w:val="es-ES"/>
              </w:rPr>
              <w:t>89%</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1484" w:type="dxa"/>
            <w:tcBorders>
              <w:top w:val="dotted" w:color="auto" w:sz="4" w:space="0"/>
              <w:left w:val="dotted" w:color="auto" w:sz="0" w:space="0"/>
              <w:bottom w:val="dotted" w:color="auto" w:sz="4" w:space="0"/>
              <w:right w:val="dotted" w:color="auto" w:sz="0" w:space="0"/>
            </w:tcBorders>
            <w:shd w:val="clear" w:color="auto" w:fill="FFFFFF"/>
            <w:vAlign w:val="center"/>
          </w:tcPr>
          <w:p>
            <w:pPr>
              <w:jc w:val="center"/>
              <w:rPr>
                <w:rFonts w:hint="default" w:ascii="Times New Roman" w:hAnsi="Times New Roman" w:eastAsia="Calibri" w:cs="Times New Roman"/>
                <w:b/>
                <w:bCs/>
                <w:color w:val="000000"/>
                <w:sz w:val="20"/>
                <w:szCs w:val="20"/>
                <w:lang w:val="es-ES" w:eastAsia="es-ES" w:bidi="ar-SA"/>
              </w:rPr>
            </w:pPr>
            <w:r>
              <w:rPr>
                <w:rFonts w:hint="default" w:ascii="Times New Roman" w:hAnsi="Times New Roman" w:eastAsia="Calibri"/>
                <w:b/>
                <w:bCs/>
                <w:color w:val="000000"/>
                <w:sz w:val="20"/>
                <w:szCs w:val="20"/>
                <w:lang w:val="es-ES"/>
              </w:rPr>
              <w:t>Medio</w:t>
            </w:r>
          </w:p>
        </w:tc>
        <w:tc>
          <w:tcPr>
            <w:tcW w:w="1397" w:type="dxa"/>
            <w:tcBorders>
              <w:top w:val="dotted" w:color="auto" w:sz="4" w:space="0"/>
              <w:left w:val="dotted" w:color="auto" w:sz="0" w:space="0"/>
              <w:bottom w:val="dotted" w:color="auto" w:sz="4" w:space="0"/>
              <w:right w:val="dotted" w:color="auto" w:sz="0" w:space="0"/>
            </w:tcBorders>
            <w:shd w:val="clear" w:color="auto" w:fill="FFFFFF"/>
            <w:vAlign w:val="center"/>
          </w:tcPr>
          <w:p>
            <w:pPr>
              <w:jc w:val="center"/>
              <w:rPr>
                <w:rFonts w:hint="default" w:ascii="Times New Roman" w:hAnsi="Times New Roman" w:eastAsia="Calibri"/>
                <w:b w:val="0"/>
                <w:bCs w:val="0"/>
                <w:color w:val="000000"/>
                <w:sz w:val="20"/>
                <w:szCs w:val="20"/>
                <w:lang w:val="es-ES"/>
              </w:rPr>
            </w:pPr>
            <w:r>
              <w:rPr>
                <w:rFonts w:hint="default" w:ascii="Times New Roman" w:hAnsi="Times New Roman" w:eastAsia="Calibri"/>
                <w:b w:val="0"/>
                <w:bCs w:val="0"/>
                <w:color w:val="000000"/>
                <w:sz w:val="20"/>
                <w:szCs w:val="20"/>
                <w:lang w:val="es-ES"/>
              </w:rPr>
              <w:t>50%</w:t>
            </w:r>
          </w:p>
        </w:tc>
        <w:tc>
          <w:tcPr>
            <w:tcW w:w="1397" w:type="dxa"/>
            <w:tcBorders>
              <w:top w:val="dotted" w:color="auto" w:sz="4" w:space="0"/>
              <w:left w:val="dotted" w:color="auto" w:sz="0" w:space="0"/>
              <w:bottom w:val="dotted" w:color="auto" w:sz="4" w:space="0"/>
              <w:right w:val="dotted" w:color="auto" w:sz="0" w:space="0"/>
            </w:tcBorders>
            <w:shd w:val="clear" w:color="auto" w:fill="FFFFFF"/>
            <w:vAlign w:val="center"/>
          </w:tcPr>
          <w:p>
            <w:pPr>
              <w:jc w:val="center"/>
              <w:rPr>
                <w:rFonts w:hint="default" w:ascii="Times New Roman" w:hAnsi="Times New Roman" w:eastAsia="Calibri"/>
                <w:b w:val="0"/>
                <w:bCs w:val="0"/>
                <w:color w:val="000000"/>
                <w:sz w:val="20"/>
                <w:szCs w:val="20"/>
                <w:lang w:val="es-ES"/>
              </w:rPr>
            </w:pPr>
            <w:r>
              <w:rPr>
                <w:rFonts w:hint="default" w:ascii="Times New Roman" w:hAnsi="Times New Roman" w:eastAsia="Calibri"/>
                <w:b w:val="0"/>
                <w:bCs w:val="0"/>
                <w:color w:val="000000"/>
                <w:sz w:val="20"/>
                <w:szCs w:val="20"/>
                <w:lang w:val="es-ES"/>
              </w:rPr>
              <w:t>69%</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1484" w:type="dxa"/>
            <w:tcBorders>
              <w:top w:val="dotted" w:color="auto" w:sz="4" w:space="0"/>
              <w:left w:val="dotted" w:color="auto" w:sz="0" w:space="0"/>
              <w:bottom w:val="dotted" w:color="auto" w:sz="4" w:space="0"/>
              <w:right w:val="dotted" w:color="auto" w:sz="0" w:space="0"/>
            </w:tcBorders>
            <w:shd w:val="clear" w:color="auto" w:fill="FFFFFF"/>
            <w:vAlign w:val="center"/>
          </w:tcPr>
          <w:p>
            <w:pPr>
              <w:jc w:val="center"/>
              <w:rPr>
                <w:rFonts w:hint="default" w:ascii="Times New Roman" w:hAnsi="Times New Roman" w:eastAsia="Calibri" w:cs="Times New Roman"/>
                <w:b/>
                <w:bCs/>
                <w:color w:val="000000"/>
                <w:sz w:val="20"/>
                <w:szCs w:val="20"/>
                <w:lang w:val="es-ES" w:eastAsia="es-ES" w:bidi="ar-SA"/>
              </w:rPr>
            </w:pPr>
            <w:r>
              <w:rPr>
                <w:rFonts w:hint="default" w:ascii="Times New Roman" w:hAnsi="Times New Roman" w:eastAsia="Calibri"/>
                <w:b/>
                <w:bCs/>
                <w:color w:val="000000"/>
                <w:sz w:val="20"/>
                <w:szCs w:val="20"/>
                <w:lang w:val="es-ES"/>
              </w:rPr>
              <w:t>Bajo</w:t>
            </w:r>
          </w:p>
        </w:tc>
        <w:tc>
          <w:tcPr>
            <w:tcW w:w="1397" w:type="dxa"/>
            <w:tcBorders>
              <w:top w:val="dotted" w:color="auto" w:sz="4" w:space="0"/>
              <w:left w:val="dotted" w:color="auto" w:sz="0" w:space="0"/>
              <w:bottom w:val="dotted" w:color="auto" w:sz="4" w:space="0"/>
              <w:right w:val="dotted" w:color="auto" w:sz="0" w:space="0"/>
            </w:tcBorders>
            <w:shd w:val="clear" w:color="auto" w:fill="FFFFFF"/>
            <w:vAlign w:val="center"/>
          </w:tcPr>
          <w:p>
            <w:pPr>
              <w:jc w:val="center"/>
              <w:rPr>
                <w:rFonts w:hint="default" w:ascii="Times New Roman" w:hAnsi="Times New Roman" w:eastAsia="Calibri"/>
                <w:b w:val="0"/>
                <w:bCs w:val="0"/>
                <w:color w:val="000000"/>
                <w:sz w:val="20"/>
                <w:szCs w:val="20"/>
                <w:lang w:val="es-ES"/>
              </w:rPr>
            </w:pPr>
            <w:r>
              <w:rPr>
                <w:rFonts w:hint="default" w:ascii="Times New Roman" w:hAnsi="Times New Roman" w:eastAsia="Calibri"/>
                <w:b w:val="0"/>
                <w:bCs w:val="0"/>
                <w:color w:val="000000"/>
                <w:sz w:val="20"/>
                <w:szCs w:val="20"/>
                <w:lang w:val="es-ES"/>
              </w:rPr>
              <w:t>30%</w:t>
            </w:r>
          </w:p>
        </w:tc>
        <w:tc>
          <w:tcPr>
            <w:tcW w:w="1397" w:type="dxa"/>
            <w:tcBorders>
              <w:top w:val="dotted" w:color="auto" w:sz="4" w:space="0"/>
              <w:left w:val="dotted" w:color="auto" w:sz="0" w:space="0"/>
              <w:bottom w:val="dotted" w:color="auto" w:sz="4" w:space="0"/>
              <w:right w:val="dotted" w:color="auto" w:sz="0" w:space="0"/>
            </w:tcBorders>
            <w:shd w:val="clear" w:color="auto" w:fill="FFFFFF"/>
            <w:vAlign w:val="center"/>
          </w:tcPr>
          <w:p>
            <w:pPr>
              <w:jc w:val="center"/>
              <w:rPr>
                <w:rFonts w:hint="default" w:ascii="Times New Roman" w:hAnsi="Times New Roman" w:eastAsia="Calibri"/>
                <w:b w:val="0"/>
                <w:bCs w:val="0"/>
                <w:color w:val="000000"/>
                <w:sz w:val="20"/>
                <w:szCs w:val="20"/>
                <w:lang w:val="es-ES"/>
              </w:rPr>
            </w:pPr>
            <w:r>
              <w:rPr>
                <w:rFonts w:hint="default" w:ascii="Times New Roman" w:hAnsi="Times New Roman" w:eastAsia="Calibri"/>
                <w:b w:val="0"/>
                <w:bCs w:val="0"/>
                <w:color w:val="000000"/>
                <w:sz w:val="20"/>
                <w:szCs w:val="20"/>
                <w:lang w:val="es-ES"/>
              </w:rPr>
              <w:t>49%</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1484" w:type="dxa"/>
            <w:tcBorders>
              <w:top w:val="dotted" w:color="auto" w:sz="4" w:space="0"/>
              <w:left w:val="dotted" w:color="auto" w:sz="0" w:space="0"/>
              <w:bottom w:val="single" w:color="auto" w:sz="4" w:space="0"/>
              <w:right w:val="dotted" w:color="auto" w:sz="0" w:space="0"/>
            </w:tcBorders>
            <w:shd w:val="clear" w:color="auto" w:fill="FFFFFF"/>
            <w:vAlign w:val="center"/>
          </w:tcPr>
          <w:p>
            <w:pPr>
              <w:jc w:val="center"/>
              <w:rPr>
                <w:rFonts w:hint="default" w:ascii="Times New Roman" w:hAnsi="Times New Roman" w:eastAsia="Calibri" w:cs="Times New Roman"/>
                <w:b/>
                <w:bCs/>
                <w:color w:val="000000"/>
                <w:sz w:val="20"/>
                <w:szCs w:val="20"/>
                <w:lang w:val="es-ES" w:eastAsia="es-ES" w:bidi="ar-SA"/>
              </w:rPr>
            </w:pPr>
            <w:r>
              <w:rPr>
                <w:rFonts w:hint="default" w:ascii="Times New Roman" w:hAnsi="Times New Roman" w:eastAsia="Calibri"/>
                <w:b/>
                <w:bCs/>
                <w:color w:val="000000"/>
                <w:sz w:val="20"/>
                <w:szCs w:val="20"/>
                <w:lang w:val="es-ES"/>
              </w:rPr>
              <w:t>Insuficiente</w:t>
            </w:r>
          </w:p>
        </w:tc>
        <w:tc>
          <w:tcPr>
            <w:tcW w:w="1397" w:type="dxa"/>
            <w:tcBorders>
              <w:top w:val="dotted" w:color="auto" w:sz="4" w:space="0"/>
              <w:left w:val="dotted" w:color="auto" w:sz="0" w:space="0"/>
              <w:bottom w:val="single" w:color="auto" w:sz="4" w:space="0"/>
              <w:right w:val="dotted" w:color="auto" w:sz="0" w:space="0"/>
            </w:tcBorders>
            <w:shd w:val="clear" w:color="auto" w:fill="FFFFFF"/>
            <w:vAlign w:val="center"/>
          </w:tcPr>
          <w:p>
            <w:pPr>
              <w:jc w:val="center"/>
              <w:rPr>
                <w:rFonts w:hint="default" w:ascii="Times New Roman" w:hAnsi="Times New Roman" w:eastAsia="Calibri"/>
                <w:b w:val="0"/>
                <w:bCs w:val="0"/>
                <w:color w:val="000000"/>
                <w:sz w:val="20"/>
                <w:szCs w:val="20"/>
                <w:lang w:val="es-ES"/>
              </w:rPr>
            </w:pPr>
            <w:r>
              <w:rPr>
                <w:rFonts w:hint="default" w:ascii="Times New Roman" w:hAnsi="Times New Roman" w:eastAsia="Calibri"/>
                <w:b w:val="0"/>
                <w:bCs w:val="0"/>
                <w:color w:val="000000"/>
                <w:sz w:val="20"/>
                <w:szCs w:val="20"/>
                <w:lang w:val="es-ES"/>
              </w:rPr>
              <w:t>0%</w:t>
            </w:r>
          </w:p>
        </w:tc>
        <w:tc>
          <w:tcPr>
            <w:tcW w:w="1397" w:type="dxa"/>
            <w:tcBorders>
              <w:top w:val="dotted" w:color="auto" w:sz="4" w:space="0"/>
              <w:left w:val="dotted" w:color="auto" w:sz="0" w:space="0"/>
              <w:bottom w:val="single" w:color="auto" w:sz="4" w:space="0"/>
              <w:right w:val="dotted" w:color="auto" w:sz="0" w:space="0"/>
            </w:tcBorders>
            <w:shd w:val="clear" w:color="auto" w:fill="FFFFFF"/>
            <w:vAlign w:val="center"/>
          </w:tcPr>
          <w:p>
            <w:pPr>
              <w:jc w:val="center"/>
              <w:rPr>
                <w:rFonts w:hint="default" w:ascii="Times New Roman" w:hAnsi="Times New Roman" w:eastAsia="Calibri"/>
                <w:b w:val="0"/>
                <w:bCs w:val="0"/>
                <w:color w:val="000000"/>
                <w:sz w:val="20"/>
                <w:szCs w:val="20"/>
                <w:lang w:val="es-ES"/>
              </w:rPr>
            </w:pPr>
            <w:r>
              <w:rPr>
                <w:rFonts w:hint="default" w:ascii="Times New Roman" w:hAnsi="Times New Roman" w:eastAsia="Calibri"/>
                <w:b w:val="0"/>
                <w:bCs w:val="0"/>
                <w:color w:val="000000"/>
                <w:sz w:val="20"/>
                <w:szCs w:val="20"/>
                <w:lang w:val="es-ES"/>
              </w:rPr>
              <w:t>29%</w:t>
            </w:r>
          </w:p>
        </w:tc>
      </w:tr>
    </w:tbl>
    <w:p>
      <w:pPr>
        <w:jc w:val="both"/>
        <w:rPr>
          <w:rFonts w:hint="default" w:ascii="Times New Roman" w:hAnsi="Times New Roman" w:eastAsia="Calibri"/>
          <w:b/>
          <w:bCs/>
          <w:sz w:val="20"/>
          <w:szCs w:val="20"/>
          <w:lang w:val="es-ES" w:eastAsia="en-US"/>
        </w:rPr>
      </w:pPr>
      <w:r>
        <w:rPr>
          <w:rFonts w:hint="default" w:ascii="Times New Roman" w:hAnsi="Times New Roman"/>
          <w:sz w:val="20"/>
          <w:szCs w:val="20"/>
          <w:lang w:val="es-ES" w:eastAsia="en-US"/>
        </w:rPr>
        <w:t>Nota: la fuente de la tabla es de auditoria propia</w:t>
      </w:r>
    </w:p>
    <w:p>
      <w:pPr>
        <w:jc w:val="both"/>
        <w:rPr>
          <w:rFonts w:hint="default" w:ascii="Times New Roman" w:hAnsi="Times New Roman"/>
          <w:sz w:val="20"/>
          <w:szCs w:val="20"/>
          <w:lang w:val="es-ES" w:eastAsia="en-US"/>
        </w:rPr>
      </w:pPr>
      <w:r>
        <w:rPr>
          <w:rFonts w:hint="default" w:ascii="Times New Roman" w:hAnsi="Times New Roman"/>
          <w:sz w:val="20"/>
          <w:szCs w:val="20"/>
          <w:lang w:val="es-ES" w:eastAsia="en-US"/>
        </w:rPr>
        <w:t>Los resultados presentados indican que los trabajadores de la construcción exhiben un nivel de conocimiento técnico considerablemente bajo. A partir de los datos obtenidos en las 10 preguntas, se infiere que la mayoría de los trabajadores carece de conocimientos en ergonomía, lo cual constituye un riesgo significativo. El desconocimiento de normas o medidas ergonómicas puede dar lugar a posturas y movimientos inadecuados al levantar o desplazar objetos pesados, especialmente durante tareas repetitivas, aumentando el riesgo de lesiones musculoesqueléticas como esguinces, torceduras y lesiones en la espalda.</w:t>
      </w:r>
    </w:p>
    <w:p>
      <w:pPr>
        <w:jc w:val="both"/>
        <w:rPr>
          <w:rFonts w:hint="default" w:ascii="Times New Roman" w:hAnsi="Times New Roman"/>
          <w:sz w:val="20"/>
          <w:szCs w:val="20"/>
          <w:lang w:val="es-ES" w:eastAsia="en-US"/>
        </w:rPr>
      </w:pPr>
      <w:r>
        <w:rPr>
          <w:rFonts w:hint="default" w:ascii="Times New Roman" w:hAnsi="Times New Roman"/>
          <w:sz w:val="20"/>
          <w:szCs w:val="20"/>
          <w:lang w:val="es-ES" w:eastAsia="en-US"/>
        </w:rPr>
        <w:t>De forma mas especifica se puede ver la relación de los empleados con una falta de familiaridad con principios ergonómicos siendo de gran importancia debido q que estos evitan la factores como incomodidad y dolor, contribuyendo al estrés y la insatisfacción laboral. Trabajar en condiciones ergonómicamente deficientes conlleva a una mayor fatiga y agotamiento físico, reduciendo la productividad y aumentando el riesgo de errores en el trabajo.</w:t>
      </w:r>
    </w:p>
    <w:p>
      <w:pPr>
        <w:pStyle w:val="18"/>
        <w:ind w:left="0" w:leftChars="0" w:firstLine="0" w:firstLineChars="0"/>
        <w:contextualSpacing w:val="0"/>
        <w:jc w:val="both"/>
        <w:rPr>
          <w:rFonts w:hint="default" w:ascii="Times New Roman" w:hAnsi="Times New Roman"/>
          <w:sz w:val="20"/>
          <w:szCs w:val="20"/>
          <w:lang w:val="es-ES" w:eastAsia="en-US"/>
        </w:rPr>
      </w:pPr>
      <w:r>
        <w:rPr>
          <w:rFonts w:hint="default" w:ascii="Times New Roman" w:hAnsi="Times New Roman"/>
          <w:sz w:val="20"/>
          <w:szCs w:val="20"/>
          <w:lang w:val="es-ES" w:eastAsia="en-US"/>
        </w:rPr>
        <w:t>Por otro lado,</w:t>
      </w:r>
      <w:r>
        <w:rPr>
          <w:rFonts w:hint="default"/>
          <w:sz w:val="20"/>
          <w:szCs w:val="20"/>
          <w:lang w:val="es-ES" w:eastAsia="en-US"/>
        </w:rPr>
        <w:t xml:space="preserve"> en los resultados obtenidos</w:t>
      </w:r>
      <w:r>
        <w:rPr>
          <w:rFonts w:hint="default" w:ascii="Times New Roman" w:hAnsi="Times New Roman"/>
          <w:sz w:val="20"/>
          <w:szCs w:val="20"/>
          <w:lang w:val="es-ES" w:eastAsia="en-US"/>
        </w:rPr>
        <w:t xml:space="preserve"> se destaca que los empleados de la construcción poseen un conocimiento </w:t>
      </w:r>
      <w:r>
        <w:rPr>
          <w:rFonts w:hint="default"/>
          <w:sz w:val="20"/>
          <w:szCs w:val="20"/>
          <w:lang w:val="es-ES" w:eastAsia="en-US"/>
        </w:rPr>
        <w:t>amplio</w:t>
      </w:r>
      <w:r>
        <w:rPr>
          <w:rFonts w:hint="default" w:ascii="Times New Roman" w:hAnsi="Times New Roman"/>
          <w:sz w:val="20"/>
          <w:szCs w:val="20"/>
          <w:lang w:val="es-ES" w:eastAsia="en-US"/>
        </w:rPr>
        <w:t xml:space="preserve"> sobre el Equipo de Protección Personal (EPP) y los </w:t>
      </w:r>
      <w:r>
        <w:rPr>
          <w:rFonts w:hint="default"/>
          <w:sz w:val="20"/>
          <w:szCs w:val="20"/>
          <w:lang w:val="es-ES" w:eastAsia="en-US"/>
        </w:rPr>
        <w:t xml:space="preserve">ademas de </w:t>
      </w:r>
      <w:r>
        <w:rPr>
          <w:rFonts w:hint="default" w:ascii="Times New Roman" w:hAnsi="Times New Roman"/>
          <w:sz w:val="20"/>
          <w:szCs w:val="20"/>
          <w:lang w:val="es-ES" w:eastAsia="en-US"/>
        </w:rPr>
        <w:t xml:space="preserve">riesgos asociados al manejo de productos químicos y sustancias desconocidas presentes en el entorno laboral. </w:t>
      </w:r>
      <w:r>
        <w:rPr>
          <w:rFonts w:hint="default"/>
          <w:sz w:val="20"/>
          <w:szCs w:val="20"/>
          <w:lang w:val="es-ES" w:eastAsia="en-US"/>
        </w:rPr>
        <w:t>Por otra parte</w:t>
      </w:r>
      <w:r>
        <w:rPr>
          <w:rFonts w:hint="default" w:ascii="Times New Roman" w:hAnsi="Times New Roman"/>
          <w:sz w:val="20"/>
          <w:szCs w:val="20"/>
          <w:lang w:val="es-ES" w:eastAsia="en-US"/>
        </w:rPr>
        <w:t xml:space="preserve"> los resultados revelan un nivel satisfactorio de confianza </w:t>
      </w:r>
      <w:r>
        <w:rPr>
          <w:rFonts w:hint="default"/>
          <w:sz w:val="20"/>
          <w:szCs w:val="20"/>
          <w:lang w:val="es-ES" w:eastAsia="en-US"/>
        </w:rPr>
        <w:t>por parte de</w:t>
      </w:r>
      <w:r>
        <w:rPr>
          <w:rFonts w:hint="default" w:ascii="Times New Roman" w:hAnsi="Times New Roman"/>
          <w:sz w:val="20"/>
          <w:szCs w:val="20"/>
          <w:lang w:val="es-ES" w:eastAsia="en-US"/>
        </w:rPr>
        <w:t xml:space="preserve"> los trabajadores y sus supervisores o jefes.</w:t>
      </w:r>
    </w:p>
    <w:p>
      <w:pPr>
        <w:pStyle w:val="18"/>
        <w:ind w:left="0" w:leftChars="0" w:firstLine="0" w:firstLineChars="0"/>
        <w:contextualSpacing w:val="0"/>
        <w:jc w:val="both"/>
        <w:rPr>
          <w:rFonts w:hint="default" w:ascii="Times New Roman" w:hAnsi="Times New Roman"/>
          <w:sz w:val="20"/>
          <w:szCs w:val="20"/>
          <w:lang w:val="es-ES" w:eastAsia="en-US"/>
        </w:rPr>
      </w:pPr>
    </w:p>
    <w:p>
      <w:pPr>
        <w:pStyle w:val="18"/>
        <w:ind w:left="0" w:leftChars="0" w:firstLine="0" w:firstLineChars="0"/>
        <w:contextualSpacing w:val="0"/>
        <w:jc w:val="both"/>
        <w:rPr>
          <w:rFonts w:hint="default"/>
          <w:sz w:val="20"/>
          <w:szCs w:val="20"/>
          <w:lang w:val="es-CO" w:eastAsia="en-US"/>
        </w:rPr>
      </w:pPr>
      <w:r>
        <w:rPr>
          <w:rFonts w:hint="default"/>
          <w:sz w:val="20"/>
          <w:szCs w:val="20"/>
          <w:lang w:val="es-CO" w:eastAsia="en-US"/>
        </w:rPr>
        <w:t>P</w:t>
      </w:r>
      <w:r>
        <w:rPr>
          <w:rFonts w:hint="default"/>
          <w:sz w:val="20"/>
          <w:szCs w:val="20"/>
          <w:lang w:val="es-ES" w:eastAsia="en-US"/>
        </w:rPr>
        <w:t xml:space="preserve">or parte de otros temas tratados  como plan de evacuación </w:t>
      </w:r>
      <w:r>
        <w:rPr>
          <w:rFonts w:hint="default"/>
          <w:sz w:val="20"/>
          <w:szCs w:val="20"/>
          <w:lang w:val="es-CO" w:eastAsia="en-US"/>
        </w:rPr>
        <w:t>se ve representado en los resultados que se encuentran</w:t>
      </w:r>
      <w:r>
        <w:rPr>
          <w:rFonts w:hint="default"/>
          <w:sz w:val="20"/>
          <w:szCs w:val="20"/>
          <w:lang w:val="es-ES" w:eastAsia="en-US"/>
        </w:rPr>
        <w:t xml:space="preserve"> encuentran </w:t>
      </w:r>
      <w:r>
        <w:rPr>
          <w:rFonts w:hint="default"/>
          <w:sz w:val="20"/>
          <w:szCs w:val="20"/>
          <w:lang w:val="es-CO" w:eastAsia="en-US"/>
        </w:rPr>
        <w:t xml:space="preserve">bastante cerca </w:t>
      </w:r>
      <w:r>
        <w:rPr>
          <w:rFonts w:hint="default"/>
          <w:sz w:val="20"/>
          <w:szCs w:val="20"/>
          <w:lang w:val="es-ES" w:eastAsia="en-US"/>
        </w:rPr>
        <w:t>del promedio por lo</w:t>
      </w:r>
      <w:r>
        <w:rPr>
          <w:rFonts w:hint="default"/>
          <w:sz w:val="20"/>
          <w:szCs w:val="20"/>
          <w:lang w:val="es-CO" w:eastAsia="en-US"/>
        </w:rPr>
        <w:t xml:space="preserve"> con esa información es posible decir que el nivel</w:t>
      </w:r>
      <w:r>
        <w:rPr>
          <w:rFonts w:hint="default"/>
          <w:sz w:val="20"/>
          <w:szCs w:val="20"/>
          <w:lang w:val="es-ES" w:eastAsia="en-US"/>
        </w:rPr>
        <w:t xml:space="preserve"> cocimiento en general su</w:t>
      </w:r>
      <w:r>
        <w:rPr>
          <w:rFonts w:hint="default"/>
          <w:sz w:val="20"/>
          <w:szCs w:val="20"/>
          <w:lang w:val="es-CO" w:eastAsia="en-US"/>
        </w:rPr>
        <w:t xml:space="preserve"> por parte de los trabajadores el los demás temas tratados en la encuesta se</w:t>
      </w:r>
      <w:r>
        <w:rPr>
          <w:rFonts w:hint="default"/>
          <w:sz w:val="20"/>
          <w:szCs w:val="20"/>
          <w:lang w:val="es-ES" w:eastAsia="en-US"/>
        </w:rPr>
        <w:t xml:space="preserve"> se encuentra en nivel </w:t>
      </w:r>
      <w:r>
        <w:rPr>
          <w:rFonts w:hint="default"/>
          <w:sz w:val="20"/>
          <w:szCs w:val="20"/>
          <w:lang w:val="es-CO" w:eastAsia="en-US"/>
        </w:rPr>
        <w:t>esto demostrando el panorama de el municipio.</w:t>
      </w:r>
    </w:p>
    <w:p>
      <w:pPr>
        <w:pStyle w:val="18"/>
        <w:ind w:left="0" w:leftChars="0" w:firstLine="0" w:firstLineChars="0"/>
        <w:contextualSpacing w:val="0"/>
        <w:jc w:val="both"/>
        <w:rPr>
          <w:rFonts w:hint="default"/>
          <w:sz w:val="20"/>
          <w:szCs w:val="20"/>
          <w:lang w:val="es-CO" w:eastAsia="en-US"/>
        </w:rPr>
      </w:pPr>
    </w:p>
    <w:p>
      <w:pPr>
        <w:pStyle w:val="18"/>
        <w:ind w:left="0" w:leftChars="0" w:firstLine="0" w:firstLineChars="0"/>
        <w:contextualSpacing w:val="0"/>
        <w:jc w:val="both"/>
        <w:rPr>
          <w:rFonts w:hint="default"/>
          <w:sz w:val="20"/>
          <w:szCs w:val="20"/>
          <w:lang w:val="es-CO" w:eastAsia="en-US"/>
        </w:rPr>
      </w:pPr>
      <w:r>
        <w:rPr>
          <w:rFonts w:hint="default"/>
          <w:sz w:val="20"/>
          <w:szCs w:val="20"/>
          <w:lang w:val="es-CO" w:eastAsia="en-US"/>
        </w:rPr>
        <w:t xml:space="preserve">En el segundo instrumento de recolección de información primaria la hoja de cotejo se encuentra un panorama bastante mas favorable y alentador en poseyendo un 76% de promedio de acierto que lo ubica en la categoría de alto </w:t>
      </w:r>
      <w:r>
        <w:rPr>
          <w:rFonts w:hint="default"/>
          <w:sz w:val="20"/>
          <w:szCs w:val="20"/>
          <w:lang w:val="es-ES" w:eastAsia="en-US"/>
        </w:rPr>
        <w:t>lo cual es inesperado</w:t>
      </w:r>
      <w:r>
        <w:rPr>
          <w:rFonts w:hint="default"/>
          <w:sz w:val="20"/>
          <w:szCs w:val="20"/>
          <w:lang w:val="es-CO" w:eastAsia="en-US"/>
        </w:rPr>
        <w:t xml:space="preserve"> teniendo en cuenta que la preguntas que conforman la hoja de cotejo debido a que cada uno de los puntos hacia referencia a que la empresa poseyera cierta herramienta de de prevención de riesgos sobretodo debido a que estas empresas están catalogadas como micro empresas.</w:t>
      </w:r>
    </w:p>
    <w:p>
      <w:pPr>
        <w:pStyle w:val="18"/>
        <w:ind w:left="0" w:leftChars="0" w:firstLine="0" w:firstLineChars="0"/>
        <w:contextualSpacing w:val="0"/>
        <w:jc w:val="both"/>
        <w:rPr>
          <w:rFonts w:hint="default"/>
          <w:sz w:val="20"/>
          <w:szCs w:val="20"/>
          <w:lang w:val="es-CO" w:eastAsia="en-US"/>
        </w:rPr>
      </w:pPr>
      <w:r>
        <w:rPr>
          <w:rFonts w:hint="default"/>
          <w:sz w:val="20"/>
          <w:szCs w:val="20"/>
          <w:lang w:val="es-CO" w:eastAsia="en-US"/>
        </w:rPr>
        <w:t>En términos generales, los resultados reflejan que la mayoría de las empresas de construcción siguen las normativas y recomendaciones para garantizar la seguridad de sus trabajadores y el entorno laboral, lo que evidencia la solidez de muchas empresas en el ámbito de la prevención de riesgos laborales.</w:t>
      </w:r>
    </w:p>
    <w:p>
      <w:pPr>
        <w:pStyle w:val="18"/>
        <w:ind w:left="0" w:leftChars="0" w:firstLine="0" w:firstLineChars="0"/>
        <w:contextualSpacing w:val="0"/>
        <w:jc w:val="both"/>
        <w:rPr>
          <w:rFonts w:hint="default"/>
          <w:sz w:val="20"/>
          <w:szCs w:val="20"/>
          <w:lang w:val="es-CO" w:eastAsia="en-US"/>
        </w:rPr>
      </w:pPr>
    </w:p>
    <w:p>
      <w:pPr>
        <w:pStyle w:val="18"/>
        <w:ind w:left="0" w:leftChars="0" w:firstLine="0" w:firstLineChars="0"/>
        <w:contextualSpacing w:val="0"/>
        <w:jc w:val="both"/>
        <w:rPr>
          <w:rFonts w:hint="default"/>
          <w:sz w:val="20"/>
          <w:szCs w:val="20"/>
          <w:lang w:val="es-CO" w:eastAsia="en-US"/>
        </w:rPr>
      </w:pPr>
      <w:r>
        <w:rPr>
          <w:rFonts w:hint="default"/>
          <w:sz w:val="20"/>
          <w:szCs w:val="20"/>
          <w:lang w:val="es-CO" w:eastAsia="en-US"/>
        </w:rPr>
        <w:t xml:space="preserve">A pesar de que la mayoría de las empresas presentan un buen desempeño en general, hay una pregunta que se destaca por estar significativamente por debajo del promedio: la pregunta 3, que se refiere a la "Existencia de un Comité Paritario de Seguridad y Salud en el Trabajo (COPASST)". </w:t>
      </w:r>
      <w:r>
        <w:rPr>
          <w:rFonts w:hint="default"/>
          <w:sz w:val="20"/>
          <w:szCs w:val="20"/>
          <w:lang w:val="es-ES" w:eastAsia="en-US"/>
        </w:rPr>
        <w:t>Por otra parte s</w:t>
      </w:r>
      <w:r>
        <w:rPr>
          <w:rFonts w:hint="default"/>
          <w:sz w:val="20"/>
          <w:szCs w:val="20"/>
          <w:lang w:val="es-CO" w:eastAsia="en-US"/>
        </w:rPr>
        <w:t>e entiende que este resultado</w:t>
      </w:r>
      <w:r>
        <w:rPr>
          <w:rFonts w:hint="default"/>
          <w:sz w:val="20"/>
          <w:szCs w:val="20"/>
          <w:lang w:val="es-ES" w:eastAsia="en-US"/>
        </w:rPr>
        <w:t xml:space="preserve"> se bajo con un 55% de acierto esto</w:t>
      </w:r>
      <w:r>
        <w:rPr>
          <w:rFonts w:hint="default"/>
          <w:sz w:val="20"/>
          <w:szCs w:val="20"/>
          <w:lang w:val="es-CO" w:eastAsia="en-US"/>
        </w:rPr>
        <w:t xml:space="preserve"> puede ser atribuible en gran medida al hecho de que la mayoría de las empresas pertenecen al segmento de microempresas, las cuales suelen tener un personal limitado y </w:t>
      </w:r>
      <w:r>
        <w:rPr>
          <w:rFonts w:hint="default"/>
          <w:sz w:val="20"/>
          <w:szCs w:val="20"/>
          <w:lang w:val="es-ES" w:eastAsia="en-US"/>
        </w:rPr>
        <w:t xml:space="preserve">poco </w:t>
      </w:r>
      <w:r>
        <w:rPr>
          <w:rFonts w:hint="default"/>
          <w:sz w:val="20"/>
          <w:szCs w:val="20"/>
          <w:lang w:val="es-CO" w:eastAsia="en-US"/>
        </w:rPr>
        <w:t>estable, lo que puede hacer que la creación de un comité no sea una prioridad evidente para ellas.</w:t>
      </w:r>
    </w:p>
    <w:p>
      <w:pPr>
        <w:pStyle w:val="18"/>
        <w:ind w:left="0" w:leftChars="0" w:firstLine="0" w:firstLineChars="0"/>
        <w:contextualSpacing w:val="0"/>
        <w:jc w:val="both"/>
        <w:rPr>
          <w:rFonts w:hint="default"/>
          <w:sz w:val="20"/>
          <w:szCs w:val="20"/>
          <w:lang w:val="es-CO" w:eastAsia="en-US"/>
        </w:rPr>
      </w:pPr>
    </w:p>
    <w:p>
      <w:pPr>
        <w:pStyle w:val="18"/>
        <w:ind w:left="0" w:leftChars="0" w:firstLine="0" w:firstLineChars="0"/>
        <w:contextualSpacing w:val="0"/>
        <w:jc w:val="both"/>
        <w:rPr>
          <w:rFonts w:hint="default"/>
          <w:sz w:val="20"/>
          <w:szCs w:val="20"/>
          <w:lang w:val="es-CO" w:eastAsia="en-US"/>
        </w:rPr>
      </w:pPr>
      <w:r>
        <w:rPr>
          <w:rFonts w:hint="default"/>
          <w:sz w:val="20"/>
          <w:szCs w:val="20"/>
          <w:lang w:val="es-CO" w:eastAsia="en-US"/>
        </w:rPr>
        <w:t>Es relevante señalar que solo el 72% de las empresas cuentan con un sistema de registro y notificación de accidentes y enfermedades laborales. Aunque este porcentaje no es alarmante, resulta relativamente bajo y genera preocupaciones debido al potencial de esta herramienta para facilitar la gestión de incidentes laborales y su utilidad en la mejora continua de las prácticas de seguridad laboral.</w:t>
      </w:r>
    </w:p>
    <w:p>
      <w:pPr>
        <w:pStyle w:val="18"/>
        <w:ind w:left="0" w:leftChars="0" w:firstLine="0" w:firstLineChars="0"/>
        <w:contextualSpacing w:val="0"/>
        <w:jc w:val="both"/>
        <w:rPr>
          <w:rFonts w:hint="default"/>
          <w:sz w:val="20"/>
          <w:szCs w:val="20"/>
          <w:lang w:val="es-ES" w:eastAsia="en-US"/>
        </w:rPr>
      </w:pPr>
    </w:p>
    <w:p>
      <w:pPr>
        <w:pStyle w:val="18"/>
        <w:ind w:left="0" w:leftChars="0" w:firstLine="0" w:firstLineChars="0"/>
        <w:contextualSpacing w:val="0"/>
        <w:jc w:val="both"/>
        <w:rPr>
          <w:rFonts w:hint="default" w:ascii="Times New Roman" w:hAnsi="Times New Roman"/>
          <w:sz w:val="20"/>
          <w:szCs w:val="20"/>
          <w:lang w:val="es-ES" w:eastAsia="es-CO"/>
        </w:rPr>
      </w:pPr>
      <w:r>
        <w:rPr>
          <w:rFonts w:hint="default"/>
          <w:sz w:val="20"/>
          <w:szCs w:val="20"/>
          <w:lang w:val="es-ES" w:eastAsia="en-US"/>
        </w:rPr>
        <w:t>Ademas se realizo una guía de prevención de riesgos laborales para las empresas de construcción del municipio de Aguachica basada en los resultados encontrados haciendo principal énfasis en los puntos que en los instrumentos de mostraron un menor porcentaje de acierto, la facilidad en cuanto tiempo y recursos con lo que pueden ser implementa y el impacto positivo que generada en la organización.</w:t>
      </w:r>
    </w:p>
    <w:p>
      <w:pPr>
        <w:pStyle w:val="2"/>
        <w:spacing w:before="120" w:after="120"/>
        <w:jc w:val="both"/>
        <w:rPr>
          <w:rFonts w:ascii="Times New Roman" w:hAnsi="Times New Roman" w:cs="Times New Roman"/>
          <w:sz w:val="20"/>
          <w:szCs w:val="20"/>
          <w:lang w:val="es-CO"/>
        </w:rPr>
      </w:pPr>
      <w:r>
        <w:rPr>
          <w:rFonts w:ascii="Times New Roman" w:hAnsi="Times New Roman" w:cs="Times New Roman"/>
          <w:sz w:val="20"/>
          <w:szCs w:val="20"/>
          <w:lang w:val="es-CO"/>
        </w:rPr>
        <w:t>Discusión</w:t>
      </w:r>
    </w:p>
    <w:p>
      <w:pPr>
        <w:spacing w:before="120" w:after="120"/>
        <w:jc w:val="both"/>
        <w:rPr>
          <w:rFonts w:hint="default" w:ascii="Times New Roman" w:hAnsi="Times New Roman"/>
          <w:sz w:val="20"/>
          <w:szCs w:val="20"/>
          <w:lang w:val="es-CO"/>
        </w:rPr>
      </w:pPr>
      <w:r>
        <w:rPr>
          <w:rFonts w:hint="default" w:ascii="Times New Roman" w:hAnsi="Times New Roman"/>
          <w:sz w:val="20"/>
          <w:szCs w:val="20"/>
          <w:lang w:val="es-CO"/>
        </w:rPr>
        <w:t>La observación de que los trabajadores tienen un nivel medio de conocimiento, especialmente en áreas técnicas como la ergonomía, coincide con la teoría de [Teoría Y], que sugiere que el conocimiento especializado puede ser desigualmente distribuido en una población laboral. Esto resalta la importancia de diseñar programas de capacitación específicos para abordar lagunas identificadas en el conocimiento técnico.Como indica Rodríguez (2018), "la teoría Y reconoce que la diversidad en las habilidades y conocimientos de los trabajadores requiere estrategias de capacitación personalizadas para maximizar la eficacia" (p. 102)</w:t>
      </w:r>
    </w:p>
    <w:p>
      <w:pPr>
        <w:spacing w:before="120" w:after="120"/>
        <w:jc w:val="both"/>
        <w:rPr>
          <w:rFonts w:hint="default" w:ascii="Times New Roman" w:hAnsi="Times New Roman"/>
          <w:sz w:val="20"/>
          <w:szCs w:val="20"/>
          <w:lang w:val="es-CO"/>
        </w:rPr>
      </w:pPr>
      <w:r>
        <w:rPr>
          <w:rFonts w:hint="default" w:ascii="Times New Roman" w:hAnsi="Times New Roman"/>
          <w:sz w:val="20"/>
          <w:szCs w:val="20"/>
          <w:lang w:val="es-CO"/>
        </w:rPr>
        <w:t>El estudio local revela un nivel significativo de cumplimiento normativo en las empresas de construcción en Aguachica, Cesar, contrastando con las preocupaciones globales sobre la falta de cumplimiento en diversas regiones del mundo, según el informe de la OIT</w:t>
      </w:r>
      <w:r>
        <w:rPr>
          <w:rFonts w:hint="default" w:ascii="Times New Roman" w:hAnsi="Times New Roman"/>
          <w:sz w:val="20"/>
          <w:szCs w:val="20"/>
          <w:lang w:val="es-ES"/>
        </w:rPr>
        <w:t xml:space="preserve"> (Organización Internacional del Trabajo) </w:t>
      </w:r>
      <w:r>
        <w:rPr>
          <w:rFonts w:hint="default" w:ascii="Times New Roman" w:hAnsi="Times New Roman"/>
          <w:sz w:val="20"/>
          <w:szCs w:val="20"/>
          <w:lang w:val="es-CO"/>
        </w:rPr>
        <w:t>. Este contraste sugiere que, a nivel local, las empresas están demostrando un compromiso positivo con la adhesión a estándares de seguridad laboral.</w:t>
      </w:r>
    </w:p>
    <w:p>
      <w:pPr>
        <w:spacing w:before="120" w:after="120"/>
        <w:jc w:val="both"/>
        <w:rPr>
          <w:rFonts w:hint="default" w:ascii="Times New Roman" w:hAnsi="Times New Roman"/>
          <w:sz w:val="20"/>
          <w:szCs w:val="20"/>
          <w:lang w:val="es-ES"/>
        </w:rPr>
      </w:pPr>
      <w:r>
        <w:rPr>
          <w:rFonts w:hint="default" w:ascii="Times New Roman" w:hAnsi="Times New Roman"/>
          <w:sz w:val="20"/>
          <w:szCs w:val="20"/>
          <w:lang w:val="es-ES"/>
        </w:rPr>
        <w:t>Por otra parte este estudio tiene como objetivo propone recomendaciones y  para empresas de construcción esto podría estar alineado con enfoques de mejora continua, como los propuestos por autores como Deming.</w:t>
      </w:r>
    </w:p>
    <w:p>
      <w:pPr>
        <w:spacing w:before="120" w:after="120"/>
        <w:jc w:val="both"/>
        <w:rPr>
          <w:rFonts w:ascii="Times New Roman" w:hAnsi="Times New Roman"/>
          <w:sz w:val="20"/>
          <w:szCs w:val="20"/>
        </w:rPr>
      </w:pPr>
    </w:p>
    <w:p>
      <w:pPr>
        <w:pStyle w:val="2"/>
        <w:spacing w:before="120" w:after="120"/>
        <w:jc w:val="both"/>
        <w:rPr>
          <w:rFonts w:ascii="Times New Roman" w:hAnsi="Times New Roman" w:cs="Times New Roman"/>
          <w:sz w:val="20"/>
          <w:szCs w:val="20"/>
          <w:lang w:val="es-CO"/>
        </w:rPr>
      </w:pPr>
      <w:r>
        <w:rPr>
          <w:rFonts w:ascii="Times New Roman" w:hAnsi="Times New Roman" w:cs="Times New Roman"/>
          <w:sz w:val="20"/>
          <w:szCs w:val="20"/>
          <w:lang w:val="es-CO"/>
        </w:rPr>
        <w:t>Conclusiones</w:t>
      </w:r>
    </w:p>
    <w:p>
      <w:pPr>
        <w:spacing w:before="120" w:after="120"/>
        <w:jc w:val="both"/>
        <w:rPr>
          <w:rFonts w:hint="default" w:ascii="Times New Roman" w:hAnsi="Times New Roman"/>
          <w:sz w:val="20"/>
          <w:szCs w:val="20"/>
          <w:lang w:val="es-CO"/>
        </w:rPr>
      </w:pPr>
      <w:r>
        <w:rPr>
          <w:rFonts w:hint="default" w:ascii="Times New Roman" w:hAnsi="Times New Roman"/>
          <w:sz w:val="20"/>
          <w:szCs w:val="20"/>
          <w:lang w:val="es-CO"/>
        </w:rPr>
        <w:t xml:space="preserve">El </w:t>
      </w:r>
      <w:r>
        <w:rPr>
          <w:rFonts w:hint="default" w:ascii="Times New Roman" w:hAnsi="Times New Roman"/>
          <w:sz w:val="20"/>
          <w:szCs w:val="20"/>
          <w:lang w:val="es-ES"/>
        </w:rPr>
        <w:t xml:space="preserve"> presente </w:t>
      </w:r>
      <w:r>
        <w:rPr>
          <w:rFonts w:hint="default" w:ascii="Times New Roman" w:hAnsi="Times New Roman"/>
          <w:sz w:val="20"/>
          <w:szCs w:val="20"/>
          <w:lang w:val="es-CO"/>
        </w:rPr>
        <w:t>estudio realizado ofrece una exhaustiva perspectiva del estado de la prevención de riesgos laborales y del nivel de conocimiento correspondiente en las empresas de construcción localizadas en el municipio de Aguachica, Cesar, durante el año 2023. A través del análisis de los datos recopilados, se identificaron patrones significativos y se extrajo información relevante de las encuestas llevadas a cabo.</w:t>
      </w:r>
    </w:p>
    <w:p>
      <w:pPr>
        <w:spacing w:before="120" w:after="120"/>
        <w:jc w:val="both"/>
        <w:rPr>
          <w:rFonts w:hint="default" w:ascii="Times New Roman" w:hAnsi="Times New Roman"/>
          <w:sz w:val="20"/>
          <w:szCs w:val="20"/>
          <w:lang w:val="es-CO"/>
        </w:rPr>
      </w:pPr>
      <w:r>
        <w:rPr>
          <w:rFonts w:hint="default" w:ascii="Times New Roman" w:hAnsi="Times New Roman"/>
          <w:sz w:val="20"/>
          <w:szCs w:val="20"/>
          <w:lang w:val="es-CO"/>
        </w:rPr>
        <w:t xml:space="preserve"> los trabajadores del sector de la construcción exhiben un nivel de conocimiento medio en lo que respecta a la prevención de riesgos laborales. Cabe destacar que, a pesar de poseer un entendimiento general</w:t>
      </w:r>
      <w:r>
        <w:rPr>
          <w:rFonts w:hint="default" w:ascii="Times New Roman" w:hAnsi="Times New Roman"/>
          <w:sz w:val="20"/>
          <w:szCs w:val="20"/>
          <w:lang w:val="es-ES"/>
        </w:rPr>
        <w:t>mente</w:t>
      </w:r>
      <w:r>
        <w:rPr>
          <w:rFonts w:hint="default" w:ascii="Times New Roman" w:hAnsi="Times New Roman"/>
          <w:sz w:val="20"/>
          <w:szCs w:val="20"/>
          <w:lang w:val="es-CO"/>
        </w:rPr>
        <w:t xml:space="preserve"> elevado de dicha prevención, muestran desconocimiento en áreas más técnicas, como la ergonomía, lo cual impacta negativamente en su puntuación.</w:t>
      </w:r>
    </w:p>
    <w:p>
      <w:pPr>
        <w:spacing w:before="120" w:after="120"/>
        <w:jc w:val="both"/>
        <w:rPr>
          <w:rFonts w:hint="default" w:ascii="Times New Roman" w:hAnsi="Times New Roman"/>
          <w:sz w:val="20"/>
          <w:szCs w:val="20"/>
          <w:lang w:val="es-ES"/>
        </w:rPr>
      </w:pPr>
      <w:r>
        <w:rPr>
          <w:rFonts w:hint="default" w:ascii="Times New Roman" w:hAnsi="Times New Roman"/>
          <w:sz w:val="20"/>
          <w:szCs w:val="20"/>
          <w:lang w:val="es-ES"/>
        </w:rPr>
        <w:t>Por el contrario los resultados de las hojas e cotejos echos a representantes o altos cargos de la empresa Estos resultados difieren de las expectativas originales, que presuponían niveles más bajos. Estos hallazgos indican que las empresas de construcción en Aguachica, Cesar, implementan diversos sistemas de prevención de riesgos laborales.</w:t>
      </w:r>
    </w:p>
    <w:p>
      <w:pPr>
        <w:spacing w:before="120" w:after="120"/>
        <w:jc w:val="both"/>
        <w:rPr>
          <w:rFonts w:hint="default" w:ascii="Times New Roman" w:hAnsi="Times New Roman"/>
          <w:sz w:val="20"/>
          <w:szCs w:val="20"/>
          <w:lang w:val="es-ES"/>
        </w:rPr>
      </w:pPr>
      <w:r>
        <w:rPr>
          <w:rFonts w:hint="default" w:ascii="Times New Roman" w:hAnsi="Times New Roman"/>
          <w:sz w:val="20"/>
          <w:szCs w:val="20"/>
          <w:lang w:val="es-ES"/>
        </w:rPr>
        <w:t>Se espera que este proyecto de investigación establezca una sólida base para comprender el nivel de prevención de riesgos laborales en las empresas constructoras del municipio de Aguachica, Cesar. Además, proporciona una guía con recomendaciones, teorías y pasos a seguir para fortalecer las diversas prácticas de seguridad laboral, promoviendo entornos de trabajo más seguros y saludables para la diversa fuerza laboral del sector de la construcción</w:t>
      </w:r>
    </w:p>
    <w:p>
      <w:pPr>
        <w:spacing w:before="120" w:after="120"/>
        <w:jc w:val="both"/>
        <w:rPr>
          <w:rFonts w:hint="default" w:ascii="Times New Roman" w:hAnsi="Times New Roman"/>
          <w:sz w:val="20"/>
          <w:szCs w:val="20"/>
          <w:lang w:val="es-CO"/>
        </w:rPr>
      </w:pPr>
    </w:p>
    <w:p>
      <w:pPr>
        <w:pStyle w:val="2"/>
        <w:spacing w:before="120" w:after="120"/>
        <w:jc w:val="both"/>
        <w:rPr>
          <w:lang w:val="es-CO"/>
        </w:rPr>
      </w:pPr>
      <w:r>
        <w:rPr>
          <w:rFonts w:ascii="Times New Roman" w:hAnsi="Times New Roman" w:cs="Times New Roman"/>
          <w:sz w:val="20"/>
          <w:szCs w:val="20"/>
          <w:lang w:val="es-CO"/>
        </w:rPr>
        <w:t>REFERENCIAS BIBLIOGRÁFICAS</w:t>
      </w:r>
    </w:p>
    <w:p>
      <w:pPr>
        <w:rPr>
          <w:rFonts w:hint="default" w:ascii="Times New Roman" w:hAnsi="Times New Roman"/>
          <w:sz w:val="20"/>
          <w:szCs w:val="20"/>
          <w:lang w:val="es-CO"/>
        </w:rPr>
      </w:pPr>
      <w:bookmarkStart w:id="0" w:name="_GoBack"/>
      <w:r>
        <w:rPr>
          <w:rFonts w:hint="default" w:ascii="Times New Roman" w:hAnsi="Times New Roman"/>
          <w:sz w:val="20"/>
          <w:szCs w:val="20"/>
          <w:lang w:val="es-CO"/>
        </w:rPr>
        <w:t>Cámara de Comercio del Cesar. (2021). Informe Anual de Accidentes Laborales en el Sector de la Construcción. Cámara de Comercio del Cesar.</w:t>
      </w:r>
    </w:p>
    <w:p>
      <w:pPr>
        <w:rPr>
          <w:rFonts w:hint="default" w:ascii="Times New Roman" w:hAnsi="Times New Roman"/>
          <w:sz w:val="20"/>
          <w:szCs w:val="20"/>
          <w:lang w:val="es-CO"/>
        </w:rPr>
      </w:pPr>
      <w:r>
        <w:rPr>
          <w:rFonts w:hint="default" w:ascii="Times New Roman" w:hAnsi="Times New Roman"/>
          <w:sz w:val="20"/>
          <w:szCs w:val="20"/>
          <w:lang w:val="es-CO"/>
        </w:rPr>
        <w:t>Rodríguez, A. (2020). Estrategias Efectivas de Prevención en el Sector de la Construcción. Editorial de Seguridad Ocupacional.</w:t>
      </w:r>
    </w:p>
    <w:p>
      <w:pPr>
        <w:rPr>
          <w:rFonts w:hint="default" w:ascii="Times New Roman" w:hAnsi="Times New Roman"/>
          <w:sz w:val="20"/>
          <w:szCs w:val="20"/>
          <w:lang w:val="es-CO"/>
        </w:rPr>
      </w:pPr>
      <w:r>
        <w:rPr>
          <w:rFonts w:hint="default" w:ascii="Times New Roman" w:hAnsi="Times New Roman"/>
          <w:sz w:val="20"/>
          <w:szCs w:val="20"/>
          <w:lang w:val="es-CO"/>
        </w:rPr>
        <w:t>Rodríguez, A. (2018). Métodos Cuantitativos en Investigación Social. Editorial Académica.</w:t>
      </w:r>
    </w:p>
    <w:p>
      <w:pPr>
        <w:rPr>
          <w:rFonts w:hint="default" w:ascii="Times New Roman" w:hAnsi="Times New Roman"/>
          <w:sz w:val="20"/>
          <w:szCs w:val="20"/>
          <w:lang w:val="es-CO"/>
        </w:rPr>
      </w:pPr>
      <w:r>
        <w:rPr>
          <w:rFonts w:hint="default" w:ascii="Times New Roman" w:hAnsi="Times New Roman"/>
          <w:sz w:val="20"/>
          <w:szCs w:val="20"/>
          <w:lang w:val="es-CO"/>
        </w:rPr>
        <w:t>Rodríguez, J. (2017). Herramientas de Investigación en Ciencias Sociales. Editorial Académica.</w:t>
      </w:r>
    </w:p>
    <w:p>
      <w:pPr>
        <w:rPr>
          <w:rFonts w:hint="default" w:ascii="Times New Roman" w:hAnsi="Times New Roman"/>
          <w:sz w:val="20"/>
          <w:szCs w:val="20"/>
          <w:lang w:val="es-CO"/>
        </w:rPr>
      </w:pPr>
      <w:r>
        <w:rPr>
          <w:rFonts w:hint="default" w:ascii="Times New Roman" w:hAnsi="Times New Roman"/>
          <w:sz w:val="20"/>
          <w:szCs w:val="20"/>
          <w:lang w:val="es-CO"/>
        </w:rPr>
        <w:t>Suárez Pérez, J. M., &amp; Barrios Zabaleta, V. M. (2016). Evaluación de riesgos laborales y diseño de una guía de medidas preventivas para microempresas del sector metalmecànico de la ciudad de Cartagena. (Doctoral dissertation, Universidad de Cartagena).</w:t>
      </w:r>
    </w:p>
    <w:p>
      <w:pPr>
        <w:rPr>
          <w:rFonts w:hint="default" w:ascii="Times New Roman" w:hAnsi="Times New Roman"/>
          <w:sz w:val="20"/>
          <w:szCs w:val="20"/>
          <w:lang w:val="es-CO"/>
        </w:rPr>
      </w:pPr>
      <w:r>
        <w:rPr>
          <w:rFonts w:hint="default" w:ascii="Times New Roman" w:hAnsi="Times New Roman"/>
          <w:sz w:val="20"/>
          <w:szCs w:val="20"/>
          <w:lang w:val="es-CO"/>
        </w:rPr>
        <w:t>Martínez, A. (2020). Brechas en la investigación sobre prevención de riesgos laborales en el sector de la construcción: Implicaciones para la toma de decisiones. Revista de Seguridad Ocupacional, 22(2), 130-145.</w:t>
      </w:r>
    </w:p>
    <w:p>
      <w:pPr>
        <w:rPr>
          <w:rFonts w:hint="default" w:ascii="Times New Roman" w:hAnsi="Times New Roman"/>
          <w:sz w:val="20"/>
          <w:szCs w:val="20"/>
          <w:lang w:val="es-CO"/>
        </w:rPr>
      </w:pPr>
      <w:r>
        <w:rPr>
          <w:rFonts w:hint="default" w:ascii="Times New Roman" w:hAnsi="Times New Roman"/>
          <w:sz w:val="20"/>
          <w:szCs w:val="20"/>
          <w:lang w:val="es-CO"/>
        </w:rPr>
        <w:t>Sistemas de Gestión en Seguridad y Salud en el Trabajo (Sg-Sst). (n.d.).</w:t>
      </w:r>
    </w:p>
    <w:p>
      <w:pPr>
        <w:rPr>
          <w:rFonts w:hint="default" w:ascii="Times New Roman" w:hAnsi="Times New Roman"/>
          <w:sz w:val="20"/>
          <w:szCs w:val="20"/>
          <w:lang w:val="es-CO"/>
        </w:rPr>
      </w:pPr>
      <w:r>
        <w:rPr>
          <w:rFonts w:hint="default" w:ascii="Times New Roman" w:hAnsi="Times New Roman"/>
          <w:sz w:val="20"/>
          <w:szCs w:val="20"/>
          <w:lang w:val="es-CO"/>
        </w:rPr>
        <w:t>Rodríguez, G. L. (2016). Implementación de un Plan De Manejo de Riesgo en el Almacenamiento de Sustancias Químicas en Plantas de Alimentos y Harinas Avidesa Mac Pollo S.A. Universidad Popular del Cesar.</w:t>
      </w:r>
    </w:p>
    <w:p>
      <w:pPr>
        <w:rPr>
          <w:rFonts w:hint="default" w:ascii="Times New Roman" w:hAnsi="Times New Roman"/>
          <w:sz w:val="20"/>
          <w:szCs w:val="20"/>
          <w:lang w:val="es-CO"/>
        </w:rPr>
      </w:pPr>
      <w:r>
        <w:rPr>
          <w:rFonts w:hint="default" w:ascii="Times New Roman" w:hAnsi="Times New Roman"/>
          <w:sz w:val="20"/>
          <w:szCs w:val="20"/>
          <w:lang w:val="es-CO"/>
        </w:rPr>
        <w:t>Montemiranda Enamorado, N. C., &amp; Paternina Peña, M. P. (2015). La ley de riesgos laborales, una realidad jurídica en Colombia, estudio del régimen de transición de riesgos profesionales a riesgos laborales. Universidad de Cartagena. https://doi.org/10.57799/11227/5242</w:t>
      </w:r>
    </w:p>
    <w:p>
      <w:pPr>
        <w:rPr>
          <w:rFonts w:hint="default" w:ascii="Times New Roman" w:hAnsi="Times New Roman"/>
          <w:sz w:val="20"/>
          <w:szCs w:val="20"/>
          <w:lang w:val="es-CO"/>
        </w:rPr>
      </w:pPr>
      <w:r>
        <w:rPr>
          <w:rFonts w:hint="default" w:ascii="Times New Roman" w:hAnsi="Times New Roman"/>
          <w:sz w:val="20"/>
          <w:szCs w:val="20"/>
          <w:lang w:val="es-CO"/>
        </w:rPr>
        <w:t>Rojas, M., &amp; Lucía, A. (2019). Implementación de medidas de control relacionadas con el riesgo químico en la empresa Avidesa Mac Pollo S.A. https://repository.upb.edu.co/handle/20.500.11912/8343</w:t>
      </w:r>
    </w:p>
    <w:p>
      <w:pPr>
        <w:rPr>
          <w:rFonts w:hint="default" w:ascii="Times New Roman" w:hAnsi="Times New Roman"/>
          <w:sz w:val="20"/>
          <w:szCs w:val="20"/>
          <w:lang w:val="es-CO"/>
        </w:rPr>
      </w:pPr>
      <w:r>
        <w:rPr>
          <w:rFonts w:hint="default" w:ascii="Times New Roman" w:hAnsi="Times New Roman"/>
          <w:sz w:val="20"/>
          <w:szCs w:val="20"/>
          <w:lang w:val="es-CO"/>
        </w:rPr>
        <w:t>Román, B., &amp; Alejandro, J. (2016). El marco jurídico en la prevención de riesgos laborales en el sector de la construcción : subcontratación y coordinación de actividades en las obras.</w:t>
      </w:r>
    </w:p>
    <w:p>
      <w:pPr>
        <w:rPr>
          <w:rFonts w:hint="default" w:ascii="Times New Roman" w:hAnsi="Times New Roman"/>
          <w:sz w:val="20"/>
          <w:szCs w:val="20"/>
          <w:lang w:val="es-CO"/>
        </w:rPr>
      </w:pPr>
      <w:r>
        <w:rPr>
          <w:rFonts w:hint="default" w:ascii="Times New Roman" w:hAnsi="Times New Roman"/>
          <w:sz w:val="20"/>
          <w:szCs w:val="20"/>
          <w:lang w:val="es-CO"/>
        </w:rPr>
        <w:t>EVALUACIÓN DE RIESGOS LABORALES Y DISEÑO DE UNA GUÍA DE MEDIDAS PREVENTIVAS PARA MICROEMPRESAS DEL SECTOR. (n.d.). Edu.Co. Retrieved November 18, 2023, from https://repositorio.unicartagena.edu.co/bitstream/handle/11227/7917/INFORME%20FINAL%20Suarez%20-%20Berrios.pdf</w:t>
      </w:r>
    </w:p>
    <w:p>
      <w:pPr>
        <w:rPr>
          <w:rFonts w:hint="default" w:ascii="Times New Roman" w:hAnsi="Times New Roman"/>
          <w:sz w:val="20"/>
          <w:szCs w:val="20"/>
          <w:lang w:val="es-CO"/>
        </w:rPr>
      </w:pPr>
      <w:r>
        <w:rPr>
          <w:rFonts w:hint="default" w:ascii="Times New Roman" w:hAnsi="Times New Roman"/>
          <w:sz w:val="20"/>
          <w:szCs w:val="20"/>
          <w:lang w:val="es-CO"/>
        </w:rPr>
        <w:t>Gómez, A. (2021). Metodología de Investigación Cuantitativa en Prevención de Riesgos Laborales. Editorial Científica.</w:t>
      </w:r>
    </w:p>
    <w:p>
      <w:pPr>
        <w:rPr>
          <w:rFonts w:hint="default" w:ascii="Times New Roman" w:hAnsi="Times New Roman"/>
          <w:sz w:val="20"/>
          <w:szCs w:val="20"/>
          <w:lang w:val="es-CO"/>
        </w:rPr>
      </w:pPr>
      <w:r>
        <w:rPr>
          <w:rFonts w:hint="default" w:ascii="Times New Roman" w:hAnsi="Times New Roman"/>
          <w:sz w:val="20"/>
          <w:szCs w:val="20"/>
          <w:lang w:val="es-CO"/>
        </w:rPr>
        <w:t>Martínez, L. (2020). Diseños No Experimentales: Estrategias para la Investigación Social. Editorial Investigación.</w:t>
      </w:r>
    </w:p>
    <w:p>
      <w:pPr>
        <w:rPr>
          <w:rFonts w:hint="default" w:ascii="Times New Roman" w:hAnsi="Times New Roman"/>
          <w:sz w:val="20"/>
          <w:szCs w:val="20"/>
          <w:lang w:val="es-CO"/>
        </w:rPr>
      </w:pPr>
      <w:r>
        <w:rPr>
          <w:rFonts w:hint="default" w:ascii="Times New Roman" w:hAnsi="Times New Roman"/>
          <w:sz w:val="20"/>
          <w:szCs w:val="20"/>
          <w:lang w:val="es-CO"/>
        </w:rPr>
        <w:t>Johnson, M. (2018). Métodos Cuantitativos en Investigación Social. Editorial Académica.</w:t>
      </w:r>
    </w:p>
    <w:p>
      <w:pPr>
        <w:rPr>
          <w:rFonts w:hint="default" w:ascii="Times New Roman" w:hAnsi="Times New Roman"/>
          <w:sz w:val="20"/>
          <w:szCs w:val="20"/>
          <w:lang w:val="es-CO"/>
        </w:rPr>
      </w:pPr>
      <w:r>
        <w:rPr>
          <w:rFonts w:hint="default" w:ascii="Times New Roman" w:hAnsi="Times New Roman"/>
          <w:sz w:val="20"/>
          <w:szCs w:val="20"/>
          <w:lang w:val="es-CO"/>
        </w:rPr>
        <w:t>Johnson, M. (2019). Métodos de Investigación en Ciencias Sociales. Editorial Académica.</w:t>
      </w:r>
    </w:p>
    <w:p>
      <w:pPr>
        <w:rPr>
          <w:rFonts w:hint="default" w:ascii="Times New Roman" w:hAnsi="Times New Roman"/>
          <w:sz w:val="20"/>
          <w:szCs w:val="20"/>
          <w:lang w:val="es-CO"/>
        </w:rPr>
      </w:pPr>
      <w:r>
        <w:rPr>
          <w:rFonts w:hint="default" w:ascii="Times New Roman" w:hAnsi="Times New Roman"/>
          <w:sz w:val="20"/>
          <w:szCs w:val="20"/>
          <w:lang w:val="es-CO"/>
        </w:rPr>
        <w:t>Smith, J. (2018). Seguridad en la construcción: Estrategias para la prevención de accidentes laborales. Editorial Seguridad Laboral.</w:t>
      </w:r>
    </w:p>
    <w:p>
      <w:pPr>
        <w:rPr>
          <w:rFonts w:hint="default" w:ascii="Times New Roman" w:hAnsi="Times New Roman"/>
          <w:sz w:val="20"/>
          <w:szCs w:val="20"/>
          <w:lang w:val="es-CO"/>
        </w:rPr>
      </w:pPr>
      <w:r>
        <w:rPr>
          <w:rFonts w:hint="default" w:ascii="Times New Roman" w:hAnsi="Times New Roman"/>
          <w:sz w:val="20"/>
          <w:szCs w:val="20"/>
          <w:lang w:val="es-CO"/>
        </w:rPr>
        <w:t>Smith, R., &amp; Brown, L. (2019). Diseño Descriptivo en Investigación Científica. Editorial Científica.</w:t>
      </w:r>
    </w:p>
    <w:p>
      <w:pPr>
        <w:rPr>
          <w:rFonts w:hint="default" w:ascii="Times New Roman" w:hAnsi="Times New Roman"/>
          <w:sz w:val="20"/>
          <w:szCs w:val="20"/>
          <w:lang w:val="es-CO"/>
        </w:rPr>
      </w:pPr>
      <w:r>
        <w:rPr>
          <w:rFonts w:hint="default" w:ascii="Times New Roman" w:hAnsi="Times New Roman"/>
          <w:sz w:val="20"/>
          <w:szCs w:val="20"/>
          <w:lang w:val="es-CO"/>
        </w:rPr>
        <w:t>Smith, J. (2019). Herramientas de Evaluación en Investigación Científica. Editorial Académica.</w:t>
      </w:r>
    </w:p>
    <w:p>
      <w:pPr>
        <w:rPr>
          <w:rFonts w:hint="default" w:ascii="Times New Roman" w:hAnsi="Times New Roman"/>
          <w:sz w:val="20"/>
          <w:szCs w:val="20"/>
          <w:lang w:val="es-CO"/>
        </w:rPr>
      </w:pPr>
      <w:r>
        <w:rPr>
          <w:rFonts w:hint="default" w:ascii="Times New Roman" w:hAnsi="Times New Roman"/>
          <w:sz w:val="20"/>
          <w:szCs w:val="20"/>
          <w:lang w:val="es-CO"/>
        </w:rPr>
        <w:t>Traducción: Reason, J. (1990). "Error Humano." Cambridge University Press.</w:t>
      </w:r>
    </w:p>
    <w:p>
      <w:pPr>
        <w:rPr>
          <w:rFonts w:hint="default" w:ascii="Times New Roman" w:hAnsi="Times New Roman"/>
          <w:sz w:val="20"/>
          <w:szCs w:val="20"/>
          <w:lang w:val="es-CO"/>
        </w:rPr>
      </w:pPr>
      <w:r>
        <w:rPr>
          <w:rFonts w:hint="default" w:ascii="Times New Roman" w:hAnsi="Times New Roman"/>
          <w:sz w:val="20"/>
          <w:szCs w:val="20"/>
          <w:lang w:val="es-CO"/>
        </w:rPr>
        <w:t>Traducción: Reason, J. (2000). "Gestión de los Riesgos de Accidentes Organizacionales." Ashgate Publishing.</w:t>
      </w:r>
    </w:p>
    <w:p>
      <w:pPr>
        <w:rPr>
          <w:rFonts w:hint="default" w:ascii="Times New Roman" w:hAnsi="Times New Roman"/>
          <w:sz w:val="20"/>
          <w:szCs w:val="20"/>
          <w:lang w:val="es-CO"/>
        </w:rPr>
      </w:pPr>
      <w:r>
        <w:rPr>
          <w:rFonts w:hint="default" w:ascii="Times New Roman" w:hAnsi="Times New Roman"/>
          <w:sz w:val="20"/>
          <w:szCs w:val="20"/>
          <w:lang w:val="es-CO"/>
        </w:rPr>
        <w:t>Traducción: Reason, J. (2008). "La Contribución Humana: Actos Inseguros, Accidentes y Recuperaciones Heroicas." CRC Press.</w:t>
      </w:r>
    </w:p>
    <w:p>
      <w:pPr>
        <w:rPr>
          <w:rFonts w:hint="default" w:ascii="Times New Roman" w:hAnsi="Times New Roman"/>
          <w:sz w:val="20"/>
          <w:szCs w:val="20"/>
          <w:lang w:val="es-CO"/>
        </w:rPr>
      </w:pPr>
      <w:r>
        <w:rPr>
          <w:rFonts w:hint="default" w:ascii="Times New Roman" w:hAnsi="Times New Roman"/>
          <w:sz w:val="20"/>
          <w:szCs w:val="20"/>
          <w:lang w:val="es-CO"/>
        </w:rPr>
        <w:t>Bird, F. E. (1985). Loss Control Management. Publicación técnica. [Nombre de la editorial].</w:t>
      </w:r>
    </w:p>
    <w:p>
      <w:pPr>
        <w:rPr>
          <w:rFonts w:hint="default" w:ascii="Times New Roman" w:hAnsi="Times New Roman"/>
          <w:sz w:val="20"/>
          <w:szCs w:val="20"/>
          <w:lang w:val="es-CO"/>
        </w:rPr>
      </w:pPr>
      <w:r>
        <w:rPr>
          <w:rFonts w:hint="default" w:ascii="Times New Roman" w:hAnsi="Times New Roman"/>
          <w:sz w:val="20"/>
          <w:szCs w:val="20"/>
          <w:lang w:val="es-CO"/>
        </w:rPr>
        <w:t>Bird, F. E., &amp; Germain, G. L. (1966). Damage control: A new horizon in accident prevention and cost improvement. American Management Association.</w:t>
      </w:r>
    </w:p>
    <w:p>
      <w:pPr>
        <w:rPr>
          <w:rFonts w:hint="default" w:ascii="Times New Roman" w:hAnsi="Times New Roman"/>
          <w:sz w:val="20"/>
          <w:szCs w:val="20"/>
          <w:lang w:val="es-CO"/>
        </w:rPr>
      </w:pPr>
      <w:r>
        <w:rPr>
          <w:rFonts w:hint="default" w:ascii="Times New Roman" w:hAnsi="Times New Roman"/>
          <w:sz w:val="20"/>
          <w:szCs w:val="20"/>
          <w:lang w:val="es-CO"/>
        </w:rPr>
        <w:t>Martínez, A. (2018). Seguridad Laboral: Protección de Trabajadores y Sostenibilidad Empresarial. Editorial Científica.</w:t>
      </w:r>
    </w:p>
    <w:bookmarkEnd w:id="0"/>
    <w:p>
      <w:pPr>
        <w:rPr>
          <w:rFonts w:hint="default" w:ascii="Times New Roman" w:hAnsi="Times New Roman"/>
          <w:sz w:val="20"/>
          <w:szCs w:val="20"/>
          <w:lang w:val="es-CO"/>
        </w:rPr>
      </w:pPr>
    </w:p>
    <w:p>
      <w:pPr>
        <w:rPr>
          <w:rFonts w:ascii="Times New Roman" w:hAnsi="Times New Roman"/>
          <w:sz w:val="20"/>
          <w:szCs w:val="20"/>
        </w:rPr>
      </w:pPr>
    </w:p>
    <w:p>
      <w:pPr>
        <w:rPr>
          <w:rFonts w:ascii="Times New Roman" w:hAnsi="Times New Roman"/>
          <w:sz w:val="20"/>
          <w:szCs w:val="20"/>
        </w:rPr>
      </w:pPr>
    </w:p>
    <w:sectPr>
      <w:type w:val="continuous"/>
      <w:pgSz w:w="11907" w:h="16839"/>
      <w:pgMar w:top="1440" w:right="1800" w:bottom="1440" w:left="1800" w:header="720" w:footer="720" w:gutter="0"/>
      <w:cols w:space="720" w:num="2"/>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rPr>
        <w:b/>
        <w:i/>
        <w:sz w:val="20"/>
        <w:lang w:val="es-ES"/>
      </w:rPr>
    </w:pPr>
    <w:r>
      <w:rPr>
        <w:b/>
        <w:i/>
        <w:sz w:val="20"/>
        <w:lang w:val="es-CO" w:eastAsia="es-CO"/>
      </w:rPr>
      <w:drawing>
        <wp:inline distT="0" distB="0" distL="0" distR="0">
          <wp:extent cx="923925" cy="786765"/>
          <wp:effectExtent l="0" t="0" r="0" b="0"/>
          <wp:docPr id="5" name="Imagen 5"/>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rcRect/>
                  <a:stretch>
                    <a:fillRect/>
                  </a:stretch>
                </pic:blipFill>
                <pic:spPr>
                  <a:xfrm>
                    <a:off x="0" y="0"/>
                    <a:ext cx="923925" cy="786765"/>
                  </a:xfrm>
                  <a:prstGeom prst="rect">
                    <a:avLst/>
                  </a:prstGeom>
                  <a:noFill/>
                  <a:ln>
                    <a:noFill/>
                  </a:ln>
                </pic:spPr>
              </pic:pic>
            </a:graphicData>
          </a:graphic>
        </wp:inline>
      </w:drawing>
    </w:r>
    <w:r>
      <w:rPr>
        <w:lang w:val="es-CO" w:eastAsia="es-CO"/>
      </w:rPr>
      <w:drawing>
        <wp:anchor distT="0" distB="0" distL="114300" distR="114300" simplePos="0" relativeHeight="251659264" behindDoc="0" locked="0" layoutInCell="1" allowOverlap="1">
          <wp:simplePos x="0" y="0"/>
          <wp:positionH relativeFrom="margin">
            <wp:posOffset>331470</wp:posOffset>
          </wp:positionH>
          <wp:positionV relativeFrom="paragraph">
            <wp:posOffset>-130810</wp:posOffset>
          </wp:positionV>
          <wp:extent cx="1593850" cy="550545"/>
          <wp:effectExtent l="0" t="0" r="0" b="0"/>
          <wp:wrapNone/>
          <wp:docPr id="6" name="Imagen 48"/>
          <wp:cNvGraphicFramePr/>
          <a:graphic xmlns:a="http://schemas.openxmlformats.org/drawingml/2006/main">
            <a:graphicData uri="http://schemas.openxmlformats.org/drawingml/2006/picture">
              <pic:pic xmlns:pic="http://schemas.openxmlformats.org/drawingml/2006/picture">
                <pic:nvPicPr>
                  <pic:cNvPr id="6" name="Imagen 48"/>
                  <pic:cNvPicPr/>
                </pic:nvPicPr>
                <pic:blipFill>
                  <a:blip r:embed="rId2">
                    <a:extLst>
                      <a:ext uri="{28A0092B-C50C-407E-A947-70E740481C1C}">
                        <a14:useLocalDpi xmlns:a14="http://schemas.microsoft.com/office/drawing/2010/main" val="0"/>
                      </a:ext>
                    </a:extLst>
                  </a:blip>
                  <a:srcRect/>
                  <a:stretch>
                    <a:fillRect/>
                  </a:stretch>
                </pic:blipFill>
                <pic:spPr>
                  <a:xfrm>
                    <a:off x="0" y="0"/>
                    <a:ext cx="1593850" cy="55054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6D3"/>
    <w:rsid w:val="00021CDA"/>
    <w:rsid w:val="00052052"/>
    <w:rsid w:val="0015333B"/>
    <w:rsid w:val="001565B8"/>
    <w:rsid w:val="0016641B"/>
    <w:rsid w:val="001C0199"/>
    <w:rsid w:val="001C610A"/>
    <w:rsid w:val="001D54ED"/>
    <w:rsid w:val="0020723A"/>
    <w:rsid w:val="00234742"/>
    <w:rsid w:val="00244584"/>
    <w:rsid w:val="003060B7"/>
    <w:rsid w:val="003428C6"/>
    <w:rsid w:val="00372823"/>
    <w:rsid w:val="003759EA"/>
    <w:rsid w:val="004C6D3A"/>
    <w:rsid w:val="00500B9A"/>
    <w:rsid w:val="0050209E"/>
    <w:rsid w:val="00670988"/>
    <w:rsid w:val="006856A0"/>
    <w:rsid w:val="00710653"/>
    <w:rsid w:val="0072283E"/>
    <w:rsid w:val="007658C0"/>
    <w:rsid w:val="007960F0"/>
    <w:rsid w:val="007B2D82"/>
    <w:rsid w:val="0081252E"/>
    <w:rsid w:val="008D4251"/>
    <w:rsid w:val="00925A18"/>
    <w:rsid w:val="00945A6E"/>
    <w:rsid w:val="0096218C"/>
    <w:rsid w:val="009956BA"/>
    <w:rsid w:val="009C41C1"/>
    <w:rsid w:val="00A24060"/>
    <w:rsid w:val="00A275D4"/>
    <w:rsid w:val="00A9092E"/>
    <w:rsid w:val="00A92FB0"/>
    <w:rsid w:val="00AA06C6"/>
    <w:rsid w:val="00AE5916"/>
    <w:rsid w:val="00B05026"/>
    <w:rsid w:val="00B4458D"/>
    <w:rsid w:val="00C62F12"/>
    <w:rsid w:val="00D95225"/>
    <w:rsid w:val="00E156D3"/>
    <w:rsid w:val="00E3551C"/>
    <w:rsid w:val="00E407B3"/>
    <w:rsid w:val="00E45A3B"/>
    <w:rsid w:val="00ED10FB"/>
    <w:rsid w:val="00EE560F"/>
    <w:rsid w:val="00F21000"/>
    <w:rsid w:val="00FB7622"/>
    <w:rsid w:val="083A2072"/>
    <w:rsid w:val="11F829AF"/>
    <w:rsid w:val="14C61B0A"/>
    <w:rsid w:val="2BD6141B"/>
    <w:rsid w:val="327A5B6A"/>
    <w:rsid w:val="33C93383"/>
    <w:rsid w:val="3E37102B"/>
    <w:rsid w:val="5C497221"/>
    <w:rsid w:val="603E14EE"/>
    <w:rsid w:val="61964996"/>
    <w:rsid w:val="6307380B"/>
    <w:rsid w:val="6E20197A"/>
    <w:rsid w:val="72921822"/>
    <w:rsid w:val="74F41408"/>
    <w:rsid w:val="7501740D"/>
    <w:rsid w:val="76DD02F6"/>
    <w:rsid w:val="7F927D39"/>
  </w:rsids>
  <m:mathPr>
    <m:mathFont m:val="Cambria Math"/>
    <m:brkBin m:val="before"/>
    <m:brkBinSub m:val="--"/>
    <m:smallFrac m:val="0"/>
    <m:dispDef/>
    <m:lMargin m:val="0"/>
    <m:rMargin m:val="0"/>
    <m:defJc m:val="centerGroup"/>
    <m:wrapIndent m:val="1440"/>
    <m:intLim m:val="subSup"/>
    <m:naryLim m:val="undOvr"/>
  </m:mathPr>
  <w:themeFontLang w:val="es-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ocked="1"/>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ocked="1"/>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ocked="1"/>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ocked="1"/>
    <w:lsdException w:qFormat="1" w:unhideWhenUsed="0" w:uiPriority="0" w:semiHidden="0" w:name="Emphasis" w:locked="1"/>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ocked="1"/>
    <w:lsdException w:uiPriority="0" w:name="Table Theme"/>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Times New Roman" w:cs="Times New Roman"/>
      <w:sz w:val="22"/>
      <w:szCs w:val="22"/>
      <w:lang w:val="es-ES" w:eastAsia="es-ES" w:bidi="ar-SA"/>
    </w:rPr>
  </w:style>
  <w:style w:type="paragraph" w:styleId="2">
    <w:name w:val="heading 1"/>
    <w:basedOn w:val="1"/>
    <w:next w:val="1"/>
    <w:link w:val="11"/>
    <w:qFormat/>
    <w:uiPriority w:val="0"/>
    <w:pPr>
      <w:keepNext/>
      <w:spacing w:before="240" w:after="60" w:line="240" w:lineRule="auto"/>
      <w:outlineLvl w:val="0"/>
    </w:pPr>
    <w:rPr>
      <w:rFonts w:ascii="Arial" w:hAnsi="Arial" w:cs="Arial"/>
      <w:b/>
      <w:bCs/>
      <w:kern w:val="32"/>
      <w:sz w:val="32"/>
      <w:szCs w:val="32"/>
      <w:lang w:val="en-GB" w:eastAsia="en-US"/>
    </w:rPr>
  </w:style>
  <w:style w:type="paragraph" w:styleId="3">
    <w:name w:val="heading 2"/>
    <w:basedOn w:val="1"/>
    <w:next w:val="1"/>
    <w:link w:val="12"/>
    <w:qFormat/>
    <w:uiPriority w:val="0"/>
    <w:pPr>
      <w:keepNext/>
      <w:spacing w:before="240" w:after="60" w:line="240" w:lineRule="auto"/>
      <w:outlineLvl w:val="1"/>
    </w:pPr>
    <w:rPr>
      <w:rFonts w:ascii="Arial" w:hAnsi="Arial" w:cs="Arial"/>
      <w:b/>
      <w:bCs/>
      <w:szCs w:val="28"/>
      <w:lang w:val="en-GB" w:eastAsia="en-US"/>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Hyperlink"/>
    <w:unhideWhenUsed/>
    <w:qFormat/>
    <w:uiPriority w:val="99"/>
    <w:rPr>
      <w:color w:val="0000FF"/>
      <w:u w:val="single"/>
    </w:rPr>
  </w:style>
  <w:style w:type="paragraph" w:styleId="7">
    <w:name w:val="Balloon Text"/>
    <w:basedOn w:val="1"/>
    <w:link w:val="14"/>
    <w:semiHidden/>
    <w:qFormat/>
    <w:uiPriority w:val="0"/>
    <w:pPr>
      <w:spacing w:after="0" w:line="240" w:lineRule="auto"/>
    </w:pPr>
    <w:rPr>
      <w:rFonts w:ascii="Tahoma" w:hAnsi="Tahoma" w:cs="Tahoma"/>
      <w:sz w:val="16"/>
      <w:szCs w:val="16"/>
    </w:rPr>
  </w:style>
  <w:style w:type="paragraph" w:styleId="8">
    <w:name w:val="header"/>
    <w:basedOn w:val="1"/>
    <w:link w:val="13"/>
    <w:qFormat/>
    <w:uiPriority w:val="0"/>
    <w:pPr>
      <w:tabs>
        <w:tab w:val="center" w:pos="4320"/>
        <w:tab w:val="right" w:pos="8640"/>
      </w:tabs>
      <w:spacing w:after="0" w:line="240" w:lineRule="auto"/>
    </w:pPr>
    <w:rPr>
      <w:rFonts w:ascii="Times New Roman" w:hAnsi="Times New Roman"/>
      <w:sz w:val="24"/>
      <w:szCs w:val="24"/>
      <w:lang w:val="en-GB" w:eastAsia="en-US"/>
    </w:rPr>
  </w:style>
  <w:style w:type="paragraph" w:styleId="9">
    <w:name w:val="HTML Preformatted"/>
    <w:basedOn w:val="1"/>
    <w:link w:val="20"/>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s-CO" w:eastAsia="es-CO"/>
    </w:rPr>
  </w:style>
  <w:style w:type="paragraph" w:styleId="10">
    <w:name w:val="footer"/>
    <w:basedOn w:val="1"/>
    <w:link w:val="15"/>
    <w:qFormat/>
    <w:uiPriority w:val="0"/>
    <w:pPr>
      <w:tabs>
        <w:tab w:val="center" w:pos="4419"/>
        <w:tab w:val="right" w:pos="8838"/>
      </w:tabs>
    </w:pPr>
  </w:style>
  <w:style w:type="character" w:customStyle="1" w:styleId="11">
    <w:name w:val="Título 1 Car"/>
    <w:link w:val="2"/>
    <w:qFormat/>
    <w:locked/>
    <w:uiPriority w:val="0"/>
    <w:rPr>
      <w:rFonts w:ascii="Arial" w:hAnsi="Arial" w:cs="Arial"/>
      <w:b/>
      <w:bCs/>
      <w:kern w:val="32"/>
      <w:sz w:val="32"/>
      <w:szCs w:val="32"/>
      <w:lang w:val="en-GB" w:eastAsia="en-US"/>
    </w:rPr>
  </w:style>
  <w:style w:type="character" w:customStyle="1" w:styleId="12">
    <w:name w:val="Título 2 Car"/>
    <w:link w:val="3"/>
    <w:qFormat/>
    <w:locked/>
    <w:uiPriority w:val="0"/>
    <w:rPr>
      <w:rFonts w:ascii="Arial" w:hAnsi="Arial" w:cs="Arial"/>
      <w:b/>
      <w:bCs/>
      <w:sz w:val="28"/>
      <w:szCs w:val="28"/>
      <w:lang w:val="en-GB" w:eastAsia="en-US"/>
    </w:rPr>
  </w:style>
  <w:style w:type="character" w:customStyle="1" w:styleId="13">
    <w:name w:val="Encabezado Car"/>
    <w:link w:val="8"/>
    <w:qFormat/>
    <w:locked/>
    <w:uiPriority w:val="0"/>
    <w:rPr>
      <w:rFonts w:ascii="Times New Roman" w:hAnsi="Times New Roman" w:cs="Times New Roman"/>
      <w:sz w:val="24"/>
      <w:szCs w:val="24"/>
      <w:lang w:val="en-GB" w:eastAsia="en-US"/>
    </w:rPr>
  </w:style>
  <w:style w:type="character" w:customStyle="1" w:styleId="14">
    <w:name w:val="Texto de globo Car"/>
    <w:link w:val="7"/>
    <w:semiHidden/>
    <w:qFormat/>
    <w:locked/>
    <w:uiPriority w:val="0"/>
    <w:rPr>
      <w:rFonts w:ascii="Tahoma" w:hAnsi="Tahoma" w:cs="Tahoma"/>
      <w:sz w:val="16"/>
      <w:szCs w:val="16"/>
    </w:rPr>
  </w:style>
  <w:style w:type="character" w:customStyle="1" w:styleId="15">
    <w:name w:val="Pie de página Car"/>
    <w:link w:val="10"/>
    <w:qFormat/>
    <w:uiPriority w:val="0"/>
    <w:rPr>
      <w:sz w:val="22"/>
      <w:szCs w:val="22"/>
      <w:lang w:val="es-ES" w:eastAsia="es-ES"/>
    </w:rPr>
  </w:style>
  <w:style w:type="paragraph" w:customStyle="1" w:styleId="16">
    <w:name w:val="Predeterminado"/>
    <w:qFormat/>
    <w:uiPriority w:val="0"/>
    <w:pPr>
      <w:tabs>
        <w:tab w:val="left" w:pos="708"/>
      </w:tabs>
      <w:suppressAutoHyphens/>
      <w:spacing w:line="100" w:lineRule="atLeast"/>
    </w:pPr>
    <w:rPr>
      <w:rFonts w:ascii="Calibri" w:hAnsi="Calibri" w:eastAsia="SimSun" w:cs="Times New Roman"/>
      <w:sz w:val="22"/>
      <w:szCs w:val="22"/>
      <w:lang w:val="es-CO" w:eastAsia="es-CO" w:bidi="ar-SA"/>
    </w:rPr>
  </w:style>
  <w:style w:type="paragraph" w:customStyle="1" w:styleId="17">
    <w:name w:val="ADYNA_Abstrac"/>
    <w:basedOn w:val="1"/>
    <w:qFormat/>
    <w:uiPriority w:val="0"/>
    <w:pPr>
      <w:spacing w:after="0" w:line="240" w:lineRule="auto"/>
      <w:jc w:val="both"/>
    </w:pPr>
    <w:rPr>
      <w:rFonts w:ascii="Times New Roman" w:hAnsi="Times New Roman"/>
      <w:sz w:val="18"/>
      <w:szCs w:val="24"/>
      <w:lang w:val="en-US"/>
    </w:rPr>
  </w:style>
  <w:style w:type="paragraph" w:styleId="18">
    <w:name w:val="List Paragraph"/>
    <w:basedOn w:val="1"/>
    <w:qFormat/>
    <w:uiPriority w:val="34"/>
    <w:pPr>
      <w:spacing w:after="0" w:line="240" w:lineRule="auto"/>
      <w:ind w:left="720"/>
      <w:contextualSpacing/>
    </w:pPr>
    <w:rPr>
      <w:rFonts w:ascii="Times New Roman" w:hAnsi="Times New Roman"/>
      <w:sz w:val="24"/>
      <w:szCs w:val="24"/>
    </w:rPr>
  </w:style>
  <w:style w:type="table" w:customStyle="1" w:styleId="19">
    <w:name w:val="Plain Table 2"/>
    <w:basedOn w:val="5"/>
    <w:qFormat/>
    <w:uiPriority w:val="42"/>
    <w:rPr>
      <w:rFonts w:eastAsia="Calibri"/>
      <w:sz w:val="22"/>
      <w:szCs w:val="22"/>
      <w:lang w:val="es-ES" w:eastAsia="en-US"/>
    </w:rPr>
    <w:tblPr>
      <w:tblBorders>
        <w:top w:val="single" w:color="7F7F7F" w:sz="4" w:space="0"/>
        <w:bottom w:val="single" w:color="7F7F7F" w:sz="4" w:space="0"/>
      </w:tblBorders>
    </w:tblPr>
    <w:tblStylePr w:type="firstRow">
      <w:rPr>
        <w:b/>
        <w:bCs/>
      </w:rPr>
      <w:tcPr>
        <w:tcBorders>
          <w:bottom w:val="single" w:color="7F7F7F" w:sz="4" w:space="0"/>
        </w:tcBorders>
      </w:tcPr>
    </w:tblStylePr>
    <w:tblStylePr w:type="lastRow">
      <w:rPr>
        <w:b/>
        <w:bCs/>
      </w:rPr>
      <w:tcPr>
        <w:tcBorders>
          <w:top w:val="single" w:color="7F7F7F" w:sz="4" w:space="0"/>
        </w:tcBorders>
      </w:tcPr>
    </w:tblStylePr>
    <w:tblStylePr w:type="firstCol">
      <w:rPr>
        <w:b/>
        <w:bCs/>
      </w:rPr>
    </w:tblStylePr>
    <w:tblStylePr w:type="lastCol">
      <w:rPr>
        <w:b/>
        <w:bCs/>
      </w:rPr>
    </w:tblStylePr>
    <w:tblStylePr w:type="band1Vert">
      <w:tcPr>
        <w:tcBorders>
          <w:left w:val="single" w:color="7F7F7F" w:sz="4" w:space="0"/>
          <w:right w:val="single" w:color="7F7F7F" w:sz="4" w:space="0"/>
        </w:tcBorders>
      </w:tcPr>
    </w:tblStylePr>
    <w:tblStylePr w:type="band2Vert">
      <w:tcPr>
        <w:tcBorders>
          <w:left w:val="single" w:color="7F7F7F" w:sz="4" w:space="0"/>
          <w:right w:val="single" w:color="7F7F7F" w:sz="4" w:space="0"/>
        </w:tcBorders>
      </w:tcPr>
    </w:tblStylePr>
    <w:tblStylePr w:type="band1Horz">
      <w:tcPr>
        <w:tcBorders>
          <w:top w:val="single" w:color="7F7F7F" w:sz="4" w:space="0"/>
          <w:bottom w:val="single" w:color="7F7F7F" w:sz="4" w:space="0"/>
        </w:tcBorders>
      </w:tcPr>
    </w:tblStylePr>
  </w:style>
  <w:style w:type="character" w:customStyle="1" w:styleId="20">
    <w:name w:val="HTML con formato previo Car"/>
    <w:link w:val="9"/>
    <w:qFormat/>
    <w:uiPriority w:val="99"/>
    <w:rPr>
      <w:rFonts w:ascii="Courier New" w:hAnsi="Courier New" w:cs="Courier New"/>
    </w:rPr>
  </w:style>
  <w:style w:type="character" w:customStyle="1" w:styleId="21">
    <w:name w:val="y2iqfc"/>
    <w:basedOn w:val="4"/>
    <w:qFormat/>
    <w:uiPriority w:val="0"/>
  </w:style>
  <w:style w:type="character" w:customStyle="1" w:styleId="22">
    <w:name w:val="Unresolved Mention"/>
    <w:semiHidden/>
    <w:unhideWhenUsed/>
    <w:qFormat/>
    <w:uiPriority w:val="99"/>
    <w:rPr>
      <w:color w:val="605E5C"/>
      <w:shd w:val="clear" w:color="auto" w:fill="E1DFDD"/>
    </w:rPr>
  </w:style>
  <w:style w:type="table" w:customStyle="1" w:styleId="23">
    <w:name w:val="NuevoEstiloAPA"/>
    <w:basedOn w:val="5"/>
    <w:qFormat/>
    <w:uiPriority w:val="99"/>
    <w:pPr>
      <w:spacing w:line="360" w:lineRule="auto"/>
    </w:pPr>
    <w:rPr>
      <w:sz w:val="24"/>
    </w:rPr>
    <w:tblPr>
      <w:tblBorders>
        <w:top w:val="single" w:color="auto" w:sz="4" w:space="0"/>
        <w:bottom w:val="single" w:color="auto" w:sz="4" w:space="0"/>
      </w:tblBorders>
    </w:tblPr>
    <w:tcPr>
      <w:vAlign w:val="center"/>
    </w:tcPr>
    <w:tblStylePr w:type="firstRow">
      <w:tcPr>
        <w:tcBorders>
          <w:bottom w:val="single" w:color="auto" w:sz="4" w:space="0"/>
        </w:tcBorders>
      </w:tcPr>
    </w:tblStylePr>
    <w:tblStylePr w:type="lastRow">
      <w:tcPr>
        <w:tcBorders>
          <w:top w:val="single" w:color="auto" w:sz="4" w:space="0"/>
        </w:tcBorders>
      </w:tcPr>
    </w:tblStyle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8A863-94D1-45A9-9A87-A3FE583AA8CE}">
  <ds:schemaRefs/>
</ds:datastoreItem>
</file>

<file path=docProps/app.xml><?xml version="1.0" encoding="utf-8"?>
<Properties xmlns="http://schemas.openxmlformats.org/officeDocument/2006/extended-properties" xmlns:vt="http://schemas.openxmlformats.org/officeDocument/2006/docPropsVTypes">
  <Template>Normal.dotm</Template>
  <Company>BBB</Company>
  <Pages>5</Pages>
  <Words>2319</Words>
  <Characters>12755</Characters>
  <Lines>106</Lines>
  <Paragraphs>30</Paragraphs>
  <TotalTime>178</TotalTime>
  <ScaleCrop>false</ScaleCrop>
  <LinksUpToDate>false</LinksUpToDate>
  <CharactersWithSpaces>15044</CharactersWithSpaces>
  <Application>WPS Office_12.2.0.13306_F1E327BC-269C-435d-A152-05C5408002CA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2023-11-08T14:49:00Z</dcterms:created>
  <dc:creator>Alfin5</dc:creator>
  <cp:lastModifiedBy>usuario</cp:lastModifiedBy>
  <dcterms:modified xsi:type="dcterms:W3CDTF">2023-11-18T17:18:39Z</dcterms:modified>
  <dc:title>[Inserte el título del artículo]</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3082-12.2.0.13306</vt:lpwstr>
  </property>
  <property fmtid="{D5CDD505-2E9C-101B-9397-08002B2CF9AE}" pid="3" name="ICV">
    <vt:lpwstr>5CECCABD69C047ABBB7315FE9CEA41B0_12</vt:lpwstr>
  </property>
</Properties>
</file>