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1.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6B8323" w14:textId="1A57DC95" w:rsidR="00D84991" w:rsidRDefault="00D84991" w:rsidP="00EE164A">
      <w:pPr>
        <w:jc w:val="center"/>
        <w:rPr>
          <w:rFonts w:cs="Arial"/>
          <w:szCs w:val="24"/>
          <w:lang w:val="es-MX"/>
        </w:rPr>
      </w:pPr>
    </w:p>
    <w:p w14:paraId="3C40D078" w14:textId="532AF1F7" w:rsidR="00D84991" w:rsidRDefault="00D84991" w:rsidP="00EE164A">
      <w:pPr>
        <w:jc w:val="center"/>
        <w:rPr>
          <w:rFonts w:cs="Arial"/>
          <w:szCs w:val="24"/>
          <w:lang w:val="es-MX"/>
        </w:rPr>
      </w:pPr>
    </w:p>
    <w:p w14:paraId="61C3E099" w14:textId="1A760F58" w:rsidR="00D84991" w:rsidRDefault="00D84991" w:rsidP="00EE164A">
      <w:pPr>
        <w:jc w:val="center"/>
        <w:rPr>
          <w:rFonts w:cs="Arial"/>
          <w:szCs w:val="24"/>
          <w:lang w:val="es-MX"/>
        </w:rPr>
      </w:pPr>
    </w:p>
    <w:p w14:paraId="47BF95A9" w14:textId="3A40B618" w:rsidR="00D84991" w:rsidRDefault="00D84991" w:rsidP="00EE164A">
      <w:pPr>
        <w:jc w:val="center"/>
        <w:rPr>
          <w:rFonts w:cs="Arial"/>
          <w:szCs w:val="24"/>
          <w:lang w:val="es-MX"/>
        </w:rPr>
      </w:pPr>
    </w:p>
    <w:p w14:paraId="17004397" w14:textId="10DAAE7F" w:rsidR="00D84991" w:rsidRDefault="00D84991" w:rsidP="00EE164A">
      <w:pPr>
        <w:jc w:val="center"/>
        <w:rPr>
          <w:rFonts w:cs="Arial"/>
          <w:szCs w:val="24"/>
          <w:lang w:val="es-MX"/>
        </w:rPr>
      </w:pPr>
    </w:p>
    <w:p w14:paraId="722CB7E5" w14:textId="77777777" w:rsidR="00D84991" w:rsidRDefault="00D84991" w:rsidP="00EE164A">
      <w:pPr>
        <w:jc w:val="center"/>
        <w:rPr>
          <w:rFonts w:cs="Arial"/>
          <w:szCs w:val="24"/>
          <w:lang w:val="es-MX"/>
        </w:rPr>
      </w:pPr>
    </w:p>
    <w:p w14:paraId="3021FA80" w14:textId="77777777" w:rsidR="00D84991" w:rsidRDefault="00D84991" w:rsidP="00EE164A">
      <w:pPr>
        <w:jc w:val="center"/>
        <w:rPr>
          <w:rFonts w:cs="Arial"/>
          <w:szCs w:val="24"/>
          <w:lang w:val="es-MX"/>
        </w:rPr>
      </w:pPr>
    </w:p>
    <w:p w14:paraId="1D5CEB15" w14:textId="77777777" w:rsidR="00D84991" w:rsidRDefault="00D84991" w:rsidP="00EE164A">
      <w:pPr>
        <w:jc w:val="center"/>
        <w:rPr>
          <w:rFonts w:cs="Arial"/>
          <w:szCs w:val="24"/>
          <w:lang w:val="es-MX"/>
        </w:rPr>
      </w:pPr>
    </w:p>
    <w:p w14:paraId="476ACABF" w14:textId="77777777" w:rsidR="00D84991" w:rsidRDefault="00D84991" w:rsidP="00EE164A">
      <w:pPr>
        <w:jc w:val="center"/>
        <w:rPr>
          <w:rFonts w:cs="Arial"/>
          <w:szCs w:val="24"/>
          <w:lang w:val="es-MX"/>
        </w:rPr>
      </w:pPr>
    </w:p>
    <w:p w14:paraId="41816CF5" w14:textId="77777777" w:rsidR="00D84991" w:rsidRDefault="00D84991" w:rsidP="00EE164A">
      <w:pPr>
        <w:jc w:val="center"/>
        <w:rPr>
          <w:rFonts w:cs="Arial"/>
          <w:szCs w:val="24"/>
          <w:lang w:val="es-MX"/>
        </w:rPr>
      </w:pPr>
    </w:p>
    <w:p w14:paraId="66FC6B3C" w14:textId="77777777" w:rsidR="00D84991" w:rsidRDefault="00D84991" w:rsidP="00EE164A">
      <w:pPr>
        <w:jc w:val="center"/>
        <w:rPr>
          <w:rFonts w:cs="Arial"/>
          <w:szCs w:val="24"/>
          <w:lang w:val="es-MX"/>
        </w:rPr>
      </w:pPr>
    </w:p>
    <w:p w14:paraId="3D892D3D" w14:textId="77777777" w:rsidR="00D84991" w:rsidRDefault="00D84991" w:rsidP="00EE164A">
      <w:pPr>
        <w:jc w:val="center"/>
        <w:rPr>
          <w:rFonts w:cs="Arial"/>
          <w:szCs w:val="24"/>
          <w:lang w:val="es-MX"/>
        </w:rPr>
      </w:pPr>
    </w:p>
    <w:p w14:paraId="5F9FED30" w14:textId="77777777" w:rsidR="00D84991" w:rsidRDefault="00D84991" w:rsidP="00EE164A">
      <w:pPr>
        <w:jc w:val="center"/>
        <w:rPr>
          <w:rFonts w:cs="Arial"/>
          <w:szCs w:val="24"/>
          <w:lang w:val="es-MX"/>
        </w:rPr>
      </w:pPr>
    </w:p>
    <w:p w14:paraId="32E401C4" w14:textId="77777777" w:rsidR="00985EC5" w:rsidRDefault="00985EC5" w:rsidP="00EE164A">
      <w:pPr>
        <w:jc w:val="center"/>
        <w:rPr>
          <w:rFonts w:cs="Arial"/>
          <w:szCs w:val="24"/>
          <w:lang w:val="es-MX"/>
        </w:rPr>
      </w:pPr>
    </w:p>
    <w:p w14:paraId="66F2ADC9" w14:textId="77777777" w:rsidR="00D84991" w:rsidRDefault="00D84991" w:rsidP="00EE164A">
      <w:pPr>
        <w:jc w:val="center"/>
        <w:rPr>
          <w:rFonts w:cs="Arial"/>
          <w:szCs w:val="24"/>
          <w:lang w:val="es-MX"/>
        </w:rPr>
      </w:pPr>
    </w:p>
    <w:p w14:paraId="719C7460" w14:textId="77777777" w:rsidR="00D84991" w:rsidRDefault="00D84991" w:rsidP="00EE164A">
      <w:pPr>
        <w:jc w:val="center"/>
        <w:rPr>
          <w:rFonts w:cs="Arial"/>
          <w:szCs w:val="24"/>
          <w:lang w:val="es-MX"/>
        </w:rPr>
      </w:pPr>
    </w:p>
    <w:p w14:paraId="461E9CCA" w14:textId="77777777" w:rsidR="00D84991" w:rsidRDefault="00D84991" w:rsidP="00EE164A">
      <w:pPr>
        <w:jc w:val="center"/>
        <w:rPr>
          <w:rFonts w:cs="Arial"/>
          <w:szCs w:val="24"/>
          <w:lang w:val="es-MX"/>
        </w:rPr>
      </w:pPr>
    </w:p>
    <w:p w14:paraId="6A7D07AA" w14:textId="77777777" w:rsidR="00D84991" w:rsidRDefault="00D84991" w:rsidP="00EE164A">
      <w:pPr>
        <w:jc w:val="center"/>
        <w:rPr>
          <w:rFonts w:cs="Arial"/>
          <w:szCs w:val="24"/>
          <w:lang w:val="es-MX"/>
        </w:rPr>
      </w:pPr>
    </w:p>
    <w:p w14:paraId="4CD3F873" w14:textId="77777777" w:rsidR="00D84991" w:rsidRDefault="00D84991" w:rsidP="00EE164A">
      <w:pPr>
        <w:jc w:val="center"/>
        <w:rPr>
          <w:rFonts w:cs="Arial"/>
          <w:szCs w:val="24"/>
          <w:lang w:val="es-MX"/>
        </w:rPr>
      </w:pPr>
    </w:p>
    <w:p w14:paraId="46BE20AA" w14:textId="77777777" w:rsidR="00D84991" w:rsidRDefault="00D84991" w:rsidP="00EE164A">
      <w:pPr>
        <w:jc w:val="center"/>
        <w:rPr>
          <w:rFonts w:cs="Arial"/>
          <w:szCs w:val="24"/>
          <w:lang w:val="es-MX"/>
        </w:rPr>
      </w:pPr>
    </w:p>
    <w:p w14:paraId="6EAE2441" w14:textId="77777777" w:rsidR="00D84991" w:rsidRDefault="00D84991" w:rsidP="00EE164A">
      <w:pPr>
        <w:jc w:val="center"/>
        <w:rPr>
          <w:rFonts w:cs="Arial"/>
          <w:szCs w:val="24"/>
          <w:lang w:val="es-MX"/>
        </w:rPr>
      </w:pPr>
    </w:p>
    <w:p w14:paraId="2546D6A0" w14:textId="77777777" w:rsidR="00D84991" w:rsidRDefault="00D84991" w:rsidP="00EE164A">
      <w:pPr>
        <w:jc w:val="center"/>
        <w:rPr>
          <w:rFonts w:cs="Arial"/>
          <w:szCs w:val="24"/>
          <w:lang w:val="es-MX"/>
        </w:rPr>
      </w:pPr>
    </w:p>
    <w:p w14:paraId="24649D3F" w14:textId="77777777" w:rsidR="00D84991" w:rsidRDefault="00D84991" w:rsidP="00EE164A">
      <w:pPr>
        <w:jc w:val="center"/>
        <w:rPr>
          <w:rFonts w:cs="Arial"/>
          <w:szCs w:val="24"/>
          <w:lang w:val="es-MX"/>
        </w:rPr>
      </w:pPr>
    </w:p>
    <w:p w14:paraId="1450CC9A" w14:textId="77777777" w:rsidR="00D84991" w:rsidRDefault="00D84991" w:rsidP="00EE164A">
      <w:pPr>
        <w:jc w:val="center"/>
        <w:rPr>
          <w:rFonts w:cs="Arial"/>
          <w:szCs w:val="24"/>
          <w:lang w:val="es-MX"/>
        </w:rPr>
      </w:pPr>
    </w:p>
    <w:p w14:paraId="1B944D9A" w14:textId="22E054DD" w:rsidR="00047410" w:rsidRPr="00F00631" w:rsidRDefault="00047410" w:rsidP="00EE164A">
      <w:pPr>
        <w:jc w:val="center"/>
        <w:rPr>
          <w:rFonts w:cs="Arial"/>
          <w:szCs w:val="24"/>
          <w:lang w:val="es-MX"/>
        </w:rPr>
      </w:pPr>
      <w:r w:rsidRPr="00047410">
        <w:rPr>
          <w:rFonts w:cs="Arial"/>
          <w:szCs w:val="24"/>
          <w:lang w:val="es-MX"/>
        </w:rPr>
        <w:lastRenderedPageBreak/>
        <w:t>DISEÑO DE ESTRATEGIAS DE FORTALECIMIENTO PRESUPUESTAL Y MODERNIZACIÓN FISCAL PARA LA ACTUALIZACIÓN DEL MARCO FISCAL DE MEDIANO PLAZO DEL MUNICIPIO DE AGUACHICA</w:t>
      </w:r>
    </w:p>
    <w:p w14:paraId="4F50189C" w14:textId="77777777" w:rsidR="00F00631" w:rsidRPr="00F00631" w:rsidRDefault="00F00631" w:rsidP="00EE164A">
      <w:pPr>
        <w:jc w:val="center"/>
        <w:rPr>
          <w:rFonts w:cs="Arial"/>
          <w:szCs w:val="24"/>
          <w:lang w:val="es-MX"/>
        </w:rPr>
      </w:pPr>
    </w:p>
    <w:p w14:paraId="4ECCE639" w14:textId="77777777" w:rsidR="00F00631" w:rsidRPr="00F00631" w:rsidRDefault="00F00631" w:rsidP="00EE164A">
      <w:pPr>
        <w:jc w:val="center"/>
        <w:rPr>
          <w:rFonts w:cs="Arial"/>
          <w:szCs w:val="24"/>
          <w:lang w:val="es-MX"/>
        </w:rPr>
      </w:pPr>
    </w:p>
    <w:p w14:paraId="25A8F279" w14:textId="77777777" w:rsidR="00F00631" w:rsidRDefault="00F00631" w:rsidP="00EE164A">
      <w:pPr>
        <w:jc w:val="center"/>
        <w:rPr>
          <w:rFonts w:cs="Arial"/>
          <w:szCs w:val="24"/>
          <w:lang w:val="es-MX"/>
        </w:rPr>
      </w:pPr>
    </w:p>
    <w:p w14:paraId="358266AA" w14:textId="77777777" w:rsidR="00EE164A" w:rsidRDefault="00EE164A" w:rsidP="00EE164A">
      <w:pPr>
        <w:jc w:val="center"/>
        <w:rPr>
          <w:rFonts w:cs="Arial"/>
          <w:szCs w:val="24"/>
          <w:lang w:val="es-MX"/>
        </w:rPr>
      </w:pPr>
    </w:p>
    <w:p w14:paraId="0AEF7DCF" w14:textId="77777777" w:rsidR="00EE164A" w:rsidRDefault="00EE164A" w:rsidP="00EE164A">
      <w:pPr>
        <w:jc w:val="center"/>
        <w:rPr>
          <w:rFonts w:cs="Arial"/>
          <w:szCs w:val="24"/>
          <w:lang w:val="es-MX"/>
        </w:rPr>
      </w:pPr>
    </w:p>
    <w:p w14:paraId="2142E928" w14:textId="77777777" w:rsidR="00EE164A" w:rsidRDefault="00EE164A" w:rsidP="00EE164A">
      <w:pPr>
        <w:jc w:val="center"/>
        <w:rPr>
          <w:rFonts w:cs="Arial"/>
          <w:szCs w:val="24"/>
          <w:lang w:val="es-MX"/>
        </w:rPr>
      </w:pPr>
    </w:p>
    <w:p w14:paraId="53B74AE1" w14:textId="77777777" w:rsidR="00EE164A" w:rsidRDefault="00EE164A" w:rsidP="00EE164A">
      <w:pPr>
        <w:jc w:val="center"/>
        <w:rPr>
          <w:rFonts w:cs="Arial"/>
          <w:szCs w:val="24"/>
          <w:lang w:val="es-MX"/>
        </w:rPr>
      </w:pPr>
    </w:p>
    <w:p w14:paraId="27CB3EAE" w14:textId="77777777" w:rsidR="00EE164A" w:rsidRPr="00F00631" w:rsidRDefault="00EE164A" w:rsidP="00EE164A">
      <w:pPr>
        <w:jc w:val="center"/>
        <w:rPr>
          <w:rFonts w:cs="Arial"/>
          <w:szCs w:val="24"/>
          <w:lang w:val="es-MX"/>
        </w:rPr>
      </w:pPr>
    </w:p>
    <w:p w14:paraId="5D6AD6A9" w14:textId="68598727" w:rsidR="00F00631" w:rsidRPr="00F00631" w:rsidRDefault="00084CEE" w:rsidP="00EE164A">
      <w:pPr>
        <w:jc w:val="center"/>
        <w:rPr>
          <w:rFonts w:cs="Arial"/>
          <w:szCs w:val="24"/>
          <w:lang w:val="es-MX"/>
        </w:rPr>
      </w:pPr>
      <w:r w:rsidRPr="00F00631">
        <w:rPr>
          <w:rFonts w:cs="Arial"/>
          <w:szCs w:val="24"/>
          <w:lang w:val="es-MX"/>
        </w:rPr>
        <w:t>MATEO DUM</w:t>
      </w:r>
      <w:r>
        <w:rPr>
          <w:rFonts w:cs="Arial"/>
          <w:szCs w:val="24"/>
          <w:lang w:val="es-MX"/>
        </w:rPr>
        <w:t>I</w:t>
      </w:r>
      <w:r w:rsidRPr="00F00631">
        <w:rPr>
          <w:rFonts w:cs="Arial"/>
          <w:szCs w:val="24"/>
          <w:lang w:val="es-MX"/>
        </w:rPr>
        <w:t>TH MEJÍA LÓPEZ</w:t>
      </w:r>
    </w:p>
    <w:p w14:paraId="060F0823" w14:textId="77777777" w:rsidR="00F00631" w:rsidRPr="00F00631" w:rsidRDefault="00F00631" w:rsidP="00EE164A">
      <w:pPr>
        <w:jc w:val="center"/>
        <w:rPr>
          <w:rFonts w:cs="Arial"/>
          <w:szCs w:val="24"/>
          <w:lang w:val="es-MX"/>
        </w:rPr>
      </w:pPr>
    </w:p>
    <w:p w14:paraId="6BA50DB5" w14:textId="77777777" w:rsidR="00F00631" w:rsidRDefault="00F00631" w:rsidP="00EE164A">
      <w:pPr>
        <w:jc w:val="center"/>
        <w:rPr>
          <w:rFonts w:cs="Arial"/>
          <w:szCs w:val="24"/>
          <w:lang w:val="es-MX"/>
        </w:rPr>
      </w:pPr>
    </w:p>
    <w:p w14:paraId="167866DE" w14:textId="77777777" w:rsidR="00027621" w:rsidRDefault="00027621" w:rsidP="00EE164A">
      <w:pPr>
        <w:jc w:val="center"/>
        <w:rPr>
          <w:rFonts w:cs="Arial"/>
          <w:szCs w:val="24"/>
          <w:lang w:val="es-MX"/>
        </w:rPr>
      </w:pPr>
    </w:p>
    <w:p w14:paraId="70D4FB00" w14:textId="77777777" w:rsidR="00027621" w:rsidRDefault="00027621" w:rsidP="00EE164A">
      <w:pPr>
        <w:jc w:val="center"/>
        <w:rPr>
          <w:rFonts w:cs="Arial"/>
          <w:szCs w:val="24"/>
          <w:lang w:val="es-MX"/>
        </w:rPr>
      </w:pPr>
    </w:p>
    <w:p w14:paraId="7330D3D9" w14:textId="77777777" w:rsidR="00027621" w:rsidRDefault="00027621" w:rsidP="00EE164A">
      <w:pPr>
        <w:jc w:val="center"/>
        <w:rPr>
          <w:rFonts w:cs="Arial"/>
          <w:szCs w:val="24"/>
          <w:lang w:val="es-MX"/>
        </w:rPr>
      </w:pPr>
    </w:p>
    <w:p w14:paraId="12832AB5" w14:textId="77777777" w:rsidR="00A82B3C" w:rsidRDefault="00A82B3C" w:rsidP="00EE164A">
      <w:pPr>
        <w:jc w:val="center"/>
        <w:rPr>
          <w:rFonts w:cs="Arial"/>
          <w:szCs w:val="24"/>
          <w:lang w:val="es-MX"/>
        </w:rPr>
      </w:pPr>
    </w:p>
    <w:p w14:paraId="76F4557D" w14:textId="77777777" w:rsidR="00027621" w:rsidRDefault="00027621" w:rsidP="00EE164A">
      <w:pPr>
        <w:jc w:val="center"/>
        <w:rPr>
          <w:rFonts w:cs="Arial"/>
          <w:szCs w:val="24"/>
          <w:lang w:val="es-MX"/>
        </w:rPr>
      </w:pPr>
    </w:p>
    <w:p w14:paraId="4A19E9A8" w14:textId="77777777" w:rsidR="00EE164A" w:rsidRPr="00F00631" w:rsidRDefault="00EE164A" w:rsidP="00EE164A">
      <w:pPr>
        <w:jc w:val="center"/>
        <w:rPr>
          <w:rFonts w:cs="Arial"/>
          <w:szCs w:val="24"/>
          <w:lang w:val="es-MX"/>
        </w:rPr>
      </w:pPr>
    </w:p>
    <w:p w14:paraId="584088AC" w14:textId="7A0E26CE" w:rsidR="00F00631" w:rsidRPr="00F00631" w:rsidRDefault="00084CEE" w:rsidP="00EE164A">
      <w:pPr>
        <w:jc w:val="center"/>
        <w:rPr>
          <w:rFonts w:cs="Arial"/>
          <w:szCs w:val="24"/>
          <w:lang w:val="es-MX"/>
        </w:rPr>
      </w:pPr>
      <w:r w:rsidRPr="00F00631">
        <w:rPr>
          <w:rFonts w:cs="Arial"/>
          <w:szCs w:val="24"/>
          <w:lang w:val="es-MX"/>
        </w:rPr>
        <w:t>UNIVERSIDAD POPULAR DEL CESAR, SECCIONAL AGUACHICA</w:t>
      </w:r>
    </w:p>
    <w:p w14:paraId="3EC816B6" w14:textId="1DC96FD0" w:rsidR="00F00631" w:rsidRDefault="00084CEE" w:rsidP="00EE164A">
      <w:pPr>
        <w:jc w:val="center"/>
        <w:rPr>
          <w:rFonts w:cs="Arial"/>
          <w:szCs w:val="24"/>
          <w:lang w:val="es-MX"/>
        </w:rPr>
      </w:pPr>
      <w:r w:rsidRPr="00F00631">
        <w:rPr>
          <w:rFonts w:cs="Arial"/>
          <w:szCs w:val="24"/>
          <w:lang w:val="es-MX"/>
        </w:rPr>
        <w:t>FACULTAD DE CIENCIAS ADMINISTRATIVAS, CONTABLES Y ECONÓMICAS</w:t>
      </w:r>
    </w:p>
    <w:p w14:paraId="37BFB35E" w14:textId="2DAC5CB6" w:rsidR="00027621" w:rsidRDefault="00084CEE" w:rsidP="00EE164A">
      <w:pPr>
        <w:jc w:val="center"/>
        <w:rPr>
          <w:rFonts w:cs="Arial"/>
          <w:szCs w:val="24"/>
          <w:lang w:val="es-MX"/>
        </w:rPr>
      </w:pPr>
      <w:r>
        <w:rPr>
          <w:rFonts w:cs="Arial"/>
          <w:szCs w:val="24"/>
          <w:lang w:val="es-MX"/>
        </w:rPr>
        <w:t>PROGRAMA DE ECONOMÍA</w:t>
      </w:r>
    </w:p>
    <w:p w14:paraId="5727ABAF" w14:textId="6AA11B54" w:rsidR="00027621" w:rsidRPr="00F00631" w:rsidRDefault="00084CEE" w:rsidP="00EE164A">
      <w:pPr>
        <w:jc w:val="center"/>
        <w:rPr>
          <w:rFonts w:cs="Arial"/>
          <w:szCs w:val="24"/>
          <w:lang w:val="es-MX"/>
        </w:rPr>
      </w:pPr>
      <w:r>
        <w:rPr>
          <w:rFonts w:cs="Arial"/>
          <w:szCs w:val="24"/>
          <w:lang w:val="es-MX"/>
        </w:rPr>
        <w:t>AGUACHICA, CESAR</w:t>
      </w:r>
    </w:p>
    <w:p w14:paraId="3E282648" w14:textId="0B1738B2" w:rsidR="00F00631" w:rsidRDefault="00084CEE" w:rsidP="00EE164A">
      <w:pPr>
        <w:jc w:val="center"/>
        <w:rPr>
          <w:rFonts w:cs="Arial"/>
          <w:szCs w:val="24"/>
          <w:lang w:val="es-MX"/>
        </w:rPr>
      </w:pPr>
      <w:r w:rsidRPr="00F00631">
        <w:rPr>
          <w:rFonts w:cs="Arial"/>
          <w:szCs w:val="24"/>
          <w:lang w:val="es-MX"/>
        </w:rPr>
        <w:t>2026</w:t>
      </w:r>
    </w:p>
    <w:p w14:paraId="2DC713E5" w14:textId="1D6F618D" w:rsidR="00047410" w:rsidRDefault="00047410" w:rsidP="00C860DE">
      <w:pPr>
        <w:jc w:val="center"/>
        <w:rPr>
          <w:rFonts w:cs="Arial"/>
          <w:szCs w:val="24"/>
          <w:lang w:val="es-MX"/>
        </w:rPr>
      </w:pPr>
      <w:r w:rsidRPr="00047410">
        <w:rPr>
          <w:rFonts w:cs="Arial"/>
          <w:szCs w:val="24"/>
          <w:lang w:val="es-MX"/>
        </w:rPr>
        <w:lastRenderedPageBreak/>
        <w:t>DISEÑO DE ESTRATEGIAS DE FORTALECIMIENTO PRESUPUESTAL Y MODERNIZACIÓN FISCAL PARA LA ACTUALIZACIÓN DEL MARCO FISCAL DE MEDIANO PLAZO DEL MUNICIPIO DE AGUACHICA</w:t>
      </w:r>
    </w:p>
    <w:p w14:paraId="3DD1BC38" w14:textId="77777777" w:rsidR="00C860DE" w:rsidRDefault="00C860DE" w:rsidP="00C860DE">
      <w:pPr>
        <w:jc w:val="center"/>
        <w:rPr>
          <w:rFonts w:cs="Arial"/>
          <w:szCs w:val="24"/>
          <w:lang w:val="es-MX"/>
        </w:rPr>
      </w:pPr>
    </w:p>
    <w:p w14:paraId="1DFA053A" w14:textId="77777777" w:rsidR="00084CEE" w:rsidRDefault="00084CEE" w:rsidP="00C860DE">
      <w:pPr>
        <w:jc w:val="center"/>
        <w:rPr>
          <w:rFonts w:cs="Arial"/>
          <w:szCs w:val="24"/>
          <w:lang w:val="es-MX"/>
        </w:rPr>
      </w:pPr>
    </w:p>
    <w:p w14:paraId="00AEA445" w14:textId="77777777" w:rsidR="00A82B3C" w:rsidRDefault="00A82B3C" w:rsidP="00612B34">
      <w:pPr>
        <w:rPr>
          <w:rFonts w:cs="Arial"/>
          <w:szCs w:val="24"/>
          <w:lang w:val="es-MX"/>
        </w:rPr>
      </w:pPr>
    </w:p>
    <w:p w14:paraId="343D1481" w14:textId="77777777" w:rsidR="00A82B3C" w:rsidRDefault="00A82B3C" w:rsidP="00C860DE">
      <w:pPr>
        <w:jc w:val="center"/>
        <w:rPr>
          <w:rFonts w:cs="Arial"/>
          <w:szCs w:val="24"/>
          <w:lang w:val="es-MX"/>
        </w:rPr>
      </w:pPr>
    </w:p>
    <w:p w14:paraId="10EC494A" w14:textId="03A3D5CB" w:rsidR="00C860DE" w:rsidRPr="00F00631" w:rsidRDefault="00084CEE" w:rsidP="00C860DE">
      <w:pPr>
        <w:jc w:val="center"/>
        <w:rPr>
          <w:rFonts w:cs="Arial"/>
          <w:szCs w:val="24"/>
          <w:lang w:val="es-MX"/>
        </w:rPr>
      </w:pPr>
      <w:r w:rsidRPr="00F00631">
        <w:rPr>
          <w:rFonts w:cs="Arial"/>
          <w:szCs w:val="24"/>
          <w:lang w:val="es-MX"/>
        </w:rPr>
        <w:t>MATEO DUM</w:t>
      </w:r>
      <w:r>
        <w:rPr>
          <w:rFonts w:cs="Arial"/>
          <w:szCs w:val="24"/>
          <w:lang w:val="es-MX"/>
        </w:rPr>
        <w:t>I</w:t>
      </w:r>
      <w:r w:rsidRPr="00F00631">
        <w:rPr>
          <w:rFonts w:cs="Arial"/>
          <w:szCs w:val="24"/>
          <w:lang w:val="es-MX"/>
        </w:rPr>
        <w:t>TH MEJÍA LÓPEZ</w:t>
      </w:r>
    </w:p>
    <w:p w14:paraId="5A551269" w14:textId="77777777" w:rsidR="00C860DE" w:rsidRDefault="00C860DE" w:rsidP="00C860DE">
      <w:pPr>
        <w:jc w:val="center"/>
        <w:rPr>
          <w:rFonts w:cs="Arial"/>
          <w:szCs w:val="24"/>
          <w:lang w:val="es-MX"/>
        </w:rPr>
      </w:pPr>
    </w:p>
    <w:p w14:paraId="6944A354" w14:textId="77777777" w:rsidR="00A82B3C" w:rsidRDefault="00A82B3C" w:rsidP="00C860DE">
      <w:pPr>
        <w:jc w:val="center"/>
        <w:rPr>
          <w:rFonts w:cs="Arial"/>
          <w:szCs w:val="24"/>
          <w:lang w:val="es-MX"/>
        </w:rPr>
      </w:pPr>
    </w:p>
    <w:p w14:paraId="278C078B" w14:textId="77777777" w:rsidR="00A82B3C" w:rsidRDefault="00A82B3C" w:rsidP="00C860DE">
      <w:pPr>
        <w:jc w:val="center"/>
        <w:rPr>
          <w:rFonts w:cs="Arial"/>
          <w:szCs w:val="24"/>
          <w:lang w:val="es-MX"/>
        </w:rPr>
      </w:pPr>
    </w:p>
    <w:p w14:paraId="5EFB135C" w14:textId="78D08CF8" w:rsidR="00C860DE" w:rsidRDefault="00C860DE" w:rsidP="00C860DE">
      <w:pPr>
        <w:jc w:val="center"/>
        <w:rPr>
          <w:rFonts w:cs="Arial"/>
          <w:szCs w:val="24"/>
          <w:lang w:val="es-MX"/>
        </w:rPr>
      </w:pPr>
      <w:r>
        <w:rPr>
          <w:rFonts w:cs="Arial"/>
          <w:szCs w:val="24"/>
          <w:lang w:val="es-MX"/>
        </w:rPr>
        <w:t xml:space="preserve">Informe de Prácticas Curriculares </w:t>
      </w:r>
    </w:p>
    <w:p w14:paraId="268CEFA5" w14:textId="77777777" w:rsidR="00C860DE" w:rsidRDefault="00C860DE" w:rsidP="00C860DE">
      <w:pPr>
        <w:jc w:val="center"/>
        <w:rPr>
          <w:rFonts w:cs="Arial"/>
          <w:szCs w:val="24"/>
          <w:lang w:val="es-MX"/>
        </w:rPr>
      </w:pPr>
    </w:p>
    <w:p w14:paraId="4CFF9422" w14:textId="77777777" w:rsidR="004C2856" w:rsidRDefault="004C2856" w:rsidP="00C860DE">
      <w:pPr>
        <w:jc w:val="center"/>
        <w:rPr>
          <w:rFonts w:cs="Arial"/>
          <w:szCs w:val="24"/>
          <w:lang w:val="es-MX"/>
        </w:rPr>
      </w:pPr>
    </w:p>
    <w:p w14:paraId="07D25F84" w14:textId="77777777" w:rsidR="00C860DE" w:rsidRDefault="00C860DE" w:rsidP="00C860DE">
      <w:pPr>
        <w:jc w:val="center"/>
        <w:rPr>
          <w:rFonts w:cs="Arial"/>
          <w:szCs w:val="24"/>
          <w:lang w:val="es-MX"/>
        </w:rPr>
      </w:pPr>
    </w:p>
    <w:p w14:paraId="35553B04" w14:textId="5698F038" w:rsidR="00C860DE" w:rsidRDefault="00C860DE" w:rsidP="00C860DE">
      <w:pPr>
        <w:jc w:val="center"/>
        <w:rPr>
          <w:rFonts w:cs="Arial"/>
          <w:szCs w:val="24"/>
          <w:lang w:val="es-MX"/>
        </w:rPr>
      </w:pPr>
      <w:r>
        <w:rPr>
          <w:rFonts w:cs="Arial"/>
          <w:szCs w:val="24"/>
          <w:lang w:val="es-MX"/>
        </w:rPr>
        <w:t>Docente Asesor</w:t>
      </w:r>
    </w:p>
    <w:p w14:paraId="4338A447" w14:textId="783E7F54" w:rsidR="00C860DE" w:rsidRDefault="00A82B3C" w:rsidP="00C860DE">
      <w:pPr>
        <w:jc w:val="center"/>
        <w:rPr>
          <w:rFonts w:cs="Arial"/>
          <w:szCs w:val="24"/>
          <w:lang w:val="es-MX"/>
        </w:rPr>
      </w:pPr>
      <w:r w:rsidRPr="00A82B3C">
        <w:rPr>
          <w:rFonts w:cs="Arial"/>
          <w:szCs w:val="24"/>
          <w:lang w:val="es-MX"/>
        </w:rPr>
        <w:t xml:space="preserve">Magíster </w:t>
      </w:r>
      <w:r w:rsidR="00627A6A" w:rsidRPr="00627A6A">
        <w:rPr>
          <w:rFonts w:cs="Arial"/>
          <w:szCs w:val="24"/>
          <w:lang w:val="es-MX"/>
        </w:rPr>
        <w:t>Maritza Hernández Murcia</w:t>
      </w:r>
    </w:p>
    <w:p w14:paraId="66AB2C6B" w14:textId="77777777" w:rsidR="00A82B3C" w:rsidRDefault="00A82B3C" w:rsidP="00C860DE">
      <w:pPr>
        <w:jc w:val="center"/>
        <w:rPr>
          <w:rFonts w:cs="Arial"/>
          <w:szCs w:val="24"/>
          <w:lang w:val="es-MX"/>
        </w:rPr>
      </w:pPr>
    </w:p>
    <w:p w14:paraId="24831530" w14:textId="77777777" w:rsidR="00C860DE" w:rsidRDefault="00C860DE" w:rsidP="00C860DE">
      <w:pPr>
        <w:jc w:val="center"/>
        <w:rPr>
          <w:rFonts w:cs="Arial"/>
          <w:szCs w:val="24"/>
          <w:lang w:val="es-MX"/>
        </w:rPr>
      </w:pPr>
    </w:p>
    <w:p w14:paraId="34DD3009" w14:textId="77777777" w:rsidR="000D3635" w:rsidRPr="00F00631" w:rsidRDefault="000D3635" w:rsidP="00C860DE">
      <w:pPr>
        <w:jc w:val="center"/>
        <w:rPr>
          <w:rFonts w:cs="Arial"/>
          <w:szCs w:val="24"/>
          <w:lang w:val="es-MX"/>
        </w:rPr>
      </w:pPr>
    </w:p>
    <w:p w14:paraId="53D0A23C" w14:textId="7363C10A" w:rsidR="00C860DE" w:rsidRPr="00F00631" w:rsidRDefault="00084CEE" w:rsidP="00C860DE">
      <w:pPr>
        <w:jc w:val="center"/>
        <w:rPr>
          <w:rFonts w:cs="Arial"/>
          <w:szCs w:val="24"/>
          <w:lang w:val="es-MX"/>
        </w:rPr>
      </w:pPr>
      <w:r w:rsidRPr="00F00631">
        <w:rPr>
          <w:rFonts w:cs="Arial"/>
          <w:szCs w:val="24"/>
          <w:lang w:val="es-MX"/>
        </w:rPr>
        <w:t>UNIVERSIDAD POPULAR DEL CESAR, SECCIONAL AGUACHICA</w:t>
      </w:r>
    </w:p>
    <w:p w14:paraId="05ECC2CC" w14:textId="51D029DF" w:rsidR="00C860DE" w:rsidRDefault="00084CEE" w:rsidP="00C860DE">
      <w:pPr>
        <w:jc w:val="center"/>
        <w:rPr>
          <w:rFonts w:cs="Arial"/>
          <w:szCs w:val="24"/>
          <w:lang w:val="es-MX"/>
        </w:rPr>
      </w:pPr>
      <w:r w:rsidRPr="00F00631">
        <w:rPr>
          <w:rFonts w:cs="Arial"/>
          <w:szCs w:val="24"/>
          <w:lang w:val="es-MX"/>
        </w:rPr>
        <w:t>FACULTAD DE CIENCIAS ADMINISTRATIVAS, CONTABLES Y ECONÓMICAS</w:t>
      </w:r>
    </w:p>
    <w:p w14:paraId="66F9CE45" w14:textId="34CED594" w:rsidR="00C860DE" w:rsidRDefault="00084CEE" w:rsidP="00C860DE">
      <w:pPr>
        <w:jc w:val="center"/>
        <w:rPr>
          <w:rFonts w:cs="Arial"/>
          <w:szCs w:val="24"/>
          <w:lang w:val="es-MX"/>
        </w:rPr>
      </w:pPr>
      <w:r>
        <w:rPr>
          <w:rFonts w:cs="Arial"/>
          <w:szCs w:val="24"/>
          <w:lang w:val="es-MX"/>
        </w:rPr>
        <w:t>PROGRAMA DE ECONOMÍA</w:t>
      </w:r>
    </w:p>
    <w:p w14:paraId="186B15D2" w14:textId="455BBC01" w:rsidR="00C860DE" w:rsidRPr="00F00631" w:rsidRDefault="00084CEE" w:rsidP="00C860DE">
      <w:pPr>
        <w:jc w:val="center"/>
        <w:rPr>
          <w:rFonts w:cs="Arial"/>
          <w:szCs w:val="24"/>
          <w:lang w:val="es-MX"/>
        </w:rPr>
      </w:pPr>
      <w:r>
        <w:rPr>
          <w:rFonts w:cs="Arial"/>
          <w:szCs w:val="24"/>
          <w:lang w:val="es-MX"/>
        </w:rPr>
        <w:t>AGUACHICA, CESAR</w:t>
      </w:r>
    </w:p>
    <w:p w14:paraId="4F90FC61" w14:textId="51102802" w:rsidR="00F00631" w:rsidRDefault="00084CEE" w:rsidP="00845F7B">
      <w:pPr>
        <w:jc w:val="center"/>
        <w:rPr>
          <w:rFonts w:cs="Arial"/>
          <w:szCs w:val="24"/>
          <w:lang w:val="es-MX"/>
        </w:rPr>
      </w:pPr>
      <w:r w:rsidRPr="00F00631">
        <w:rPr>
          <w:rFonts w:cs="Arial"/>
          <w:szCs w:val="24"/>
          <w:lang w:val="es-MX"/>
        </w:rPr>
        <w:t>2026</w:t>
      </w:r>
    </w:p>
    <w:p w14:paraId="2C89275F" w14:textId="15E9D42C" w:rsidR="00E47EBF" w:rsidRDefault="00E47EBF" w:rsidP="00A41FD3">
      <w:pPr>
        <w:spacing w:after="480"/>
        <w:jc w:val="center"/>
        <w:rPr>
          <w:rFonts w:cs="Arial"/>
          <w:szCs w:val="24"/>
          <w:lang w:val="es-MX"/>
        </w:rPr>
      </w:pPr>
      <w:r>
        <w:rPr>
          <w:rFonts w:cs="Arial"/>
          <w:szCs w:val="24"/>
          <w:lang w:val="es-MX"/>
        </w:rPr>
        <w:lastRenderedPageBreak/>
        <w:t>DEDICATORIA</w:t>
      </w:r>
    </w:p>
    <w:p w14:paraId="5215FFC0" w14:textId="24AA2596" w:rsidR="00A41FD3" w:rsidRDefault="00A41FD3" w:rsidP="00A41FD3">
      <w:pPr>
        <w:spacing w:after="480"/>
        <w:rPr>
          <w:rFonts w:cs="Arial"/>
          <w:szCs w:val="24"/>
          <w:lang w:val="es-MX"/>
        </w:rPr>
      </w:pPr>
      <w:r w:rsidRPr="00A41FD3">
        <w:rPr>
          <w:rFonts w:cs="Arial"/>
          <w:szCs w:val="24"/>
          <w:lang w:val="es-MX"/>
        </w:rPr>
        <w:t>A mis padres, Alveiro Mejía Picón y Marges López González, por su amor incondicional, su sacrificio silencioso y su confianza inquebrantable en mis capacidades. Este logro es, antes que mío, el resultado de todo lo que han sembrado en mí.</w:t>
      </w:r>
    </w:p>
    <w:p w14:paraId="4BC40A76" w14:textId="55A93D05" w:rsidR="00E47EBF" w:rsidRPr="00A41FD3" w:rsidRDefault="00A41FD3" w:rsidP="00A41FD3">
      <w:pPr>
        <w:jc w:val="right"/>
        <w:rPr>
          <w:rFonts w:cs="Arial"/>
          <w:i/>
          <w:iCs/>
          <w:szCs w:val="24"/>
          <w:lang w:val="es-MX"/>
        </w:rPr>
      </w:pPr>
      <w:r w:rsidRPr="00A41FD3">
        <w:rPr>
          <w:rFonts w:cs="Arial"/>
          <w:i/>
          <w:iCs/>
          <w:szCs w:val="24"/>
          <w:lang w:val="es-MX"/>
        </w:rPr>
        <w:t>Mateo Dumith Mejía López</w:t>
      </w:r>
    </w:p>
    <w:p w14:paraId="2D1903C7" w14:textId="77777777" w:rsidR="00E47EBF" w:rsidRDefault="00E47EBF" w:rsidP="00845F7B">
      <w:pPr>
        <w:jc w:val="center"/>
        <w:rPr>
          <w:rFonts w:cs="Arial"/>
          <w:szCs w:val="24"/>
          <w:lang w:val="es-MX"/>
        </w:rPr>
      </w:pPr>
    </w:p>
    <w:p w14:paraId="6BE661AB" w14:textId="77777777" w:rsidR="00E47EBF" w:rsidRDefault="00E47EBF" w:rsidP="00845F7B">
      <w:pPr>
        <w:jc w:val="center"/>
        <w:rPr>
          <w:rFonts w:cs="Arial"/>
          <w:szCs w:val="24"/>
          <w:lang w:val="es-MX"/>
        </w:rPr>
      </w:pPr>
    </w:p>
    <w:p w14:paraId="5DA60A40" w14:textId="77777777" w:rsidR="00E47EBF" w:rsidRDefault="00E47EBF" w:rsidP="00845F7B">
      <w:pPr>
        <w:jc w:val="center"/>
        <w:rPr>
          <w:rFonts w:cs="Arial"/>
          <w:szCs w:val="24"/>
          <w:lang w:val="es-MX"/>
        </w:rPr>
      </w:pPr>
    </w:p>
    <w:p w14:paraId="5A445355" w14:textId="77777777" w:rsidR="00E47EBF" w:rsidRDefault="00E47EBF" w:rsidP="00845F7B">
      <w:pPr>
        <w:jc w:val="center"/>
        <w:rPr>
          <w:rFonts w:cs="Arial"/>
          <w:szCs w:val="24"/>
          <w:lang w:val="es-MX"/>
        </w:rPr>
      </w:pPr>
    </w:p>
    <w:p w14:paraId="0252B797" w14:textId="77777777" w:rsidR="00E47EBF" w:rsidRDefault="00E47EBF" w:rsidP="00845F7B">
      <w:pPr>
        <w:jc w:val="center"/>
        <w:rPr>
          <w:rFonts w:cs="Arial"/>
          <w:szCs w:val="24"/>
          <w:lang w:val="es-MX"/>
        </w:rPr>
      </w:pPr>
    </w:p>
    <w:p w14:paraId="239054C0" w14:textId="77777777" w:rsidR="00E47EBF" w:rsidRDefault="00E47EBF" w:rsidP="00845F7B">
      <w:pPr>
        <w:jc w:val="center"/>
        <w:rPr>
          <w:rFonts w:cs="Arial"/>
          <w:szCs w:val="24"/>
          <w:lang w:val="es-MX"/>
        </w:rPr>
      </w:pPr>
    </w:p>
    <w:p w14:paraId="4CED2CA1" w14:textId="77777777" w:rsidR="00E47EBF" w:rsidRDefault="00E47EBF" w:rsidP="00845F7B">
      <w:pPr>
        <w:jc w:val="center"/>
        <w:rPr>
          <w:rFonts w:cs="Arial"/>
          <w:szCs w:val="24"/>
          <w:lang w:val="es-MX"/>
        </w:rPr>
      </w:pPr>
    </w:p>
    <w:p w14:paraId="4B9F206D" w14:textId="77777777" w:rsidR="00E47EBF" w:rsidRDefault="00E47EBF" w:rsidP="00845F7B">
      <w:pPr>
        <w:jc w:val="center"/>
        <w:rPr>
          <w:rFonts w:cs="Arial"/>
          <w:szCs w:val="24"/>
          <w:lang w:val="es-MX"/>
        </w:rPr>
      </w:pPr>
    </w:p>
    <w:p w14:paraId="02142674" w14:textId="77777777" w:rsidR="00E47EBF" w:rsidRDefault="00E47EBF" w:rsidP="00845F7B">
      <w:pPr>
        <w:jc w:val="center"/>
        <w:rPr>
          <w:rFonts w:cs="Arial"/>
          <w:szCs w:val="24"/>
          <w:lang w:val="es-MX"/>
        </w:rPr>
      </w:pPr>
    </w:p>
    <w:p w14:paraId="47130174" w14:textId="77777777" w:rsidR="00E47EBF" w:rsidRDefault="00E47EBF" w:rsidP="00845F7B">
      <w:pPr>
        <w:jc w:val="center"/>
        <w:rPr>
          <w:rFonts w:cs="Arial"/>
          <w:szCs w:val="24"/>
          <w:lang w:val="es-MX"/>
        </w:rPr>
      </w:pPr>
    </w:p>
    <w:p w14:paraId="06D50425" w14:textId="77777777" w:rsidR="00E47EBF" w:rsidRDefault="00E47EBF" w:rsidP="00845F7B">
      <w:pPr>
        <w:jc w:val="center"/>
        <w:rPr>
          <w:rFonts w:cs="Arial"/>
          <w:szCs w:val="24"/>
          <w:lang w:val="es-MX"/>
        </w:rPr>
      </w:pPr>
    </w:p>
    <w:p w14:paraId="41AEE4C3" w14:textId="77777777" w:rsidR="00E47EBF" w:rsidRDefault="00E47EBF" w:rsidP="00845F7B">
      <w:pPr>
        <w:jc w:val="center"/>
        <w:rPr>
          <w:rFonts w:cs="Arial"/>
          <w:szCs w:val="24"/>
          <w:lang w:val="es-MX"/>
        </w:rPr>
      </w:pPr>
    </w:p>
    <w:p w14:paraId="030E666A" w14:textId="77777777" w:rsidR="00E47EBF" w:rsidRDefault="00E47EBF" w:rsidP="00845F7B">
      <w:pPr>
        <w:jc w:val="center"/>
        <w:rPr>
          <w:rFonts w:cs="Arial"/>
          <w:szCs w:val="24"/>
          <w:lang w:val="es-MX"/>
        </w:rPr>
      </w:pPr>
    </w:p>
    <w:p w14:paraId="55853E41" w14:textId="77777777" w:rsidR="00E47EBF" w:rsidRDefault="00E47EBF" w:rsidP="00845F7B">
      <w:pPr>
        <w:jc w:val="center"/>
        <w:rPr>
          <w:rFonts w:cs="Arial"/>
          <w:szCs w:val="24"/>
          <w:lang w:val="es-MX"/>
        </w:rPr>
      </w:pPr>
    </w:p>
    <w:p w14:paraId="130C9DB9" w14:textId="77777777" w:rsidR="00E47EBF" w:rsidRDefault="00E47EBF" w:rsidP="00845F7B">
      <w:pPr>
        <w:jc w:val="center"/>
        <w:rPr>
          <w:rFonts w:cs="Arial"/>
          <w:szCs w:val="24"/>
          <w:lang w:val="es-MX"/>
        </w:rPr>
      </w:pPr>
    </w:p>
    <w:p w14:paraId="1B064473" w14:textId="77777777" w:rsidR="00E47EBF" w:rsidRDefault="00E47EBF" w:rsidP="00845F7B">
      <w:pPr>
        <w:jc w:val="center"/>
        <w:rPr>
          <w:rFonts w:cs="Arial"/>
          <w:szCs w:val="24"/>
          <w:lang w:val="es-MX"/>
        </w:rPr>
      </w:pPr>
    </w:p>
    <w:p w14:paraId="569FE3D6" w14:textId="77777777" w:rsidR="00A41FD3" w:rsidRDefault="00A41FD3" w:rsidP="00845F7B">
      <w:pPr>
        <w:jc w:val="center"/>
        <w:rPr>
          <w:rFonts w:cs="Arial"/>
          <w:szCs w:val="24"/>
          <w:lang w:val="es-MX"/>
        </w:rPr>
      </w:pPr>
    </w:p>
    <w:p w14:paraId="0FA4E93F" w14:textId="77777777" w:rsidR="00A41FD3" w:rsidRDefault="00A41FD3" w:rsidP="00845F7B">
      <w:pPr>
        <w:jc w:val="center"/>
        <w:rPr>
          <w:rFonts w:cs="Arial"/>
          <w:szCs w:val="24"/>
          <w:lang w:val="es-MX"/>
        </w:rPr>
      </w:pPr>
    </w:p>
    <w:p w14:paraId="1701CC88" w14:textId="77777777" w:rsidR="00E47EBF" w:rsidRDefault="00E47EBF" w:rsidP="00845F7B">
      <w:pPr>
        <w:jc w:val="center"/>
        <w:rPr>
          <w:rFonts w:cs="Arial"/>
          <w:szCs w:val="24"/>
          <w:lang w:val="es-MX"/>
        </w:rPr>
      </w:pPr>
    </w:p>
    <w:p w14:paraId="76446A60" w14:textId="776902BF" w:rsidR="00E47EBF" w:rsidRDefault="00E47EBF" w:rsidP="00A41FD3">
      <w:pPr>
        <w:spacing w:after="480"/>
        <w:jc w:val="center"/>
        <w:rPr>
          <w:rFonts w:cs="Arial"/>
          <w:szCs w:val="24"/>
          <w:lang w:val="es-MX"/>
        </w:rPr>
      </w:pPr>
      <w:r>
        <w:rPr>
          <w:rFonts w:cs="Arial"/>
          <w:szCs w:val="24"/>
          <w:lang w:val="es-MX"/>
        </w:rPr>
        <w:lastRenderedPageBreak/>
        <w:t>AGRADECIMIENTOS</w:t>
      </w:r>
    </w:p>
    <w:p w14:paraId="7F39FC44" w14:textId="77777777" w:rsidR="00A41FD3" w:rsidRPr="00A41FD3" w:rsidRDefault="00A41FD3" w:rsidP="00A41FD3">
      <w:pPr>
        <w:spacing w:after="480"/>
        <w:rPr>
          <w:rFonts w:cs="Arial"/>
          <w:szCs w:val="24"/>
          <w:lang w:val="es-MX"/>
        </w:rPr>
      </w:pPr>
      <w:r w:rsidRPr="00A41FD3">
        <w:rPr>
          <w:rFonts w:cs="Arial"/>
          <w:szCs w:val="24"/>
          <w:lang w:val="es-MX"/>
        </w:rPr>
        <w:t>A la doctora Liliana del Carmen Pinto Leal, supervisora institucional de la práctica, por su orientación técnica, su disposición permanente para resolver las dudas que surgieron a lo largo del proceso y por facilitar el acceso a la información y a los actores clave dentro de la administración municipal. Su acompañamiento fue indispensable para que el trabajo alcanzara el nivel de rigor que este tipo de instrumento exige.</w:t>
      </w:r>
    </w:p>
    <w:p w14:paraId="6E8FB5C9" w14:textId="77777777" w:rsidR="00A41FD3" w:rsidRPr="00A41FD3" w:rsidRDefault="00A41FD3" w:rsidP="00A41FD3">
      <w:pPr>
        <w:spacing w:after="480"/>
        <w:rPr>
          <w:rFonts w:cs="Arial"/>
          <w:szCs w:val="24"/>
          <w:lang w:val="es-MX"/>
        </w:rPr>
      </w:pPr>
      <w:r w:rsidRPr="00A41FD3">
        <w:rPr>
          <w:rFonts w:cs="Arial"/>
          <w:szCs w:val="24"/>
          <w:lang w:val="es-MX"/>
        </w:rPr>
        <w:t>A la profesora Maritza Hernández Murcia, asesora académica de la práctica, por su seguimiento constante, sus orientaciones metodológicas y su compromiso con la formación profesional de sus estudiantes. Su retroalimentación fue fundamental para articular la experiencia práctica con los fundamentos académicos que sustentan este informe.</w:t>
      </w:r>
    </w:p>
    <w:p w14:paraId="6C10CFE0" w14:textId="1A3DCE3E" w:rsidR="00E47EBF" w:rsidRPr="00A41FD3" w:rsidRDefault="00A41FD3" w:rsidP="00A41FD3">
      <w:pPr>
        <w:spacing w:after="480"/>
        <w:jc w:val="right"/>
        <w:rPr>
          <w:rFonts w:cs="Arial"/>
          <w:i/>
          <w:iCs/>
          <w:szCs w:val="24"/>
          <w:lang w:val="es-MX"/>
        </w:rPr>
      </w:pPr>
      <w:r w:rsidRPr="00A41FD3">
        <w:rPr>
          <w:rFonts w:cs="Arial"/>
          <w:i/>
          <w:iCs/>
          <w:szCs w:val="24"/>
          <w:lang w:val="es-MX"/>
        </w:rPr>
        <w:t>Mateo Dumith Mejía López</w:t>
      </w:r>
    </w:p>
    <w:p w14:paraId="17DB509E" w14:textId="77777777" w:rsidR="00E47EBF" w:rsidRDefault="00E47EBF" w:rsidP="00E47EBF">
      <w:pPr>
        <w:rPr>
          <w:rFonts w:cs="Arial"/>
          <w:szCs w:val="24"/>
          <w:lang w:val="es-MX"/>
        </w:rPr>
      </w:pPr>
    </w:p>
    <w:p w14:paraId="3237BAF0" w14:textId="77777777" w:rsidR="00E47EBF" w:rsidRDefault="00E47EBF" w:rsidP="00E47EBF">
      <w:pPr>
        <w:rPr>
          <w:rFonts w:cs="Arial"/>
          <w:szCs w:val="24"/>
          <w:lang w:val="es-MX"/>
        </w:rPr>
      </w:pPr>
    </w:p>
    <w:p w14:paraId="103F539C" w14:textId="77777777" w:rsidR="00E47EBF" w:rsidRDefault="00E47EBF" w:rsidP="00E47EBF">
      <w:pPr>
        <w:rPr>
          <w:rFonts w:cs="Arial"/>
          <w:szCs w:val="24"/>
          <w:lang w:val="es-MX"/>
        </w:rPr>
      </w:pPr>
    </w:p>
    <w:p w14:paraId="427B0316" w14:textId="77777777" w:rsidR="00E47EBF" w:rsidRDefault="00E47EBF" w:rsidP="00E47EBF">
      <w:pPr>
        <w:rPr>
          <w:rFonts w:cs="Arial"/>
          <w:szCs w:val="24"/>
          <w:lang w:val="es-MX"/>
        </w:rPr>
      </w:pPr>
    </w:p>
    <w:p w14:paraId="17825B79" w14:textId="77777777" w:rsidR="00E47EBF" w:rsidRDefault="00E47EBF" w:rsidP="00E47EBF">
      <w:pPr>
        <w:rPr>
          <w:rFonts w:cs="Arial"/>
          <w:szCs w:val="24"/>
          <w:lang w:val="es-MX"/>
        </w:rPr>
      </w:pPr>
    </w:p>
    <w:p w14:paraId="248AB90E" w14:textId="77777777" w:rsidR="00E47EBF" w:rsidRDefault="00E47EBF" w:rsidP="00E47EBF">
      <w:pPr>
        <w:rPr>
          <w:rFonts w:cs="Arial"/>
          <w:szCs w:val="24"/>
          <w:lang w:val="es-MX"/>
        </w:rPr>
      </w:pPr>
    </w:p>
    <w:p w14:paraId="4445033E" w14:textId="77777777" w:rsidR="00E47EBF" w:rsidRDefault="00E47EBF" w:rsidP="00E47EBF">
      <w:pPr>
        <w:rPr>
          <w:rFonts w:cs="Arial"/>
          <w:szCs w:val="24"/>
          <w:lang w:val="es-MX"/>
        </w:rPr>
      </w:pPr>
    </w:p>
    <w:p w14:paraId="070F2303" w14:textId="77777777" w:rsidR="00E47EBF" w:rsidRDefault="00E47EBF" w:rsidP="00E47EBF">
      <w:pPr>
        <w:rPr>
          <w:rFonts w:cs="Arial"/>
          <w:szCs w:val="24"/>
          <w:lang w:val="es-MX"/>
        </w:rPr>
      </w:pPr>
    </w:p>
    <w:p w14:paraId="3638A181" w14:textId="77777777" w:rsidR="00E47EBF" w:rsidRDefault="00E47EBF" w:rsidP="00E47EBF">
      <w:pPr>
        <w:rPr>
          <w:rFonts w:cs="Arial"/>
          <w:szCs w:val="24"/>
          <w:lang w:val="es-MX"/>
        </w:rPr>
      </w:pPr>
    </w:p>
    <w:p w14:paraId="3D7E645F" w14:textId="77777777" w:rsidR="00E47EBF" w:rsidRDefault="00E47EBF" w:rsidP="00E47EBF">
      <w:pPr>
        <w:rPr>
          <w:rFonts w:cs="Arial"/>
          <w:szCs w:val="24"/>
          <w:lang w:val="es-MX"/>
        </w:rPr>
      </w:pPr>
    </w:p>
    <w:p w14:paraId="2EC6FF0A" w14:textId="77777777" w:rsidR="00E47EBF" w:rsidRDefault="00E47EBF" w:rsidP="00E47EBF">
      <w:pPr>
        <w:rPr>
          <w:rFonts w:cs="Arial"/>
          <w:szCs w:val="24"/>
          <w:lang w:val="es-MX"/>
        </w:rPr>
      </w:pPr>
    </w:p>
    <w:p w14:paraId="7B395EA7" w14:textId="77777777" w:rsidR="00E47EBF" w:rsidRDefault="00E47EBF" w:rsidP="00845F7B">
      <w:pPr>
        <w:jc w:val="center"/>
        <w:rPr>
          <w:rFonts w:cs="Arial"/>
          <w:szCs w:val="24"/>
          <w:lang w:val="es-MX"/>
        </w:rPr>
      </w:pPr>
    </w:p>
    <w:p w14:paraId="1F51663D" w14:textId="77777777" w:rsidR="009C6F3A" w:rsidRDefault="009C6F3A" w:rsidP="00845F7B">
      <w:pPr>
        <w:jc w:val="center"/>
        <w:rPr>
          <w:rFonts w:cs="Arial"/>
          <w:szCs w:val="24"/>
          <w:lang w:val="es-MX"/>
        </w:rPr>
      </w:pPr>
    </w:p>
    <w:p w14:paraId="5750AFD5" w14:textId="77777777" w:rsidR="00E47EBF" w:rsidRDefault="00E47EBF" w:rsidP="00845F7B">
      <w:pPr>
        <w:jc w:val="center"/>
        <w:rPr>
          <w:rFonts w:cs="Arial"/>
          <w:szCs w:val="24"/>
          <w:lang w:val="es-MX"/>
        </w:rPr>
      </w:pPr>
    </w:p>
    <w:p w14:paraId="0A7FD07C" w14:textId="4D22E640" w:rsidR="00F00631" w:rsidRDefault="00160581" w:rsidP="00160581">
      <w:pPr>
        <w:spacing w:line="480" w:lineRule="auto"/>
        <w:jc w:val="center"/>
        <w:rPr>
          <w:rFonts w:cs="Arial"/>
          <w:szCs w:val="24"/>
          <w:lang w:val="es-MX"/>
        </w:rPr>
      </w:pPr>
      <w:r>
        <w:rPr>
          <w:rFonts w:cs="Arial"/>
          <w:szCs w:val="24"/>
          <w:lang w:val="es-MX"/>
        </w:rPr>
        <w:lastRenderedPageBreak/>
        <w:t>CONTENIDO</w:t>
      </w:r>
    </w:p>
    <w:p w14:paraId="67712352" w14:textId="20AB5314" w:rsidR="00F00631" w:rsidRDefault="00160581" w:rsidP="00160581">
      <w:pPr>
        <w:spacing w:line="480" w:lineRule="auto"/>
        <w:jc w:val="right"/>
        <w:rPr>
          <w:rFonts w:cs="Arial"/>
          <w:szCs w:val="24"/>
          <w:lang w:val="es-MX"/>
        </w:rPr>
      </w:pPr>
      <w:r>
        <w:rPr>
          <w:rFonts w:cs="Arial"/>
          <w:szCs w:val="24"/>
          <w:lang w:val="es-MX"/>
        </w:rPr>
        <w:t>pág.</w:t>
      </w:r>
    </w:p>
    <w:p w14:paraId="724E64F0" w14:textId="24224155" w:rsidR="00FC4070" w:rsidRDefault="00592EE9">
      <w:pPr>
        <w:pStyle w:val="TDC1"/>
        <w:tabs>
          <w:tab w:val="right" w:pos="9395"/>
        </w:tabs>
        <w:rPr>
          <w:rFonts w:asciiTheme="minorHAnsi" w:eastAsiaTheme="minorEastAsia" w:hAnsiTheme="minorHAnsi"/>
          <w:noProof/>
          <w:kern w:val="2"/>
          <w:szCs w:val="24"/>
          <w:lang w:eastAsia="es-CO"/>
          <w14:ligatures w14:val="standardContextual"/>
        </w:rPr>
      </w:pPr>
      <w:r>
        <w:rPr>
          <w:rFonts w:cs="Arial"/>
          <w:szCs w:val="24"/>
          <w:lang w:val="es-MX"/>
        </w:rPr>
        <w:fldChar w:fldCharType="begin"/>
      </w:r>
      <w:r>
        <w:rPr>
          <w:rFonts w:cs="Arial"/>
          <w:szCs w:val="24"/>
          <w:lang w:val="es-MX"/>
        </w:rPr>
        <w:instrText xml:space="preserve"> TOC \o "1-4" \h \z \u </w:instrText>
      </w:r>
      <w:r>
        <w:rPr>
          <w:rFonts w:cs="Arial"/>
          <w:szCs w:val="24"/>
          <w:lang w:val="es-MX"/>
        </w:rPr>
        <w:fldChar w:fldCharType="separate"/>
      </w:r>
      <w:hyperlink w:anchor="_Toc231741401" w:history="1">
        <w:r w:rsidR="00FC4070" w:rsidRPr="00BD1643">
          <w:rPr>
            <w:rStyle w:val="Hipervnculo"/>
            <w:noProof/>
            <w:lang w:val="es-MX"/>
          </w:rPr>
          <w:t>GLOSARIO</w:t>
        </w:r>
        <w:r w:rsidR="00FC4070">
          <w:rPr>
            <w:noProof/>
            <w:webHidden/>
          </w:rPr>
          <w:tab/>
        </w:r>
        <w:r w:rsidR="00FC4070">
          <w:rPr>
            <w:noProof/>
            <w:webHidden/>
          </w:rPr>
          <w:fldChar w:fldCharType="begin"/>
        </w:r>
        <w:r w:rsidR="00FC4070">
          <w:rPr>
            <w:noProof/>
            <w:webHidden/>
          </w:rPr>
          <w:instrText xml:space="preserve"> PAGEREF _Toc231741401 \h </w:instrText>
        </w:r>
        <w:r w:rsidR="00FC4070">
          <w:rPr>
            <w:noProof/>
            <w:webHidden/>
          </w:rPr>
        </w:r>
        <w:r w:rsidR="00FC4070">
          <w:rPr>
            <w:noProof/>
            <w:webHidden/>
          </w:rPr>
          <w:fldChar w:fldCharType="separate"/>
        </w:r>
        <w:r w:rsidR="00FC4070">
          <w:rPr>
            <w:noProof/>
            <w:webHidden/>
          </w:rPr>
          <w:t>10</w:t>
        </w:r>
        <w:r w:rsidR="00FC4070">
          <w:rPr>
            <w:noProof/>
            <w:webHidden/>
          </w:rPr>
          <w:fldChar w:fldCharType="end"/>
        </w:r>
      </w:hyperlink>
    </w:p>
    <w:p w14:paraId="4483459F" w14:textId="66426AF8" w:rsidR="00FC4070" w:rsidRDefault="00FC4070">
      <w:pPr>
        <w:pStyle w:val="TDC1"/>
        <w:tabs>
          <w:tab w:val="right" w:pos="9395"/>
        </w:tabs>
        <w:rPr>
          <w:rFonts w:asciiTheme="minorHAnsi" w:eastAsiaTheme="minorEastAsia" w:hAnsiTheme="minorHAnsi"/>
          <w:noProof/>
          <w:kern w:val="2"/>
          <w:szCs w:val="24"/>
          <w:lang w:eastAsia="es-CO"/>
          <w14:ligatures w14:val="standardContextual"/>
        </w:rPr>
      </w:pPr>
      <w:hyperlink w:anchor="_Toc231741402" w:history="1">
        <w:r w:rsidRPr="00BD1643">
          <w:rPr>
            <w:rStyle w:val="Hipervnculo"/>
            <w:noProof/>
            <w:lang w:val="es-MX"/>
          </w:rPr>
          <w:t>INTRODUCCIÓN</w:t>
        </w:r>
        <w:r>
          <w:rPr>
            <w:noProof/>
            <w:webHidden/>
          </w:rPr>
          <w:tab/>
        </w:r>
        <w:r>
          <w:rPr>
            <w:noProof/>
            <w:webHidden/>
          </w:rPr>
          <w:fldChar w:fldCharType="begin"/>
        </w:r>
        <w:r>
          <w:rPr>
            <w:noProof/>
            <w:webHidden/>
          </w:rPr>
          <w:instrText xml:space="preserve"> PAGEREF _Toc231741402 \h </w:instrText>
        </w:r>
        <w:r>
          <w:rPr>
            <w:noProof/>
            <w:webHidden/>
          </w:rPr>
        </w:r>
        <w:r>
          <w:rPr>
            <w:noProof/>
            <w:webHidden/>
          </w:rPr>
          <w:fldChar w:fldCharType="separate"/>
        </w:r>
        <w:r>
          <w:rPr>
            <w:noProof/>
            <w:webHidden/>
          </w:rPr>
          <w:t>15</w:t>
        </w:r>
        <w:r>
          <w:rPr>
            <w:noProof/>
            <w:webHidden/>
          </w:rPr>
          <w:fldChar w:fldCharType="end"/>
        </w:r>
      </w:hyperlink>
    </w:p>
    <w:p w14:paraId="7B12B71B" w14:textId="5314FDE6" w:rsidR="00FC4070" w:rsidRDefault="00FC4070">
      <w:pPr>
        <w:pStyle w:val="TDC1"/>
        <w:tabs>
          <w:tab w:val="right" w:pos="9395"/>
        </w:tabs>
        <w:rPr>
          <w:rFonts w:asciiTheme="minorHAnsi" w:eastAsiaTheme="minorEastAsia" w:hAnsiTheme="minorHAnsi"/>
          <w:noProof/>
          <w:kern w:val="2"/>
          <w:szCs w:val="24"/>
          <w:lang w:eastAsia="es-CO"/>
          <w14:ligatures w14:val="standardContextual"/>
        </w:rPr>
      </w:pPr>
      <w:hyperlink w:anchor="_Toc231741403" w:history="1">
        <w:r w:rsidRPr="00BD1643">
          <w:rPr>
            <w:rStyle w:val="Hipervnculo"/>
            <w:noProof/>
            <w:lang w:val="es-MX"/>
          </w:rPr>
          <w:t>CAPÍTULO I</w:t>
        </w:r>
        <w:r>
          <w:rPr>
            <w:noProof/>
            <w:webHidden/>
          </w:rPr>
          <w:tab/>
        </w:r>
        <w:r>
          <w:rPr>
            <w:noProof/>
            <w:webHidden/>
          </w:rPr>
          <w:fldChar w:fldCharType="begin"/>
        </w:r>
        <w:r>
          <w:rPr>
            <w:noProof/>
            <w:webHidden/>
          </w:rPr>
          <w:instrText xml:space="preserve"> PAGEREF _Toc231741403 \h </w:instrText>
        </w:r>
        <w:r>
          <w:rPr>
            <w:noProof/>
            <w:webHidden/>
          </w:rPr>
        </w:r>
        <w:r>
          <w:rPr>
            <w:noProof/>
            <w:webHidden/>
          </w:rPr>
          <w:fldChar w:fldCharType="separate"/>
        </w:r>
        <w:r>
          <w:rPr>
            <w:noProof/>
            <w:webHidden/>
          </w:rPr>
          <w:t>17</w:t>
        </w:r>
        <w:r>
          <w:rPr>
            <w:noProof/>
            <w:webHidden/>
          </w:rPr>
          <w:fldChar w:fldCharType="end"/>
        </w:r>
      </w:hyperlink>
    </w:p>
    <w:p w14:paraId="1807788D" w14:textId="7EDDE320" w:rsidR="00FC4070" w:rsidRDefault="00FC4070">
      <w:pPr>
        <w:pStyle w:val="TDC1"/>
        <w:tabs>
          <w:tab w:val="left" w:pos="480"/>
          <w:tab w:val="right" w:pos="9395"/>
        </w:tabs>
        <w:rPr>
          <w:rFonts w:asciiTheme="minorHAnsi" w:eastAsiaTheme="minorEastAsia" w:hAnsiTheme="minorHAnsi"/>
          <w:noProof/>
          <w:kern w:val="2"/>
          <w:szCs w:val="24"/>
          <w:lang w:eastAsia="es-CO"/>
          <w14:ligatures w14:val="standardContextual"/>
        </w:rPr>
      </w:pPr>
      <w:hyperlink w:anchor="_Toc231741404" w:history="1">
        <w:r w:rsidRPr="00BD1643">
          <w:rPr>
            <w:rStyle w:val="Hipervnculo"/>
            <w:noProof/>
            <w:lang w:val="es-MX"/>
          </w:rPr>
          <w:t>1.</w:t>
        </w:r>
        <w:r>
          <w:rPr>
            <w:rFonts w:asciiTheme="minorHAnsi" w:eastAsiaTheme="minorEastAsia" w:hAnsiTheme="minorHAnsi"/>
            <w:noProof/>
            <w:kern w:val="2"/>
            <w:szCs w:val="24"/>
            <w:lang w:eastAsia="es-CO"/>
            <w14:ligatures w14:val="standardContextual"/>
          </w:rPr>
          <w:tab/>
        </w:r>
        <w:r w:rsidRPr="00BD1643">
          <w:rPr>
            <w:rStyle w:val="Hipervnculo"/>
            <w:noProof/>
            <w:lang w:val="es-MX"/>
          </w:rPr>
          <w:t>ASPECTOS BÁSICOS DE LA EMPRESA</w:t>
        </w:r>
        <w:r>
          <w:rPr>
            <w:noProof/>
            <w:webHidden/>
          </w:rPr>
          <w:tab/>
        </w:r>
        <w:r>
          <w:rPr>
            <w:noProof/>
            <w:webHidden/>
          </w:rPr>
          <w:fldChar w:fldCharType="begin"/>
        </w:r>
        <w:r>
          <w:rPr>
            <w:noProof/>
            <w:webHidden/>
          </w:rPr>
          <w:instrText xml:space="preserve"> PAGEREF _Toc231741404 \h </w:instrText>
        </w:r>
        <w:r>
          <w:rPr>
            <w:noProof/>
            <w:webHidden/>
          </w:rPr>
        </w:r>
        <w:r>
          <w:rPr>
            <w:noProof/>
            <w:webHidden/>
          </w:rPr>
          <w:fldChar w:fldCharType="separate"/>
        </w:r>
        <w:r>
          <w:rPr>
            <w:noProof/>
            <w:webHidden/>
          </w:rPr>
          <w:t>17</w:t>
        </w:r>
        <w:r>
          <w:rPr>
            <w:noProof/>
            <w:webHidden/>
          </w:rPr>
          <w:fldChar w:fldCharType="end"/>
        </w:r>
      </w:hyperlink>
    </w:p>
    <w:p w14:paraId="71A888DE" w14:textId="60511CCA" w:rsidR="00FC4070" w:rsidRDefault="00FC4070">
      <w:pPr>
        <w:pStyle w:val="TDC2"/>
        <w:tabs>
          <w:tab w:val="right" w:pos="9395"/>
        </w:tabs>
        <w:rPr>
          <w:rFonts w:asciiTheme="minorHAnsi" w:eastAsiaTheme="minorEastAsia" w:hAnsiTheme="minorHAnsi"/>
          <w:noProof/>
          <w:kern w:val="2"/>
          <w:szCs w:val="24"/>
          <w:lang w:eastAsia="es-CO"/>
          <w14:ligatures w14:val="standardContextual"/>
        </w:rPr>
      </w:pPr>
      <w:hyperlink w:anchor="_Toc231741405" w:history="1">
        <w:r w:rsidRPr="00BD1643">
          <w:rPr>
            <w:rStyle w:val="Hipervnculo"/>
            <w:noProof/>
          </w:rPr>
          <w:t>1.1.  ACTIVIDAD ECONÓMICA QUE DESARROLLA LA EMPRESA</w:t>
        </w:r>
        <w:r>
          <w:rPr>
            <w:noProof/>
            <w:webHidden/>
          </w:rPr>
          <w:tab/>
        </w:r>
        <w:r>
          <w:rPr>
            <w:noProof/>
            <w:webHidden/>
          </w:rPr>
          <w:fldChar w:fldCharType="begin"/>
        </w:r>
        <w:r>
          <w:rPr>
            <w:noProof/>
            <w:webHidden/>
          </w:rPr>
          <w:instrText xml:space="preserve"> PAGEREF _Toc231741405 \h </w:instrText>
        </w:r>
        <w:r>
          <w:rPr>
            <w:noProof/>
            <w:webHidden/>
          </w:rPr>
        </w:r>
        <w:r>
          <w:rPr>
            <w:noProof/>
            <w:webHidden/>
          </w:rPr>
          <w:fldChar w:fldCharType="separate"/>
        </w:r>
        <w:r>
          <w:rPr>
            <w:noProof/>
            <w:webHidden/>
          </w:rPr>
          <w:t>17</w:t>
        </w:r>
        <w:r>
          <w:rPr>
            <w:noProof/>
            <w:webHidden/>
          </w:rPr>
          <w:fldChar w:fldCharType="end"/>
        </w:r>
      </w:hyperlink>
    </w:p>
    <w:p w14:paraId="6997B012" w14:textId="49BC8CF3" w:rsidR="00FC4070" w:rsidRDefault="00FC4070">
      <w:pPr>
        <w:pStyle w:val="TDC2"/>
        <w:tabs>
          <w:tab w:val="right" w:pos="9395"/>
        </w:tabs>
        <w:rPr>
          <w:rFonts w:asciiTheme="minorHAnsi" w:eastAsiaTheme="minorEastAsia" w:hAnsiTheme="minorHAnsi"/>
          <w:noProof/>
          <w:kern w:val="2"/>
          <w:szCs w:val="24"/>
          <w:lang w:eastAsia="es-CO"/>
          <w14:ligatures w14:val="standardContextual"/>
        </w:rPr>
      </w:pPr>
      <w:hyperlink w:anchor="_Toc231741406" w:history="1">
        <w:r w:rsidRPr="00BD1643">
          <w:rPr>
            <w:rStyle w:val="Hipervnculo"/>
            <w:noProof/>
          </w:rPr>
          <w:t>1.2.  MISIÓN</w:t>
        </w:r>
        <w:r>
          <w:rPr>
            <w:noProof/>
            <w:webHidden/>
          </w:rPr>
          <w:tab/>
        </w:r>
        <w:r>
          <w:rPr>
            <w:noProof/>
            <w:webHidden/>
          </w:rPr>
          <w:fldChar w:fldCharType="begin"/>
        </w:r>
        <w:r>
          <w:rPr>
            <w:noProof/>
            <w:webHidden/>
          </w:rPr>
          <w:instrText xml:space="preserve"> PAGEREF _Toc231741406 \h </w:instrText>
        </w:r>
        <w:r>
          <w:rPr>
            <w:noProof/>
            <w:webHidden/>
          </w:rPr>
        </w:r>
        <w:r>
          <w:rPr>
            <w:noProof/>
            <w:webHidden/>
          </w:rPr>
          <w:fldChar w:fldCharType="separate"/>
        </w:r>
        <w:r>
          <w:rPr>
            <w:noProof/>
            <w:webHidden/>
          </w:rPr>
          <w:t>19</w:t>
        </w:r>
        <w:r>
          <w:rPr>
            <w:noProof/>
            <w:webHidden/>
          </w:rPr>
          <w:fldChar w:fldCharType="end"/>
        </w:r>
      </w:hyperlink>
    </w:p>
    <w:p w14:paraId="7B4A9374" w14:textId="5AE4B481" w:rsidR="00FC4070" w:rsidRDefault="00FC4070">
      <w:pPr>
        <w:pStyle w:val="TDC2"/>
        <w:tabs>
          <w:tab w:val="right" w:pos="9395"/>
        </w:tabs>
        <w:rPr>
          <w:rFonts w:asciiTheme="minorHAnsi" w:eastAsiaTheme="minorEastAsia" w:hAnsiTheme="minorHAnsi"/>
          <w:noProof/>
          <w:kern w:val="2"/>
          <w:szCs w:val="24"/>
          <w:lang w:eastAsia="es-CO"/>
          <w14:ligatures w14:val="standardContextual"/>
        </w:rPr>
      </w:pPr>
      <w:hyperlink w:anchor="_Toc231741407" w:history="1">
        <w:r w:rsidRPr="00BD1643">
          <w:rPr>
            <w:rStyle w:val="Hipervnculo"/>
            <w:noProof/>
          </w:rPr>
          <w:t>1.3.  VISIÓN</w:t>
        </w:r>
        <w:r>
          <w:rPr>
            <w:noProof/>
            <w:webHidden/>
          </w:rPr>
          <w:tab/>
        </w:r>
        <w:r>
          <w:rPr>
            <w:noProof/>
            <w:webHidden/>
          </w:rPr>
          <w:fldChar w:fldCharType="begin"/>
        </w:r>
        <w:r>
          <w:rPr>
            <w:noProof/>
            <w:webHidden/>
          </w:rPr>
          <w:instrText xml:space="preserve"> PAGEREF _Toc231741407 \h </w:instrText>
        </w:r>
        <w:r>
          <w:rPr>
            <w:noProof/>
            <w:webHidden/>
          </w:rPr>
        </w:r>
        <w:r>
          <w:rPr>
            <w:noProof/>
            <w:webHidden/>
          </w:rPr>
          <w:fldChar w:fldCharType="separate"/>
        </w:r>
        <w:r>
          <w:rPr>
            <w:noProof/>
            <w:webHidden/>
          </w:rPr>
          <w:t>20</w:t>
        </w:r>
        <w:r>
          <w:rPr>
            <w:noProof/>
            <w:webHidden/>
          </w:rPr>
          <w:fldChar w:fldCharType="end"/>
        </w:r>
      </w:hyperlink>
    </w:p>
    <w:p w14:paraId="7707BF13" w14:textId="43074830" w:rsidR="00FC4070" w:rsidRDefault="00FC4070">
      <w:pPr>
        <w:pStyle w:val="TDC2"/>
        <w:tabs>
          <w:tab w:val="right" w:pos="9395"/>
        </w:tabs>
        <w:rPr>
          <w:rFonts w:asciiTheme="minorHAnsi" w:eastAsiaTheme="minorEastAsia" w:hAnsiTheme="minorHAnsi"/>
          <w:noProof/>
          <w:kern w:val="2"/>
          <w:szCs w:val="24"/>
          <w:lang w:eastAsia="es-CO"/>
          <w14:ligatures w14:val="standardContextual"/>
        </w:rPr>
      </w:pPr>
      <w:hyperlink w:anchor="_Toc231741408" w:history="1">
        <w:r w:rsidRPr="00BD1643">
          <w:rPr>
            <w:rStyle w:val="Hipervnculo"/>
            <w:noProof/>
          </w:rPr>
          <w:t>1.4.  POLÍTICAS</w:t>
        </w:r>
        <w:r>
          <w:rPr>
            <w:noProof/>
            <w:webHidden/>
          </w:rPr>
          <w:tab/>
        </w:r>
        <w:r>
          <w:rPr>
            <w:noProof/>
            <w:webHidden/>
          </w:rPr>
          <w:fldChar w:fldCharType="begin"/>
        </w:r>
        <w:r>
          <w:rPr>
            <w:noProof/>
            <w:webHidden/>
          </w:rPr>
          <w:instrText xml:space="preserve"> PAGEREF _Toc231741408 \h </w:instrText>
        </w:r>
        <w:r>
          <w:rPr>
            <w:noProof/>
            <w:webHidden/>
          </w:rPr>
        </w:r>
        <w:r>
          <w:rPr>
            <w:noProof/>
            <w:webHidden/>
          </w:rPr>
          <w:fldChar w:fldCharType="separate"/>
        </w:r>
        <w:r>
          <w:rPr>
            <w:noProof/>
            <w:webHidden/>
          </w:rPr>
          <w:t>20</w:t>
        </w:r>
        <w:r>
          <w:rPr>
            <w:noProof/>
            <w:webHidden/>
          </w:rPr>
          <w:fldChar w:fldCharType="end"/>
        </w:r>
      </w:hyperlink>
    </w:p>
    <w:p w14:paraId="7F3A3881" w14:textId="223A6F7A" w:rsidR="00FC4070" w:rsidRDefault="00FC4070">
      <w:pPr>
        <w:pStyle w:val="TDC2"/>
        <w:tabs>
          <w:tab w:val="right" w:pos="9395"/>
        </w:tabs>
        <w:rPr>
          <w:rFonts w:asciiTheme="minorHAnsi" w:eastAsiaTheme="minorEastAsia" w:hAnsiTheme="minorHAnsi"/>
          <w:noProof/>
          <w:kern w:val="2"/>
          <w:szCs w:val="24"/>
          <w:lang w:eastAsia="es-CO"/>
          <w14:ligatures w14:val="standardContextual"/>
        </w:rPr>
      </w:pPr>
      <w:hyperlink w:anchor="_Toc231741409" w:history="1">
        <w:r w:rsidRPr="00BD1643">
          <w:rPr>
            <w:rStyle w:val="Hipervnculo"/>
            <w:noProof/>
          </w:rPr>
          <w:t>1.5.  VALORES</w:t>
        </w:r>
        <w:r>
          <w:rPr>
            <w:noProof/>
            <w:webHidden/>
          </w:rPr>
          <w:tab/>
        </w:r>
        <w:r>
          <w:rPr>
            <w:noProof/>
            <w:webHidden/>
          </w:rPr>
          <w:fldChar w:fldCharType="begin"/>
        </w:r>
        <w:r>
          <w:rPr>
            <w:noProof/>
            <w:webHidden/>
          </w:rPr>
          <w:instrText xml:space="preserve"> PAGEREF _Toc231741409 \h </w:instrText>
        </w:r>
        <w:r>
          <w:rPr>
            <w:noProof/>
            <w:webHidden/>
          </w:rPr>
        </w:r>
        <w:r>
          <w:rPr>
            <w:noProof/>
            <w:webHidden/>
          </w:rPr>
          <w:fldChar w:fldCharType="separate"/>
        </w:r>
        <w:r>
          <w:rPr>
            <w:noProof/>
            <w:webHidden/>
          </w:rPr>
          <w:t>21</w:t>
        </w:r>
        <w:r>
          <w:rPr>
            <w:noProof/>
            <w:webHidden/>
          </w:rPr>
          <w:fldChar w:fldCharType="end"/>
        </w:r>
      </w:hyperlink>
    </w:p>
    <w:p w14:paraId="7796AFC3" w14:textId="67FDA62E"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10" w:history="1">
        <w:r w:rsidRPr="00BD1643">
          <w:rPr>
            <w:rStyle w:val="Hipervnculo"/>
            <w:noProof/>
          </w:rPr>
          <w:t>1.5.1 Honestidad.</w:t>
        </w:r>
        <w:r>
          <w:rPr>
            <w:noProof/>
            <w:webHidden/>
          </w:rPr>
          <w:tab/>
        </w:r>
        <w:r>
          <w:rPr>
            <w:noProof/>
            <w:webHidden/>
          </w:rPr>
          <w:fldChar w:fldCharType="begin"/>
        </w:r>
        <w:r>
          <w:rPr>
            <w:noProof/>
            <w:webHidden/>
          </w:rPr>
          <w:instrText xml:space="preserve"> PAGEREF _Toc231741410 \h </w:instrText>
        </w:r>
        <w:r>
          <w:rPr>
            <w:noProof/>
            <w:webHidden/>
          </w:rPr>
        </w:r>
        <w:r>
          <w:rPr>
            <w:noProof/>
            <w:webHidden/>
          </w:rPr>
          <w:fldChar w:fldCharType="separate"/>
        </w:r>
        <w:r>
          <w:rPr>
            <w:noProof/>
            <w:webHidden/>
          </w:rPr>
          <w:t>21</w:t>
        </w:r>
        <w:r>
          <w:rPr>
            <w:noProof/>
            <w:webHidden/>
          </w:rPr>
          <w:fldChar w:fldCharType="end"/>
        </w:r>
      </w:hyperlink>
    </w:p>
    <w:p w14:paraId="6AE1B244" w14:textId="23F2267E"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11" w:history="1">
        <w:r w:rsidRPr="00BD1643">
          <w:rPr>
            <w:rStyle w:val="Hipervnculo"/>
            <w:noProof/>
          </w:rPr>
          <w:t xml:space="preserve">1.5.2 </w:t>
        </w:r>
        <w:r w:rsidRPr="00BD1643">
          <w:rPr>
            <w:rStyle w:val="Hipervnculo"/>
            <w:noProof/>
            <w:lang w:val="es-MX"/>
          </w:rPr>
          <w:t>Respeto</w:t>
        </w:r>
        <w:r w:rsidRPr="00BD1643">
          <w:rPr>
            <w:rStyle w:val="Hipervnculo"/>
            <w:noProof/>
          </w:rPr>
          <w:t>.</w:t>
        </w:r>
        <w:r>
          <w:rPr>
            <w:noProof/>
            <w:webHidden/>
          </w:rPr>
          <w:tab/>
        </w:r>
        <w:r>
          <w:rPr>
            <w:noProof/>
            <w:webHidden/>
          </w:rPr>
          <w:fldChar w:fldCharType="begin"/>
        </w:r>
        <w:r>
          <w:rPr>
            <w:noProof/>
            <w:webHidden/>
          </w:rPr>
          <w:instrText xml:space="preserve"> PAGEREF _Toc231741411 \h </w:instrText>
        </w:r>
        <w:r>
          <w:rPr>
            <w:noProof/>
            <w:webHidden/>
          </w:rPr>
        </w:r>
        <w:r>
          <w:rPr>
            <w:noProof/>
            <w:webHidden/>
          </w:rPr>
          <w:fldChar w:fldCharType="separate"/>
        </w:r>
        <w:r>
          <w:rPr>
            <w:noProof/>
            <w:webHidden/>
          </w:rPr>
          <w:t>21</w:t>
        </w:r>
        <w:r>
          <w:rPr>
            <w:noProof/>
            <w:webHidden/>
          </w:rPr>
          <w:fldChar w:fldCharType="end"/>
        </w:r>
      </w:hyperlink>
    </w:p>
    <w:p w14:paraId="6F80C03A" w14:textId="7EE3FF88"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12" w:history="1">
        <w:r w:rsidRPr="00BD1643">
          <w:rPr>
            <w:rStyle w:val="Hipervnculo"/>
            <w:noProof/>
          </w:rPr>
          <w:t xml:space="preserve">1.5.3 </w:t>
        </w:r>
        <w:r w:rsidRPr="00BD1643">
          <w:rPr>
            <w:rStyle w:val="Hipervnculo"/>
            <w:noProof/>
            <w:lang w:val="es-MX"/>
          </w:rPr>
          <w:t>Compromiso</w:t>
        </w:r>
        <w:r w:rsidRPr="00BD1643">
          <w:rPr>
            <w:rStyle w:val="Hipervnculo"/>
            <w:noProof/>
          </w:rPr>
          <w:t>.</w:t>
        </w:r>
        <w:r>
          <w:rPr>
            <w:noProof/>
            <w:webHidden/>
          </w:rPr>
          <w:tab/>
        </w:r>
        <w:r>
          <w:rPr>
            <w:noProof/>
            <w:webHidden/>
          </w:rPr>
          <w:fldChar w:fldCharType="begin"/>
        </w:r>
        <w:r>
          <w:rPr>
            <w:noProof/>
            <w:webHidden/>
          </w:rPr>
          <w:instrText xml:space="preserve"> PAGEREF _Toc231741412 \h </w:instrText>
        </w:r>
        <w:r>
          <w:rPr>
            <w:noProof/>
            <w:webHidden/>
          </w:rPr>
        </w:r>
        <w:r>
          <w:rPr>
            <w:noProof/>
            <w:webHidden/>
          </w:rPr>
          <w:fldChar w:fldCharType="separate"/>
        </w:r>
        <w:r>
          <w:rPr>
            <w:noProof/>
            <w:webHidden/>
          </w:rPr>
          <w:t>21</w:t>
        </w:r>
        <w:r>
          <w:rPr>
            <w:noProof/>
            <w:webHidden/>
          </w:rPr>
          <w:fldChar w:fldCharType="end"/>
        </w:r>
      </w:hyperlink>
    </w:p>
    <w:p w14:paraId="395B7612" w14:textId="1E051C76"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13" w:history="1">
        <w:r w:rsidRPr="00BD1643">
          <w:rPr>
            <w:rStyle w:val="Hipervnculo"/>
            <w:noProof/>
          </w:rPr>
          <w:t xml:space="preserve">1.5.4 </w:t>
        </w:r>
        <w:r w:rsidRPr="00BD1643">
          <w:rPr>
            <w:rStyle w:val="Hipervnculo"/>
            <w:noProof/>
            <w:lang w:val="es-MX"/>
          </w:rPr>
          <w:t>Diligencia</w:t>
        </w:r>
        <w:r w:rsidRPr="00BD1643">
          <w:rPr>
            <w:rStyle w:val="Hipervnculo"/>
            <w:noProof/>
          </w:rPr>
          <w:t>.</w:t>
        </w:r>
        <w:r>
          <w:rPr>
            <w:noProof/>
            <w:webHidden/>
          </w:rPr>
          <w:tab/>
        </w:r>
        <w:r>
          <w:rPr>
            <w:noProof/>
            <w:webHidden/>
          </w:rPr>
          <w:fldChar w:fldCharType="begin"/>
        </w:r>
        <w:r>
          <w:rPr>
            <w:noProof/>
            <w:webHidden/>
          </w:rPr>
          <w:instrText xml:space="preserve"> PAGEREF _Toc231741413 \h </w:instrText>
        </w:r>
        <w:r>
          <w:rPr>
            <w:noProof/>
            <w:webHidden/>
          </w:rPr>
        </w:r>
        <w:r>
          <w:rPr>
            <w:noProof/>
            <w:webHidden/>
          </w:rPr>
          <w:fldChar w:fldCharType="separate"/>
        </w:r>
        <w:r>
          <w:rPr>
            <w:noProof/>
            <w:webHidden/>
          </w:rPr>
          <w:t>22</w:t>
        </w:r>
        <w:r>
          <w:rPr>
            <w:noProof/>
            <w:webHidden/>
          </w:rPr>
          <w:fldChar w:fldCharType="end"/>
        </w:r>
      </w:hyperlink>
    </w:p>
    <w:p w14:paraId="04CD53E7" w14:textId="356C9FFA"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14" w:history="1">
        <w:r w:rsidRPr="00BD1643">
          <w:rPr>
            <w:rStyle w:val="Hipervnculo"/>
            <w:noProof/>
          </w:rPr>
          <w:t xml:space="preserve">1.5.5 </w:t>
        </w:r>
        <w:r w:rsidRPr="00BD1643">
          <w:rPr>
            <w:rStyle w:val="Hipervnculo"/>
            <w:noProof/>
            <w:lang w:val="es-MX"/>
          </w:rPr>
          <w:t>Justicia</w:t>
        </w:r>
        <w:r w:rsidRPr="00BD1643">
          <w:rPr>
            <w:rStyle w:val="Hipervnculo"/>
            <w:noProof/>
          </w:rPr>
          <w:t>.</w:t>
        </w:r>
        <w:r>
          <w:rPr>
            <w:noProof/>
            <w:webHidden/>
          </w:rPr>
          <w:tab/>
        </w:r>
        <w:r>
          <w:rPr>
            <w:noProof/>
            <w:webHidden/>
          </w:rPr>
          <w:fldChar w:fldCharType="begin"/>
        </w:r>
        <w:r>
          <w:rPr>
            <w:noProof/>
            <w:webHidden/>
          </w:rPr>
          <w:instrText xml:space="preserve"> PAGEREF _Toc231741414 \h </w:instrText>
        </w:r>
        <w:r>
          <w:rPr>
            <w:noProof/>
            <w:webHidden/>
          </w:rPr>
        </w:r>
        <w:r>
          <w:rPr>
            <w:noProof/>
            <w:webHidden/>
          </w:rPr>
          <w:fldChar w:fldCharType="separate"/>
        </w:r>
        <w:r>
          <w:rPr>
            <w:noProof/>
            <w:webHidden/>
          </w:rPr>
          <w:t>22</w:t>
        </w:r>
        <w:r>
          <w:rPr>
            <w:noProof/>
            <w:webHidden/>
          </w:rPr>
          <w:fldChar w:fldCharType="end"/>
        </w:r>
      </w:hyperlink>
    </w:p>
    <w:p w14:paraId="541883B5" w14:textId="351F186D" w:rsidR="00FC4070" w:rsidRDefault="00FC4070">
      <w:pPr>
        <w:pStyle w:val="TDC2"/>
        <w:tabs>
          <w:tab w:val="right" w:pos="9395"/>
        </w:tabs>
        <w:rPr>
          <w:rFonts w:asciiTheme="minorHAnsi" w:eastAsiaTheme="minorEastAsia" w:hAnsiTheme="minorHAnsi"/>
          <w:noProof/>
          <w:kern w:val="2"/>
          <w:szCs w:val="24"/>
          <w:lang w:eastAsia="es-CO"/>
          <w14:ligatures w14:val="standardContextual"/>
        </w:rPr>
      </w:pPr>
      <w:hyperlink w:anchor="_Toc231741415" w:history="1">
        <w:r w:rsidRPr="00BD1643">
          <w:rPr>
            <w:rStyle w:val="Hipervnculo"/>
            <w:noProof/>
          </w:rPr>
          <w:t>1.6.  ORGANIGRAMA</w:t>
        </w:r>
        <w:r>
          <w:rPr>
            <w:noProof/>
            <w:webHidden/>
          </w:rPr>
          <w:tab/>
        </w:r>
        <w:r>
          <w:rPr>
            <w:noProof/>
            <w:webHidden/>
          </w:rPr>
          <w:fldChar w:fldCharType="begin"/>
        </w:r>
        <w:r>
          <w:rPr>
            <w:noProof/>
            <w:webHidden/>
          </w:rPr>
          <w:instrText xml:space="preserve"> PAGEREF _Toc231741415 \h </w:instrText>
        </w:r>
        <w:r>
          <w:rPr>
            <w:noProof/>
            <w:webHidden/>
          </w:rPr>
        </w:r>
        <w:r>
          <w:rPr>
            <w:noProof/>
            <w:webHidden/>
          </w:rPr>
          <w:fldChar w:fldCharType="separate"/>
        </w:r>
        <w:r>
          <w:rPr>
            <w:noProof/>
            <w:webHidden/>
          </w:rPr>
          <w:t>23</w:t>
        </w:r>
        <w:r>
          <w:rPr>
            <w:noProof/>
            <w:webHidden/>
          </w:rPr>
          <w:fldChar w:fldCharType="end"/>
        </w:r>
      </w:hyperlink>
    </w:p>
    <w:p w14:paraId="4B8198D6" w14:textId="5ADF305A" w:rsidR="00FC4070" w:rsidRDefault="00FC4070">
      <w:pPr>
        <w:pStyle w:val="TDC2"/>
        <w:tabs>
          <w:tab w:val="right" w:pos="9395"/>
        </w:tabs>
        <w:rPr>
          <w:rFonts w:asciiTheme="minorHAnsi" w:eastAsiaTheme="minorEastAsia" w:hAnsiTheme="minorHAnsi"/>
          <w:noProof/>
          <w:kern w:val="2"/>
          <w:szCs w:val="24"/>
          <w:lang w:eastAsia="es-CO"/>
          <w14:ligatures w14:val="standardContextual"/>
        </w:rPr>
      </w:pPr>
      <w:hyperlink w:anchor="_Toc231741416" w:history="1">
        <w:r w:rsidRPr="00BD1643">
          <w:rPr>
            <w:rStyle w:val="Hipervnculo"/>
            <w:noProof/>
          </w:rPr>
          <w:t>1.7. ÁREA ESPECÍFICA DE LA PRÁCTICA</w:t>
        </w:r>
        <w:r>
          <w:rPr>
            <w:noProof/>
            <w:webHidden/>
          </w:rPr>
          <w:tab/>
        </w:r>
        <w:r>
          <w:rPr>
            <w:noProof/>
            <w:webHidden/>
          </w:rPr>
          <w:fldChar w:fldCharType="begin"/>
        </w:r>
        <w:r>
          <w:rPr>
            <w:noProof/>
            <w:webHidden/>
          </w:rPr>
          <w:instrText xml:space="preserve"> PAGEREF _Toc231741416 \h </w:instrText>
        </w:r>
        <w:r>
          <w:rPr>
            <w:noProof/>
            <w:webHidden/>
          </w:rPr>
        </w:r>
        <w:r>
          <w:rPr>
            <w:noProof/>
            <w:webHidden/>
          </w:rPr>
          <w:fldChar w:fldCharType="separate"/>
        </w:r>
        <w:r>
          <w:rPr>
            <w:noProof/>
            <w:webHidden/>
          </w:rPr>
          <w:t>24</w:t>
        </w:r>
        <w:r>
          <w:rPr>
            <w:noProof/>
            <w:webHidden/>
          </w:rPr>
          <w:fldChar w:fldCharType="end"/>
        </w:r>
      </w:hyperlink>
    </w:p>
    <w:p w14:paraId="45D11AAA" w14:textId="4CD29F8D" w:rsidR="00FC4070" w:rsidRDefault="00FC4070">
      <w:pPr>
        <w:pStyle w:val="TDC1"/>
        <w:tabs>
          <w:tab w:val="right" w:pos="9395"/>
        </w:tabs>
        <w:rPr>
          <w:rFonts w:asciiTheme="minorHAnsi" w:eastAsiaTheme="minorEastAsia" w:hAnsiTheme="minorHAnsi"/>
          <w:noProof/>
          <w:kern w:val="2"/>
          <w:szCs w:val="24"/>
          <w:lang w:eastAsia="es-CO"/>
          <w14:ligatures w14:val="standardContextual"/>
        </w:rPr>
      </w:pPr>
      <w:hyperlink w:anchor="_Toc231741417" w:history="1">
        <w:r w:rsidRPr="00BD1643">
          <w:rPr>
            <w:rStyle w:val="Hipervnculo"/>
            <w:noProof/>
            <w:lang w:val="es-MX"/>
          </w:rPr>
          <w:t>CAPÍTULO II</w:t>
        </w:r>
        <w:r>
          <w:rPr>
            <w:noProof/>
            <w:webHidden/>
          </w:rPr>
          <w:tab/>
        </w:r>
        <w:r>
          <w:rPr>
            <w:noProof/>
            <w:webHidden/>
          </w:rPr>
          <w:fldChar w:fldCharType="begin"/>
        </w:r>
        <w:r>
          <w:rPr>
            <w:noProof/>
            <w:webHidden/>
          </w:rPr>
          <w:instrText xml:space="preserve"> PAGEREF _Toc231741417 \h </w:instrText>
        </w:r>
        <w:r>
          <w:rPr>
            <w:noProof/>
            <w:webHidden/>
          </w:rPr>
        </w:r>
        <w:r>
          <w:rPr>
            <w:noProof/>
            <w:webHidden/>
          </w:rPr>
          <w:fldChar w:fldCharType="separate"/>
        </w:r>
        <w:r>
          <w:rPr>
            <w:noProof/>
            <w:webHidden/>
          </w:rPr>
          <w:t>25</w:t>
        </w:r>
        <w:r>
          <w:rPr>
            <w:noProof/>
            <w:webHidden/>
          </w:rPr>
          <w:fldChar w:fldCharType="end"/>
        </w:r>
      </w:hyperlink>
    </w:p>
    <w:p w14:paraId="01F8CC32" w14:textId="75EC40A4" w:rsidR="00FC4070" w:rsidRDefault="00FC4070">
      <w:pPr>
        <w:pStyle w:val="TDC1"/>
        <w:tabs>
          <w:tab w:val="right" w:pos="9395"/>
        </w:tabs>
        <w:rPr>
          <w:rFonts w:asciiTheme="minorHAnsi" w:eastAsiaTheme="minorEastAsia" w:hAnsiTheme="minorHAnsi"/>
          <w:noProof/>
          <w:kern w:val="2"/>
          <w:szCs w:val="24"/>
          <w:lang w:eastAsia="es-CO"/>
          <w14:ligatures w14:val="standardContextual"/>
        </w:rPr>
      </w:pPr>
      <w:hyperlink w:anchor="_Toc231741418" w:history="1">
        <w:r w:rsidRPr="00BD1643">
          <w:rPr>
            <w:rStyle w:val="Hipervnculo"/>
            <w:noProof/>
            <w:lang w:val="es-MX"/>
          </w:rPr>
          <w:t>2.  ACTIVIDADES ESPECÍFICAS DE LA PRÁCTICA PROFESIONAL</w:t>
        </w:r>
        <w:r>
          <w:rPr>
            <w:noProof/>
            <w:webHidden/>
          </w:rPr>
          <w:tab/>
        </w:r>
        <w:r>
          <w:rPr>
            <w:noProof/>
            <w:webHidden/>
          </w:rPr>
          <w:fldChar w:fldCharType="begin"/>
        </w:r>
        <w:r>
          <w:rPr>
            <w:noProof/>
            <w:webHidden/>
          </w:rPr>
          <w:instrText xml:space="preserve"> PAGEREF _Toc231741418 \h </w:instrText>
        </w:r>
        <w:r>
          <w:rPr>
            <w:noProof/>
            <w:webHidden/>
          </w:rPr>
        </w:r>
        <w:r>
          <w:rPr>
            <w:noProof/>
            <w:webHidden/>
          </w:rPr>
          <w:fldChar w:fldCharType="separate"/>
        </w:r>
        <w:r>
          <w:rPr>
            <w:noProof/>
            <w:webHidden/>
          </w:rPr>
          <w:t>25</w:t>
        </w:r>
        <w:r>
          <w:rPr>
            <w:noProof/>
            <w:webHidden/>
          </w:rPr>
          <w:fldChar w:fldCharType="end"/>
        </w:r>
      </w:hyperlink>
    </w:p>
    <w:p w14:paraId="40BE44E0" w14:textId="4D924F21" w:rsidR="00FC4070" w:rsidRDefault="00FC4070">
      <w:pPr>
        <w:pStyle w:val="TDC2"/>
        <w:tabs>
          <w:tab w:val="right" w:pos="9395"/>
        </w:tabs>
        <w:rPr>
          <w:rFonts w:asciiTheme="minorHAnsi" w:eastAsiaTheme="minorEastAsia" w:hAnsiTheme="minorHAnsi"/>
          <w:noProof/>
          <w:kern w:val="2"/>
          <w:szCs w:val="24"/>
          <w:lang w:eastAsia="es-CO"/>
          <w14:ligatures w14:val="standardContextual"/>
        </w:rPr>
      </w:pPr>
      <w:hyperlink w:anchor="_Toc231741419" w:history="1">
        <w:r w:rsidRPr="00BD1643">
          <w:rPr>
            <w:rStyle w:val="Hipervnculo"/>
            <w:noProof/>
          </w:rPr>
          <w:t>2.1. NOMBRE DEL TRABAJO</w:t>
        </w:r>
        <w:r>
          <w:rPr>
            <w:noProof/>
            <w:webHidden/>
          </w:rPr>
          <w:tab/>
        </w:r>
        <w:r>
          <w:rPr>
            <w:noProof/>
            <w:webHidden/>
          </w:rPr>
          <w:fldChar w:fldCharType="begin"/>
        </w:r>
        <w:r>
          <w:rPr>
            <w:noProof/>
            <w:webHidden/>
          </w:rPr>
          <w:instrText xml:space="preserve"> PAGEREF _Toc231741419 \h </w:instrText>
        </w:r>
        <w:r>
          <w:rPr>
            <w:noProof/>
            <w:webHidden/>
          </w:rPr>
        </w:r>
        <w:r>
          <w:rPr>
            <w:noProof/>
            <w:webHidden/>
          </w:rPr>
          <w:fldChar w:fldCharType="separate"/>
        </w:r>
        <w:r>
          <w:rPr>
            <w:noProof/>
            <w:webHidden/>
          </w:rPr>
          <w:t>25</w:t>
        </w:r>
        <w:r>
          <w:rPr>
            <w:noProof/>
            <w:webHidden/>
          </w:rPr>
          <w:fldChar w:fldCharType="end"/>
        </w:r>
      </w:hyperlink>
    </w:p>
    <w:p w14:paraId="5E650D62" w14:textId="72E6F1F3" w:rsidR="00FC4070" w:rsidRDefault="00FC4070">
      <w:pPr>
        <w:pStyle w:val="TDC2"/>
        <w:tabs>
          <w:tab w:val="right" w:pos="9395"/>
        </w:tabs>
        <w:rPr>
          <w:rFonts w:asciiTheme="minorHAnsi" w:eastAsiaTheme="minorEastAsia" w:hAnsiTheme="minorHAnsi"/>
          <w:noProof/>
          <w:kern w:val="2"/>
          <w:szCs w:val="24"/>
          <w:lang w:eastAsia="es-CO"/>
          <w14:ligatures w14:val="standardContextual"/>
        </w:rPr>
      </w:pPr>
      <w:hyperlink w:anchor="_Toc231741420" w:history="1">
        <w:r w:rsidRPr="00BD1643">
          <w:rPr>
            <w:rStyle w:val="Hipervnculo"/>
            <w:noProof/>
          </w:rPr>
          <w:t>2.2. DIAGNÓSTICO</w:t>
        </w:r>
        <w:r>
          <w:rPr>
            <w:noProof/>
            <w:webHidden/>
          </w:rPr>
          <w:tab/>
        </w:r>
        <w:r>
          <w:rPr>
            <w:noProof/>
            <w:webHidden/>
          </w:rPr>
          <w:fldChar w:fldCharType="begin"/>
        </w:r>
        <w:r>
          <w:rPr>
            <w:noProof/>
            <w:webHidden/>
          </w:rPr>
          <w:instrText xml:space="preserve"> PAGEREF _Toc231741420 \h </w:instrText>
        </w:r>
        <w:r>
          <w:rPr>
            <w:noProof/>
            <w:webHidden/>
          </w:rPr>
        </w:r>
        <w:r>
          <w:rPr>
            <w:noProof/>
            <w:webHidden/>
          </w:rPr>
          <w:fldChar w:fldCharType="separate"/>
        </w:r>
        <w:r>
          <w:rPr>
            <w:noProof/>
            <w:webHidden/>
          </w:rPr>
          <w:t>25</w:t>
        </w:r>
        <w:r>
          <w:rPr>
            <w:noProof/>
            <w:webHidden/>
          </w:rPr>
          <w:fldChar w:fldCharType="end"/>
        </w:r>
      </w:hyperlink>
    </w:p>
    <w:p w14:paraId="65BF486F" w14:textId="5879621C"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21" w:history="1">
        <w:r w:rsidRPr="00BD1643">
          <w:rPr>
            <w:rStyle w:val="Hipervnculo"/>
            <w:noProof/>
          </w:rPr>
          <w:t>2.2.1 F</w:t>
        </w:r>
        <w:r w:rsidRPr="00BD1643">
          <w:rPr>
            <w:rStyle w:val="Hipervnculo"/>
            <w:noProof/>
            <w:lang w:val="es-MX"/>
          </w:rPr>
          <w:t>uncionamiento administrativo</w:t>
        </w:r>
        <w:r>
          <w:rPr>
            <w:noProof/>
            <w:webHidden/>
          </w:rPr>
          <w:tab/>
        </w:r>
        <w:r>
          <w:rPr>
            <w:noProof/>
            <w:webHidden/>
          </w:rPr>
          <w:fldChar w:fldCharType="begin"/>
        </w:r>
        <w:r>
          <w:rPr>
            <w:noProof/>
            <w:webHidden/>
          </w:rPr>
          <w:instrText xml:space="preserve"> PAGEREF _Toc231741421 \h </w:instrText>
        </w:r>
        <w:r>
          <w:rPr>
            <w:noProof/>
            <w:webHidden/>
          </w:rPr>
        </w:r>
        <w:r>
          <w:rPr>
            <w:noProof/>
            <w:webHidden/>
          </w:rPr>
          <w:fldChar w:fldCharType="separate"/>
        </w:r>
        <w:r>
          <w:rPr>
            <w:noProof/>
            <w:webHidden/>
          </w:rPr>
          <w:t>25</w:t>
        </w:r>
        <w:r>
          <w:rPr>
            <w:noProof/>
            <w:webHidden/>
          </w:rPr>
          <w:fldChar w:fldCharType="end"/>
        </w:r>
      </w:hyperlink>
    </w:p>
    <w:p w14:paraId="764AB060" w14:textId="2A9A73AB"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22" w:history="1">
        <w:r w:rsidRPr="00BD1643">
          <w:rPr>
            <w:rStyle w:val="Hipervnculo"/>
            <w:noProof/>
          </w:rPr>
          <w:t>2.2.2 Actividades realizadas en el área.</w:t>
        </w:r>
        <w:r>
          <w:rPr>
            <w:noProof/>
            <w:webHidden/>
          </w:rPr>
          <w:tab/>
        </w:r>
        <w:r>
          <w:rPr>
            <w:noProof/>
            <w:webHidden/>
          </w:rPr>
          <w:fldChar w:fldCharType="begin"/>
        </w:r>
        <w:r>
          <w:rPr>
            <w:noProof/>
            <w:webHidden/>
          </w:rPr>
          <w:instrText xml:space="preserve"> PAGEREF _Toc231741422 \h </w:instrText>
        </w:r>
        <w:r>
          <w:rPr>
            <w:noProof/>
            <w:webHidden/>
          </w:rPr>
        </w:r>
        <w:r>
          <w:rPr>
            <w:noProof/>
            <w:webHidden/>
          </w:rPr>
          <w:fldChar w:fldCharType="separate"/>
        </w:r>
        <w:r>
          <w:rPr>
            <w:noProof/>
            <w:webHidden/>
          </w:rPr>
          <w:t>26</w:t>
        </w:r>
        <w:r>
          <w:rPr>
            <w:noProof/>
            <w:webHidden/>
          </w:rPr>
          <w:fldChar w:fldCharType="end"/>
        </w:r>
      </w:hyperlink>
    </w:p>
    <w:p w14:paraId="2A5D3BDA" w14:textId="73CEA03D"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23" w:history="1">
        <w:r w:rsidRPr="00BD1643">
          <w:rPr>
            <w:rStyle w:val="Hipervnculo"/>
            <w:noProof/>
          </w:rPr>
          <w:t>2.2.3 Coordinación de las actividades.</w:t>
        </w:r>
        <w:r>
          <w:rPr>
            <w:noProof/>
            <w:webHidden/>
          </w:rPr>
          <w:tab/>
        </w:r>
        <w:r>
          <w:rPr>
            <w:noProof/>
            <w:webHidden/>
          </w:rPr>
          <w:fldChar w:fldCharType="begin"/>
        </w:r>
        <w:r>
          <w:rPr>
            <w:noProof/>
            <w:webHidden/>
          </w:rPr>
          <w:instrText xml:space="preserve"> PAGEREF _Toc231741423 \h </w:instrText>
        </w:r>
        <w:r>
          <w:rPr>
            <w:noProof/>
            <w:webHidden/>
          </w:rPr>
        </w:r>
        <w:r>
          <w:rPr>
            <w:noProof/>
            <w:webHidden/>
          </w:rPr>
          <w:fldChar w:fldCharType="separate"/>
        </w:r>
        <w:r>
          <w:rPr>
            <w:noProof/>
            <w:webHidden/>
          </w:rPr>
          <w:t>26</w:t>
        </w:r>
        <w:r>
          <w:rPr>
            <w:noProof/>
            <w:webHidden/>
          </w:rPr>
          <w:fldChar w:fldCharType="end"/>
        </w:r>
      </w:hyperlink>
    </w:p>
    <w:p w14:paraId="55CDE01A" w14:textId="10AF1C85"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24" w:history="1">
        <w:r w:rsidRPr="00BD1643">
          <w:rPr>
            <w:rStyle w:val="Hipervnculo"/>
            <w:noProof/>
          </w:rPr>
          <w:t>2.2.4 Infraestructura.</w:t>
        </w:r>
        <w:r>
          <w:rPr>
            <w:noProof/>
            <w:webHidden/>
          </w:rPr>
          <w:tab/>
        </w:r>
        <w:r>
          <w:rPr>
            <w:noProof/>
            <w:webHidden/>
          </w:rPr>
          <w:fldChar w:fldCharType="begin"/>
        </w:r>
        <w:r>
          <w:rPr>
            <w:noProof/>
            <w:webHidden/>
          </w:rPr>
          <w:instrText xml:space="preserve"> PAGEREF _Toc231741424 \h </w:instrText>
        </w:r>
        <w:r>
          <w:rPr>
            <w:noProof/>
            <w:webHidden/>
          </w:rPr>
        </w:r>
        <w:r>
          <w:rPr>
            <w:noProof/>
            <w:webHidden/>
          </w:rPr>
          <w:fldChar w:fldCharType="separate"/>
        </w:r>
        <w:r>
          <w:rPr>
            <w:noProof/>
            <w:webHidden/>
          </w:rPr>
          <w:t>26</w:t>
        </w:r>
        <w:r>
          <w:rPr>
            <w:noProof/>
            <w:webHidden/>
          </w:rPr>
          <w:fldChar w:fldCharType="end"/>
        </w:r>
      </w:hyperlink>
    </w:p>
    <w:p w14:paraId="561B3157" w14:textId="11DB6485"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25" w:history="1">
        <w:r w:rsidRPr="00BD1643">
          <w:rPr>
            <w:rStyle w:val="Hipervnculo"/>
            <w:noProof/>
          </w:rPr>
          <w:t>2.2.5 Recursos tecnológicos.</w:t>
        </w:r>
        <w:r>
          <w:rPr>
            <w:noProof/>
            <w:webHidden/>
          </w:rPr>
          <w:tab/>
        </w:r>
        <w:r>
          <w:rPr>
            <w:noProof/>
            <w:webHidden/>
          </w:rPr>
          <w:fldChar w:fldCharType="begin"/>
        </w:r>
        <w:r>
          <w:rPr>
            <w:noProof/>
            <w:webHidden/>
          </w:rPr>
          <w:instrText xml:space="preserve"> PAGEREF _Toc231741425 \h </w:instrText>
        </w:r>
        <w:r>
          <w:rPr>
            <w:noProof/>
            <w:webHidden/>
          </w:rPr>
        </w:r>
        <w:r>
          <w:rPr>
            <w:noProof/>
            <w:webHidden/>
          </w:rPr>
          <w:fldChar w:fldCharType="separate"/>
        </w:r>
        <w:r>
          <w:rPr>
            <w:noProof/>
            <w:webHidden/>
          </w:rPr>
          <w:t>26</w:t>
        </w:r>
        <w:r>
          <w:rPr>
            <w:noProof/>
            <w:webHidden/>
          </w:rPr>
          <w:fldChar w:fldCharType="end"/>
        </w:r>
      </w:hyperlink>
    </w:p>
    <w:p w14:paraId="6C40C605" w14:textId="6643B276"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26" w:history="1">
        <w:r w:rsidRPr="00BD1643">
          <w:rPr>
            <w:rStyle w:val="Hipervnculo"/>
            <w:noProof/>
          </w:rPr>
          <w:t>2.2.6 Procesos.</w:t>
        </w:r>
        <w:r>
          <w:rPr>
            <w:noProof/>
            <w:webHidden/>
          </w:rPr>
          <w:tab/>
        </w:r>
        <w:r>
          <w:rPr>
            <w:noProof/>
            <w:webHidden/>
          </w:rPr>
          <w:fldChar w:fldCharType="begin"/>
        </w:r>
        <w:r>
          <w:rPr>
            <w:noProof/>
            <w:webHidden/>
          </w:rPr>
          <w:instrText xml:space="preserve"> PAGEREF _Toc231741426 \h </w:instrText>
        </w:r>
        <w:r>
          <w:rPr>
            <w:noProof/>
            <w:webHidden/>
          </w:rPr>
        </w:r>
        <w:r>
          <w:rPr>
            <w:noProof/>
            <w:webHidden/>
          </w:rPr>
          <w:fldChar w:fldCharType="separate"/>
        </w:r>
        <w:r>
          <w:rPr>
            <w:noProof/>
            <w:webHidden/>
          </w:rPr>
          <w:t>26</w:t>
        </w:r>
        <w:r>
          <w:rPr>
            <w:noProof/>
            <w:webHidden/>
          </w:rPr>
          <w:fldChar w:fldCharType="end"/>
        </w:r>
      </w:hyperlink>
    </w:p>
    <w:p w14:paraId="0BF9B1D8" w14:textId="14AC1124"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27" w:history="1">
        <w:r w:rsidRPr="00BD1643">
          <w:rPr>
            <w:rStyle w:val="Hipervnculo"/>
            <w:noProof/>
          </w:rPr>
          <w:t>2.2.7 Equipamiento.</w:t>
        </w:r>
        <w:r>
          <w:rPr>
            <w:noProof/>
            <w:webHidden/>
          </w:rPr>
          <w:tab/>
        </w:r>
        <w:r>
          <w:rPr>
            <w:noProof/>
            <w:webHidden/>
          </w:rPr>
          <w:fldChar w:fldCharType="begin"/>
        </w:r>
        <w:r>
          <w:rPr>
            <w:noProof/>
            <w:webHidden/>
          </w:rPr>
          <w:instrText xml:space="preserve"> PAGEREF _Toc231741427 \h </w:instrText>
        </w:r>
        <w:r>
          <w:rPr>
            <w:noProof/>
            <w:webHidden/>
          </w:rPr>
        </w:r>
        <w:r>
          <w:rPr>
            <w:noProof/>
            <w:webHidden/>
          </w:rPr>
          <w:fldChar w:fldCharType="separate"/>
        </w:r>
        <w:r>
          <w:rPr>
            <w:noProof/>
            <w:webHidden/>
          </w:rPr>
          <w:t>27</w:t>
        </w:r>
        <w:r>
          <w:rPr>
            <w:noProof/>
            <w:webHidden/>
          </w:rPr>
          <w:fldChar w:fldCharType="end"/>
        </w:r>
      </w:hyperlink>
    </w:p>
    <w:p w14:paraId="0528610C" w14:textId="121F1371"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28" w:history="1">
        <w:r w:rsidRPr="00BD1643">
          <w:rPr>
            <w:rStyle w:val="Hipervnculo"/>
            <w:noProof/>
          </w:rPr>
          <w:t>2.2.8 M</w:t>
        </w:r>
        <w:r w:rsidRPr="00BD1643">
          <w:rPr>
            <w:rStyle w:val="Hipervnculo"/>
            <w:noProof/>
            <w:lang w:val="es-MX"/>
          </w:rPr>
          <w:t>atriz DOFA como resultado del análisi</w:t>
        </w:r>
        <w:r w:rsidRPr="00BD1643">
          <w:rPr>
            <w:rStyle w:val="Hipervnculo"/>
            <w:noProof/>
          </w:rPr>
          <w:t>s.</w:t>
        </w:r>
        <w:r>
          <w:rPr>
            <w:noProof/>
            <w:webHidden/>
          </w:rPr>
          <w:tab/>
        </w:r>
        <w:r>
          <w:rPr>
            <w:noProof/>
            <w:webHidden/>
          </w:rPr>
          <w:fldChar w:fldCharType="begin"/>
        </w:r>
        <w:r>
          <w:rPr>
            <w:noProof/>
            <w:webHidden/>
          </w:rPr>
          <w:instrText xml:space="preserve"> PAGEREF _Toc231741428 \h </w:instrText>
        </w:r>
        <w:r>
          <w:rPr>
            <w:noProof/>
            <w:webHidden/>
          </w:rPr>
        </w:r>
        <w:r>
          <w:rPr>
            <w:noProof/>
            <w:webHidden/>
          </w:rPr>
          <w:fldChar w:fldCharType="separate"/>
        </w:r>
        <w:r>
          <w:rPr>
            <w:noProof/>
            <w:webHidden/>
          </w:rPr>
          <w:t>27</w:t>
        </w:r>
        <w:r>
          <w:rPr>
            <w:noProof/>
            <w:webHidden/>
          </w:rPr>
          <w:fldChar w:fldCharType="end"/>
        </w:r>
      </w:hyperlink>
    </w:p>
    <w:p w14:paraId="791FB7F6" w14:textId="36E748FA"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29" w:history="1">
        <w:r w:rsidRPr="00BD1643">
          <w:rPr>
            <w:rStyle w:val="Hipervnculo"/>
            <w:noProof/>
          </w:rPr>
          <w:t xml:space="preserve">2.2.9 </w:t>
        </w:r>
        <w:r w:rsidRPr="00BD1643">
          <w:rPr>
            <w:rStyle w:val="Hipervnculo"/>
            <w:noProof/>
            <w:lang w:val="es-MX"/>
          </w:rPr>
          <w:t>Formulación de estrategias a partir de la matriz DOFA</w:t>
        </w:r>
        <w:r>
          <w:rPr>
            <w:noProof/>
            <w:webHidden/>
          </w:rPr>
          <w:tab/>
        </w:r>
        <w:r>
          <w:rPr>
            <w:noProof/>
            <w:webHidden/>
          </w:rPr>
          <w:fldChar w:fldCharType="begin"/>
        </w:r>
        <w:r>
          <w:rPr>
            <w:noProof/>
            <w:webHidden/>
          </w:rPr>
          <w:instrText xml:space="preserve"> PAGEREF _Toc231741429 \h </w:instrText>
        </w:r>
        <w:r>
          <w:rPr>
            <w:noProof/>
            <w:webHidden/>
          </w:rPr>
        </w:r>
        <w:r>
          <w:rPr>
            <w:noProof/>
            <w:webHidden/>
          </w:rPr>
          <w:fldChar w:fldCharType="separate"/>
        </w:r>
        <w:r>
          <w:rPr>
            <w:noProof/>
            <w:webHidden/>
          </w:rPr>
          <w:t>28</w:t>
        </w:r>
        <w:r>
          <w:rPr>
            <w:noProof/>
            <w:webHidden/>
          </w:rPr>
          <w:fldChar w:fldCharType="end"/>
        </w:r>
      </w:hyperlink>
    </w:p>
    <w:p w14:paraId="50E157D2" w14:textId="08EA131D" w:rsidR="00FC4070" w:rsidRDefault="00FC4070">
      <w:pPr>
        <w:pStyle w:val="TDC4"/>
        <w:tabs>
          <w:tab w:val="right" w:pos="9395"/>
        </w:tabs>
        <w:rPr>
          <w:rFonts w:asciiTheme="minorHAnsi" w:eastAsiaTheme="minorEastAsia" w:hAnsiTheme="minorHAnsi"/>
          <w:noProof/>
          <w:kern w:val="2"/>
          <w:szCs w:val="24"/>
          <w:lang w:eastAsia="es-CO"/>
          <w14:ligatures w14:val="standardContextual"/>
        </w:rPr>
      </w:pPr>
      <w:hyperlink w:anchor="_Toc231741430" w:history="1">
        <w:r w:rsidRPr="00BD1643">
          <w:rPr>
            <w:rStyle w:val="Hipervnculo"/>
            <w:noProof/>
          </w:rPr>
          <w:t xml:space="preserve">2.2.9.1 </w:t>
        </w:r>
        <w:r w:rsidRPr="00BD1643">
          <w:rPr>
            <w:rStyle w:val="Hipervnculo"/>
            <w:noProof/>
            <w:lang w:val="es-MX"/>
          </w:rPr>
          <w:t>Estrategias FO</w:t>
        </w:r>
        <w:r>
          <w:rPr>
            <w:noProof/>
            <w:webHidden/>
          </w:rPr>
          <w:tab/>
        </w:r>
        <w:r>
          <w:rPr>
            <w:noProof/>
            <w:webHidden/>
          </w:rPr>
          <w:fldChar w:fldCharType="begin"/>
        </w:r>
        <w:r>
          <w:rPr>
            <w:noProof/>
            <w:webHidden/>
          </w:rPr>
          <w:instrText xml:space="preserve"> PAGEREF _Toc231741430 \h </w:instrText>
        </w:r>
        <w:r>
          <w:rPr>
            <w:noProof/>
            <w:webHidden/>
          </w:rPr>
        </w:r>
        <w:r>
          <w:rPr>
            <w:noProof/>
            <w:webHidden/>
          </w:rPr>
          <w:fldChar w:fldCharType="separate"/>
        </w:r>
        <w:r>
          <w:rPr>
            <w:noProof/>
            <w:webHidden/>
          </w:rPr>
          <w:t>28</w:t>
        </w:r>
        <w:r>
          <w:rPr>
            <w:noProof/>
            <w:webHidden/>
          </w:rPr>
          <w:fldChar w:fldCharType="end"/>
        </w:r>
      </w:hyperlink>
    </w:p>
    <w:p w14:paraId="6FF2EC14" w14:textId="7335BE83" w:rsidR="00FC4070" w:rsidRDefault="00FC4070">
      <w:pPr>
        <w:pStyle w:val="TDC4"/>
        <w:tabs>
          <w:tab w:val="right" w:pos="9395"/>
        </w:tabs>
        <w:rPr>
          <w:rFonts w:asciiTheme="minorHAnsi" w:eastAsiaTheme="minorEastAsia" w:hAnsiTheme="minorHAnsi"/>
          <w:noProof/>
          <w:kern w:val="2"/>
          <w:szCs w:val="24"/>
          <w:lang w:eastAsia="es-CO"/>
          <w14:ligatures w14:val="standardContextual"/>
        </w:rPr>
      </w:pPr>
      <w:hyperlink w:anchor="_Toc231741431" w:history="1">
        <w:r w:rsidRPr="00BD1643">
          <w:rPr>
            <w:rStyle w:val="Hipervnculo"/>
            <w:noProof/>
            <w:lang w:val="es-MX"/>
          </w:rPr>
          <w:t>2.2.9.</w:t>
        </w:r>
        <w:r w:rsidRPr="00BD1643">
          <w:rPr>
            <w:rStyle w:val="Hipervnculo"/>
            <w:noProof/>
          </w:rPr>
          <w:t xml:space="preserve">2 </w:t>
        </w:r>
        <w:r w:rsidRPr="00BD1643">
          <w:rPr>
            <w:rStyle w:val="Hipervnculo"/>
            <w:noProof/>
            <w:lang w:val="es-MX"/>
          </w:rPr>
          <w:t>Estrategias DO</w:t>
        </w:r>
        <w:r>
          <w:rPr>
            <w:noProof/>
            <w:webHidden/>
          </w:rPr>
          <w:tab/>
        </w:r>
        <w:r>
          <w:rPr>
            <w:noProof/>
            <w:webHidden/>
          </w:rPr>
          <w:fldChar w:fldCharType="begin"/>
        </w:r>
        <w:r>
          <w:rPr>
            <w:noProof/>
            <w:webHidden/>
          </w:rPr>
          <w:instrText xml:space="preserve"> PAGEREF _Toc231741431 \h </w:instrText>
        </w:r>
        <w:r>
          <w:rPr>
            <w:noProof/>
            <w:webHidden/>
          </w:rPr>
        </w:r>
        <w:r>
          <w:rPr>
            <w:noProof/>
            <w:webHidden/>
          </w:rPr>
          <w:fldChar w:fldCharType="separate"/>
        </w:r>
        <w:r>
          <w:rPr>
            <w:noProof/>
            <w:webHidden/>
          </w:rPr>
          <w:t>29</w:t>
        </w:r>
        <w:r>
          <w:rPr>
            <w:noProof/>
            <w:webHidden/>
          </w:rPr>
          <w:fldChar w:fldCharType="end"/>
        </w:r>
      </w:hyperlink>
    </w:p>
    <w:p w14:paraId="55579E78" w14:textId="2FE2E542" w:rsidR="00FC4070" w:rsidRDefault="00FC4070">
      <w:pPr>
        <w:pStyle w:val="TDC4"/>
        <w:tabs>
          <w:tab w:val="right" w:pos="9395"/>
        </w:tabs>
        <w:rPr>
          <w:rFonts w:asciiTheme="minorHAnsi" w:eastAsiaTheme="minorEastAsia" w:hAnsiTheme="minorHAnsi"/>
          <w:noProof/>
          <w:kern w:val="2"/>
          <w:szCs w:val="24"/>
          <w:lang w:eastAsia="es-CO"/>
          <w14:ligatures w14:val="standardContextual"/>
        </w:rPr>
      </w:pPr>
      <w:hyperlink w:anchor="_Toc231741432" w:history="1">
        <w:r w:rsidRPr="00BD1643">
          <w:rPr>
            <w:rStyle w:val="Hipervnculo"/>
            <w:noProof/>
            <w:lang w:val="es-MX"/>
          </w:rPr>
          <w:t>2.2.9.</w:t>
        </w:r>
        <w:r w:rsidRPr="00BD1643">
          <w:rPr>
            <w:rStyle w:val="Hipervnculo"/>
            <w:noProof/>
          </w:rPr>
          <w:t xml:space="preserve">3 </w:t>
        </w:r>
        <w:r w:rsidRPr="00BD1643">
          <w:rPr>
            <w:rStyle w:val="Hipervnculo"/>
            <w:noProof/>
            <w:lang w:val="es-MX"/>
          </w:rPr>
          <w:t>Estrategias FA</w:t>
        </w:r>
        <w:r>
          <w:rPr>
            <w:noProof/>
            <w:webHidden/>
          </w:rPr>
          <w:tab/>
        </w:r>
        <w:r>
          <w:rPr>
            <w:noProof/>
            <w:webHidden/>
          </w:rPr>
          <w:fldChar w:fldCharType="begin"/>
        </w:r>
        <w:r>
          <w:rPr>
            <w:noProof/>
            <w:webHidden/>
          </w:rPr>
          <w:instrText xml:space="preserve"> PAGEREF _Toc231741432 \h </w:instrText>
        </w:r>
        <w:r>
          <w:rPr>
            <w:noProof/>
            <w:webHidden/>
          </w:rPr>
        </w:r>
        <w:r>
          <w:rPr>
            <w:noProof/>
            <w:webHidden/>
          </w:rPr>
          <w:fldChar w:fldCharType="separate"/>
        </w:r>
        <w:r>
          <w:rPr>
            <w:noProof/>
            <w:webHidden/>
          </w:rPr>
          <w:t>29</w:t>
        </w:r>
        <w:r>
          <w:rPr>
            <w:noProof/>
            <w:webHidden/>
          </w:rPr>
          <w:fldChar w:fldCharType="end"/>
        </w:r>
      </w:hyperlink>
    </w:p>
    <w:p w14:paraId="1D674E51" w14:textId="49631D38" w:rsidR="00FC4070" w:rsidRDefault="00FC4070">
      <w:pPr>
        <w:pStyle w:val="TDC4"/>
        <w:tabs>
          <w:tab w:val="right" w:pos="9395"/>
        </w:tabs>
        <w:rPr>
          <w:rFonts w:asciiTheme="minorHAnsi" w:eastAsiaTheme="minorEastAsia" w:hAnsiTheme="minorHAnsi"/>
          <w:noProof/>
          <w:kern w:val="2"/>
          <w:szCs w:val="24"/>
          <w:lang w:eastAsia="es-CO"/>
          <w14:ligatures w14:val="standardContextual"/>
        </w:rPr>
      </w:pPr>
      <w:hyperlink w:anchor="_Toc231741433" w:history="1">
        <w:r w:rsidRPr="00BD1643">
          <w:rPr>
            <w:rStyle w:val="Hipervnculo"/>
            <w:noProof/>
            <w:lang w:val="es-MX"/>
          </w:rPr>
          <w:t>2.2.9.</w:t>
        </w:r>
        <w:r w:rsidRPr="00BD1643">
          <w:rPr>
            <w:rStyle w:val="Hipervnculo"/>
            <w:noProof/>
          </w:rPr>
          <w:t xml:space="preserve">4 </w:t>
        </w:r>
        <w:r w:rsidRPr="00BD1643">
          <w:rPr>
            <w:rStyle w:val="Hipervnculo"/>
            <w:noProof/>
            <w:lang w:val="es-MX"/>
          </w:rPr>
          <w:t>Estrategias DA</w:t>
        </w:r>
        <w:r>
          <w:rPr>
            <w:noProof/>
            <w:webHidden/>
          </w:rPr>
          <w:tab/>
        </w:r>
        <w:r>
          <w:rPr>
            <w:noProof/>
            <w:webHidden/>
          </w:rPr>
          <w:fldChar w:fldCharType="begin"/>
        </w:r>
        <w:r>
          <w:rPr>
            <w:noProof/>
            <w:webHidden/>
          </w:rPr>
          <w:instrText xml:space="preserve"> PAGEREF _Toc231741433 \h </w:instrText>
        </w:r>
        <w:r>
          <w:rPr>
            <w:noProof/>
            <w:webHidden/>
          </w:rPr>
        </w:r>
        <w:r>
          <w:rPr>
            <w:noProof/>
            <w:webHidden/>
          </w:rPr>
          <w:fldChar w:fldCharType="separate"/>
        </w:r>
        <w:r>
          <w:rPr>
            <w:noProof/>
            <w:webHidden/>
          </w:rPr>
          <w:t>29</w:t>
        </w:r>
        <w:r>
          <w:rPr>
            <w:noProof/>
            <w:webHidden/>
          </w:rPr>
          <w:fldChar w:fldCharType="end"/>
        </w:r>
      </w:hyperlink>
    </w:p>
    <w:p w14:paraId="1F344269" w14:textId="07346802" w:rsidR="00FC4070" w:rsidRDefault="00FC4070">
      <w:pPr>
        <w:pStyle w:val="TDC2"/>
        <w:tabs>
          <w:tab w:val="right" w:pos="9395"/>
        </w:tabs>
        <w:rPr>
          <w:rFonts w:asciiTheme="minorHAnsi" w:eastAsiaTheme="minorEastAsia" w:hAnsiTheme="minorHAnsi"/>
          <w:noProof/>
          <w:kern w:val="2"/>
          <w:szCs w:val="24"/>
          <w:lang w:eastAsia="es-CO"/>
          <w14:ligatures w14:val="standardContextual"/>
        </w:rPr>
      </w:pPr>
      <w:hyperlink w:anchor="_Toc231741434" w:history="1">
        <w:r w:rsidRPr="00BD1643">
          <w:rPr>
            <w:rStyle w:val="Hipervnculo"/>
            <w:noProof/>
          </w:rPr>
          <w:t>2.3. JUSTIFICACIÓN</w:t>
        </w:r>
        <w:r>
          <w:rPr>
            <w:noProof/>
            <w:webHidden/>
          </w:rPr>
          <w:tab/>
        </w:r>
        <w:r>
          <w:rPr>
            <w:noProof/>
            <w:webHidden/>
          </w:rPr>
          <w:fldChar w:fldCharType="begin"/>
        </w:r>
        <w:r>
          <w:rPr>
            <w:noProof/>
            <w:webHidden/>
          </w:rPr>
          <w:instrText xml:space="preserve"> PAGEREF _Toc231741434 \h </w:instrText>
        </w:r>
        <w:r>
          <w:rPr>
            <w:noProof/>
            <w:webHidden/>
          </w:rPr>
        </w:r>
        <w:r>
          <w:rPr>
            <w:noProof/>
            <w:webHidden/>
          </w:rPr>
          <w:fldChar w:fldCharType="separate"/>
        </w:r>
        <w:r>
          <w:rPr>
            <w:noProof/>
            <w:webHidden/>
          </w:rPr>
          <w:t>30</w:t>
        </w:r>
        <w:r>
          <w:rPr>
            <w:noProof/>
            <w:webHidden/>
          </w:rPr>
          <w:fldChar w:fldCharType="end"/>
        </w:r>
      </w:hyperlink>
    </w:p>
    <w:p w14:paraId="32E46679" w14:textId="4EE6371D" w:rsidR="00FC4070" w:rsidRDefault="00FC4070">
      <w:pPr>
        <w:pStyle w:val="TDC2"/>
        <w:tabs>
          <w:tab w:val="right" w:pos="9395"/>
        </w:tabs>
        <w:rPr>
          <w:rFonts w:asciiTheme="minorHAnsi" w:eastAsiaTheme="minorEastAsia" w:hAnsiTheme="minorHAnsi"/>
          <w:noProof/>
          <w:kern w:val="2"/>
          <w:szCs w:val="24"/>
          <w:lang w:eastAsia="es-CO"/>
          <w14:ligatures w14:val="standardContextual"/>
        </w:rPr>
      </w:pPr>
      <w:hyperlink w:anchor="_Toc231741435" w:history="1">
        <w:r w:rsidRPr="00BD1643">
          <w:rPr>
            <w:rStyle w:val="Hipervnculo"/>
            <w:noProof/>
          </w:rPr>
          <w:t>2.4. OBJETIVOS</w:t>
        </w:r>
        <w:r>
          <w:rPr>
            <w:noProof/>
            <w:webHidden/>
          </w:rPr>
          <w:tab/>
        </w:r>
        <w:r>
          <w:rPr>
            <w:noProof/>
            <w:webHidden/>
          </w:rPr>
          <w:fldChar w:fldCharType="begin"/>
        </w:r>
        <w:r>
          <w:rPr>
            <w:noProof/>
            <w:webHidden/>
          </w:rPr>
          <w:instrText xml:space="preserve"> PAGEREF _Toc231741435 \h </w:instrText>
        </w:r>
        <w:r>
          <w:rPr>
            <w:noProof/>
            <w:webHidden/>
          </w:rPr>
        </w:r>
        <w:r>
          <w:rPr>
            <w:noProof/>
            <w:webHidden/>
          </w:rPr>
          <w:fldChar w:fldCharType="separate"/>
        </w:r>
        <w:r>
          <w:rPr>
            <w:noProof/>
            <w:webHidden/>
          </w:rPr>
          <w:t>31</w:t>
        </w:r>
        <w:r>
          <w:rPr>
            <w:noProof/>
            <w:webHidden/>
          </w:rPr>
          <w:fldChar w:fldCharType="end"/>
        </w:r>
      </w:hyperlink>
    </w:p>
    <w:p w14:paraId="7F3C0FDD" w14:textId="6F14652A"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36" w:history="1">
        <w:r w:rsidRPr="00BD1643">
          <w:rPr>
            <w:rStyle w:val="Hipervnculo"/>
            <w:noProof/>
          </w:rPr>
          <w:t>2.4.1 Objetivo general.</w:t>
        </w:r>
        <w:r>
          <w:rPr>
            <w:noProof/>
            <w:webHidden/>
          </w:rPr>
          <w:tab/>
        </w:r>
        <w:r>
          <w:rPr>
            <w:noProof/>
            <w:webHidden/>
          </w:rPr>
          <w:fldChar w:fldCharType="begin"/>
        </w:r>
        <w:r>
          <w:rPr>
            <w:noProof/>
            <w:webHidden/>
          </w:rPr>
          <w:instrText xml:space="preserve"> PAGEREF _Toc231741436 \h </w:instrText>
        </w:r>
        <w:r>
          <w:rPr>
            <w:noProof/>
            <w:webHidden/>
          </w:rPr>
        </w:r>
        <w:r>
          <w:rPr>
            <w:noProof/>
            <w:webHidden/>
          </w:rPr>
          <w:fldChar w:fldCharType="separate"/>
        </w:r>
        <w:r>
          <w:rPr>
            <w:noProof/>
            <w:webHidden/>
          </w:rPr>
          <w:t>31</w:t>
        </w:r>
        <w:r>
          <w:rPr>
            <w:noProof/>
            <w:webHidden/>
          </w:rPr>
          <w:fldChar w:fldCharType="end"/>
        </w:r>
      </w:hyperlink>
    </w:p>
    <w:p w14:paraId="3E397E4E" w14:textId="6E24D4A1"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37" w:history="1">
        <w:r w:rsidRPr="00BD1643">
          <w:rPr>
            <w:rStyle w:val="Hipervnculo"/>
            <w:noProof/>
          </w:rPr>
          <w:t>2.4.2 Objetivos específicos.</w:t>
        </w:r>
        <w:r>
          <w:rPr>
            <w:noProof/>
            <w:webHidden/>
          </w:rPr>
          <w:tab/>
        </w:r>
        <w:r>
          <w:rPr>
            <w:noProof/>
            <w:webHidden/>
          </w:rPr>
          <w:fldChar w:fldCharType="begin"/>
        </w:r>
        <w:r>
          <w:rPr>
            <w:noProof/>
            <w:webHidden/>
          </w:rPr>
          <w:instrText xml:space="preserve"> PAGEREF _Toc231741437 \h </w:instrText>
        </w:r>
        <w:r>
          <w:rPr>
            <w:noProof/>
            <w:webHidden/>
          </w:rPr>
        </w:r>
        <w:r>
          <w:rPr>
            <w:noProof/>
            <w:webHidden/>
          </w:rPr>
          <w:fldChar w:fldCharType="separate"/>
        </w:r>
        <w:r>
          <w:rPr>
            <w:noProof/>
            <w:webHidden/>
          </w:rPr>
          <w:t>31</w:t>
        </w:r>
        <w:r>
          <w:rPr>
            <w:noProof/>
            <w:webHidden/>
          </w:rPr>
          <w:fldChar w:fldCharType="end"/>
        </w:r>
      </w:hyperlink>
    </w:p>
    <w:p w14:paraId="3EAF5B44" w14:textId="50DB372B" w:rsidR="00FC4070" w:rsidRDefault="00FC4070">
      <w:pPr>
        <w:pStyle w:val="TDC2"/>
        <w:tabs>
          <w:tab w:val="right" w:pos="9395"/>
        </w:tabs>
        <w:rPr>
          <w:rFonts w:asciiTheme="minorHAnsi" w:eastAsiaTheme="minorEastAsia" w:hAnsiTheme="minorHAnsi"/>
          <w:noProof/>
          <w:kern w:val="2"/>
          <w:szCs w:val="24"/>
          <w:lang w:eastAsia="es-CO"/>
          <w14:ligatures w14:val="standardContextual"/>
        </w:rPr>
      </w:pPr>
      <w:hyperlink w:anchor="_Toc231741438" w:history="1">
        <w:r w:rsidRPr="00BD1643">
          <w:rPr>
            <w:rStyle w:val="Hipervnculo"/>
            <w:noProof/>
          </w:rPr>
          <w:t>2.5. PLAN DE ACTIVIDADES</w:t>
        </w:r>
        <w:r>
          <w:rPr>
            <w:noProof/>
            <w:webHidden/>
          </w:rPr>
          <w:tab/>
        </w:r>
        <w:r>
          <w:rPr>
            <w:noProof/>
            <w:webHidden/>
          </w:rPr>
          <w:fldChar w:fldCharType="begin"/>
        </w:r>
        <w:r>
          <w:rPr>
            <w:noProof/>
            <w:webHidden/>
          </w:rPr>
          <w:instrText xml:space="preserve"> PAGEREF _Toc231741438 \h </w:instrText>
        </w:r>
        <w:r>
          <w:rPr>
            <w:noProof/>
            <w:webHidden/>
          </w:rPr>
        </w:r>
        <w:r>
          <w:rPr>
            <w:noProof/>
            <w:webHidden/>
          </w:rPr>
          <w:fldChar w:fldCharType="separate"/>
        </w:r>
        <w:r>
          <w:rPr>
            <w:noProof/>
            <w:webHidden/>
          </w:rPr>
          <w:t>32</w:t>
        </w:r>
        <w:r>
          <w:rPr>
            <w:noProof/>
            <w:webHidden/>
          </w:rPr>
          <w:fldChar w:fldCharType="end"/>
        </w:r>
      </w:hyperlink>
    </w:p>
    <w:p w14:paraId="684D0CE1" w14:textId="2D54B383" w:rsidR="00FC4070" w:rsidRDefault="00FC4070">
      <w:pPr>
        <w:pStyle w:val="TDC2"/>
        <w:tabs>
          <w:tab w:val="right" w:pos="9395"/>
        </w:tabs>
        <w:rPr>
          <w:rFonts w:asciiTheme="minorHAnsi" w:eastAsiaTheme="minorEastAsia" w:hAnsiTheme="minorHAnsi"/>
          <w:noProof/>
          <w:kern w:val="2"/>
          <w:szCs w:val="24"/>
          <w:lang w:eastAsia="es-CO"/>
          <w14:ligatures w14:val="standardContextual"/>
        </w:rPr>
      </w:pPr>
      <w:hyperlink w:anchor="_Toc231741439" w:history="1">
        <w:r w:rsidRPr="00BD1643">
          <w:rPr>
            <w:rStyle w:val="Hipervnculo"/>
            <w:noProof/>
          </w:rPr>
          <w:t>2.6. PROPUESTA DE MODERNIZACIÓN PRESUPUESTAL</w:t>
        </w:r>
        <w:r>
          <w:rPr>
            <w:noProof/>
            <w:webHidden/>
          </w:rPr>
          <w:tab/>
        </w:r>
        <w:r>
          <w:rPr>
            <w:noProof/>
            <w:webHidden/>
          </w:rPr>
          <w:fldChar w:fldCharType="begin"/>
        </w:r>
        <w:r>
          <w:rPr>
            <w:noProof/>
            <w:webHidden/>
          </w:rPr>
          <w:instrText xml:space="preserve"> PAGEREF _Toc231741439 \h </w:instrText>
        </w:r>
        <w:r>
          <w:rPr>
            <w:noProof/>
            <w:webHidden/>
          </w:rPr>
        </w:r>
        <w:r>
          <w:rPr>
            <w:noProof/>
            <w:webHidden/>
          </w:rPr>
          <w:fldChar w:fldCharType="separate"/>
        </w:r>
        <w:r>
          <w:rPr>
            <w:noProof/>
            <w:webHidden/>
          </w:rPr>
          <w:t>34</w:t>
        </w:r>
        <w:r>
          <w:rPr>
            <w:noProof/>
            <w:webHidden/>
          </w:rPr>
          <w:fldChar w:fldCharType="end"/>
        </w:r>
      </w:hyperlink>
    </w:p>
    <w:p w14:paraId="6EF3F105" w14:textId="722A4648"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40" w:history="1">
        <w:r w:rsidRPr="00BD1643">
          <w:rPr>
            <w:rStyle w:val="Hipervnculo"/>
            <w:noProof/>
          </w:rPr>
          <w:t>2.6.1 Digitalización documental</w:t>
        </w:r>
        <w:r>
          <w:rPr>
            <w:noProof/>
            <w:webHidden/>
          </w:rPr>
          <w:tab/>
        </w:r>
        <w:r>
          <w:rPr>
            <w:noProof/>
            <w:webHidden/>
          </w:rPr>
          <w:fldChar w:fldCharType="begin"/>
        </w:r>
        <w:r>
          <w:rPr>
            <w:noProof/>
            <w:webHidden/>
          </w:rPr>
          <w:instrText xml:space="preserve"> PAGEREF _Toc231741440 \h </w:instrText>
        </w:r>
        <w:r>
          <w:rPr>
            <w:noProof/>
            <w:webHidden/>
          </w:rPr>
        </w:r>
        <w:r>
          <w:rPr>
            <w:noProof/>
            <w:webHidden/>
          </w:rPr>
          <w:fldChar w:fldCharType="separate"/>
        </w:r>
        <w:r>
          <w:rPr>
            <w:noProof/>
            <w:webHidden/>
          </w:rPr>
          <w:t>34</w:t>
        </w:r>
        <w:r>
          <w:rPr>
            <w:noProof/>
            <w:webHidden/>
          </w:rPr>
          <w:fldChar w:fldCharType="end"/>
        </w:r>
      </w:hyperlink>
    </w:p>
    <w:p w14:paraId="1F72527E" w14:textId="0A6C77B2"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41" w:history="1">
        <w:r w:rsidRPr="00BD1643">
          <w:rPr>
            <w:rStyle w:val="Hipervnculo"/>
            <w:noProof/>
          </w:rPr>
          <w:t>2.6.2 Manual de procesos</w:t>
        </w:r>
        <w:r>
          <w:rPr>
            <w:noProof/>
            <w:webHidden/>
          </w:rPr>
          <w:tab/>
        </w:r>
        <w:r>
          <w:rPr>
            <w:noProof/>
            <w:webHidden/>
          </w:rPr>
          <w:fldChar w:fldCharType="begin"/>
        </w:r>
        <w:r>
          <w:rPr>
            <w:noProof/>
            <w:webHidden/>
          </w:rPr>
          <w:instrText xml:space="preserve"> PAGEREF _Toc231741441 \h </w:instrText>
        </w:r>
        <w:r>
          <w:rPr>
            <w:noProof/>
            <w:webHidden/>
          </w:rPr>
        </w:r>
        <w:r>
          <w:rPr>
            <w:noProof/>
            <w:webHidden/>
          </w:rPr>
          <w:fldChar w:fldCharType="separate"/>
        </w:r>
        <w:r>
          <w:rPr>
            <w:noProof/>
            <w:webHidden/>
          </w:rPr>
          <w:t>34</w:t>
        </w:r>
        <w:r>
          <w:rPr>
            <w:noProof/>
            <w:webHidden/>
          </w:rPr>
          <w:fldChar w:fldCharType="end"/>
        </w:r>
      </w:hyperlink>
    </w:p>
    <w:p w14:paraId="7FD3610B" w14:textId="5EE08C03"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42" w:history="1">
        <w:r w:rsidRPr="00BD1643">
          <w:rPr>
            <w:rStyle w:val="Hipervnculo"/>
            <w:noProof/>
          </w:rPr>
          <w:t>2.6.3 Automatización parcial de tareas recurrentes</w:t>
        </w:r>
        <w:r>
          <w:rPr>
            <w:noProof/>
            <w:webHidden/>
          </w:rPr>
          <w:tab/>
        </w:r>
        <w:r>
          <w:rPr>
            <w:noProof/>
            <w:webHidden/>
          </w:rPr>
          <w:fldChar w:fldCharType="begin"/>
        </w:r>
        <w:r>
          <w:rPr>
            <w:noProof/>
            <w:webHidden/>
          </w:rPr>
          <w:instrText xml:space="preserve"> PAGEREF _Toc231741442 \h </w:instrText>
        </w:r>
        <w:r>
          <w:rPr>
            <w:noProof/>
            <w:webHidden/>
          </w:rPr>
        </w:r>
        <w:r>
          <w:rPr>
            <w:noProof/>
            <w:webHidden/>
          </w:rPr>
          <w:fldChar w:fldCharType="separate"/>
        </w:r>
        <w:r>
          <w:rPr>
            <w:noProof/>
            <w:webHidden/>
          </w:rPr>
          <w:t>35</w:t>
        </w:r>
        <w:r>
          <w:rPr>
            <w:noProof/>
            <w:webHidden/>
          </w:rPr>
          <w:fldChar w:fldCharType="end"/>
        </w:r>
      </w:hyperlink>
    </w:p>
    <w:p w14:paraId="6B3EE8D1" w14:textId="257D9B87"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43" w:history="1">
        <w:r w:rsidRPr="00BD1643">
          <w:rPr>
            <w:rStyle w:val="Hipervnculo"/>
            <w:noProof/>
          </w:rPr>
          <w:t>2.6.4 Indicadores financieros para la gestión presupuestal</w:t>
        </w:r>
        <w:r>
          <w:rPr>
            <w:noProof/>
            <w:webHidden/>
          </w:rPr>
          <w:tab/>
        </w:r>
        <w:r>
          <w:rPr>
            <w:noProof/>
            <w:webHidden/>
          </w:rPr>
          <w:fldChar w:fldCharType="begin"/>
        </w:r>
        <w:r>
          <w:rPr>
            <w:noProof/>
            <w:webHidden/>
          </w:rPr>
          <w:instrText xml:space="preserve"> PAGEREF _Toc231741443 \h </w:instrText>
        </w:r>
        <w:r>
          <w:rPr>
            <w:noProof/>
            <w:webHidden/>
          </w:rPr>
        </w:r>
        <w:r>
          <w:rPr>
            <w:noProof/>
            <w:webHidden/>
          </w:rPr>
          <w:fldChar w:fldCharType="separate"/>
        </w:r>
        <w:r>
          <w:rPr>
            <w:noProof/>
            <w:webHidden/>
          </w:rPr>
          <w:t>36</w:t>
        </w:r>
        <w:r>
          <w:rPr>
            <w:noProof/>
            <w:webHidden/>
          </w:rPr>
          <w:fldChar w:fldCharType="end"/>
        </w:r>
      </w:hyperlink>
    </w:p>
    <w:p w14:paraId="677683A6" w14:textId="2AF457EB"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44" w:history="1">
        <w:r w:rsidRPr="00BD1643">
          <w:rPr>
            <w:rStyle w:val="Hipervnculo"/>
            <w:noProof/>
          </w:rPr>
          <w:t>2.6.5 Trazabilidad presupuestal</w:t>
        </w:r>
        <w:r>
          <w:rPr>
            <w:noProof/>
            <w:webHidden/>
          </w:rPr>
          <w:tab/>
        </w:r>
        <w:r>
          <w:rPr>
            <w:noProof/>
            <w:webHidden/>
          </w:rPr>
          <w:fldChar w:fldCharType="begin"/>
        </w:r>
        <w:r>
          <w:rPr>
            <w:noProof/>
            <w:webHidden/>
          </w:rPr>
          <w:instrText xml:space="preserve"> PAGEREF _Toc231741444 \h </w:instrText>
        </w:r>
        <w:r>
          <w:rPr>
            <w:noProof/>
            <w:webHidden/>
          </w:rPr>
        </w:r>
        <w:r>
          <w:rPr>
            <w:noProof/>
            <w:webHidden/>
          </w:rPr>
          <w:fldChar w:fldCharType="separate"/>
        </w:r>
        <w:r>
          <w:rPr>
            <w:noProof/>
            <w:webHidden/>
          </w:rPr>
          <w:t>36</w:t>
        </w:r>
        <w:r>
          <w:rPr>
            <w:noProof/>
            <w:webHidden/>
          </w:rPr>
          <w:fldChar w:fldCharType="end"/>
        </w:r>
      </w:hyperlink>
    </w:p>
    <w:p w14:paraId="48A55C88" w14:textId="240AB1F7" w:rsidR="00FC4070" w:rsidRDefault="00FC4070">
      <w:pPr>
        <w:pStyle w:val="TDC2"/>
        <w:tabs>
          <w:tab w:val="right" w:pos="9395"/>
        </w:tabs>
        <w:rPr>
          <w:rFonts w:asciiTheme="minorHAnsi" w:eastAsiaTheme="minorEastAsia" w:hAnsiTheme="minorHAnsi"/>
          <w:noProof/>
          <w:kern w:val="2"/>
          <w:szCs w:val="24"/>
          <w:lang w:eastAsia="es-CO"/>
          <w14:ligatures w14:val="standardContextual"/>
        </w:rPr>
      </w:pPr>
      <w:hyperlink w:anchor="_Toc231741445" w:history="1">
        <w:r w:rsidRPr="00BD1643">
          <w:rPr>
            <w:rStyle w:val="Hipervnculo"/>
            <w:noProof/>
          </w:rPr>
          <w:t>2.7 RESULTADOS ESPERADOS DE LA PROPUESTA DE MODERNIZACIÓN PRESUPUESTAL</w:t>
        </w:r>
        <w:r>
          <w:rPr>
            <w:noProof/>
            <w:webHidden/>
          </w:rPr>
          <w:tab/>
        </w:r>
        <w:r>
          <w:rPr>
            <w:noProof/>
            <w:webHidden/>
          </w:rPr>
          <w:fldChar w:fldCharType="begin"/>
        </w:r>
        <w:r>
          <w:rPr>
            <w:noProof/>
            <w:webHidden/>
          </w:rPr>
          <w:instrText xml:space="preserve"> PAGEREF _Toc231741445 \h </w:instrText>
        </w:r>
        <w:r>
          <w:rPr>
            <w:noProof/>
            <w:webHidden/>
          </w:rPr>
        </w:r>
        <w:r>
          <w:rPr>
            <w:noProof/>
            <w:webHidden/>
          </w:rPr>
          <w:fldChar w:fldCharType="separate"/>
        </w:r>
        <w:r>
          <w:rPr>
            <w:noProof/>
            <w:webHidden/>
          </w:rPr>
          <w:t>37</w:t>
        </w:r>
        <w:r>
          <w:rPr>
            <w:noProof/>
            <w:webHidden/>
          </w:rPr>
          <w:fldChar w:fldCharType="end"/>
        </w:r>
      </w:hyperlink>
    </w:p>
    <w:p w14:paraId="0ADBB676" w14:textId="205714C9"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46" w:history="1">
        <w:r w:rsidRPr="00BD1643">
          <w:rPr>
            <w:rStyle w:val="Hipervnculo"/>
            <w:noProof/>
          </w:rPr>
          <w:t>2.7.1  Resultados operativos</w:t>
        </w:r>
        <w:r>
          <w:rPr>
            <w:noProof/>
            <w:webHidden/>
          </w:rPr>
          <w:tab/>
        </w:r>
        <w:r>
          <w:rPr>
            <w:noProof/>
            <w:webHidden/>
          </w:rPr>
          <w:fldChar w:fldCharType="begin"/>
        </w:r>
        <w:r>
          <w:rPr>
            <w:noProof/>
            <w:webHidden/>
          </w:rPr>
          <w:instrText xml:space="preserve"> PAGEREF _Toc231741446 \h </w:instrText>
        </w:r>
        <w:r>
          <w:rPr>
            <w:noProof/>
            <w:webHidden/>
          </w:rPr>
        </w:r>
        <w:r>
          <w:rPr>
            <w:noProof/>
            <w:webHidden/>
          </w:rPr>
          <w:fldChar w:fldCharType="separate"/>
        </w:r>
        <w:r>
          <w:rPr>
            <w:noProof/>
            <w:webHidden/>
          </w:rPr>
          <w:t>38</w:t>
        </w:r>
        <w:r>
          <w:rPr>
            <w:noProof/>
            <w:webHidden/>
          </w:rPr>
          <w:fldChar w:fldCharType="end"/>
        </w:r>
      </w:hyperlink>
    </w:p>
    <w:p w14:paraId="29F3734F" w14:textId="729A6E2A"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47" w:history="1">
        <w:r w:rsidRPr="00BD1643">
          <w:rPr>
            <w:rStyle w:val="Hipervnculo"/>
            <w:noProof/>
          </w:rPr>
          <w:t>2.7.2  Resultados administrativos</w:t>
        </w:r>
        <w:r>
          <w:rPr>
            <w:noProof/>
            <w:webHidden/>
          </w:rPr>
          <w:tab/>
        </w:r>
        <w:r>
          <w:rPr>
            <w:noProof/>
            <w:webHidden/>
          </w:rPr>
          <w:fldChar w:fldCharType="begin"/>
        </w:r>
        <w:r>
          <w:rPr>
            <w:noProof/>
            <w:webHidden/>
          </w:rPr>
          <w:instrText xml:space="preserve"> PAGEREF _Toc231741447 \h </w:instrText>
        </w:r>
        <w:r>
          <w:rPr>
            <w:noProof/>
            <w:webHidden/>
          </w:rPr>
        </w:r>
        <w:r>
          <w:rPr>
            <w:noProof/>
            <w:webHidden/>
          </w:rPr>
          <w:fldChar w:fldCharType="separate"/>
        </w:r>
        <w:r>
          <w:rPr>
            <w:noProof/>
            <w:webHidden/>
          </w:rPr>
          <w:t>38</w:t>
        </w:r>
        <w:r>
          <w:rPr>
            <w:noProof/>
            <w:webHidden/>
          </w:rPr>
          <w:fldChar w:fldCharType="end"/>
        </w:r>
      </w:hyperlink>
    </w:p>
    <w:p w14:paraId="7B9B5824" w14:textId="5B43C572"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48" w:history="1">
        <w:r w:rsidRPr="00BD1643">
          <w:rPr>
            <w:rStyle w:val="Hipervnculo"/>
            <w:noProof/>
          </w:rPr>
          <w:t>2.7.3  Resultados tecnológicos</w:t>
        </w:r>
        <w:r>
          <w:rPr>
            <w:noProof/>
            <w:webHidden/>
          </w:rPr>
          <w:tab/>
        </w:r>
        <w:r>
          <w:rPr>
            <w:noProof/>
            <w:webHidden/>
          </w:rPr>
          <w:fldChar w:fldCharType="begin"/>
        </w:r>
        <w:r>
          <w:rPr>
            <w:noProof/>
            <w:webHidden/>
          </w:rPr>
          <w:instrText xml:space="preserve"> PAGEREF _Toc231741448 \h </w:instrText>
        </w:r>
        <w:r>
          <w:rPr>
            <w:noProof/>
            <w:webHidden/>
          </w:rPr>
        </w:r>
        <w:r>
          <w:rPr>
            <w:noProof/>
            <w:webHidden/>
          </w:rPr>
          <w:fldChar w:fldCharType="separate"/>
        </w:r>
        <w:r>
          <w:rPr>
            <w:noProof/>
            <w:webHidden/>
          </w:rPr>
          <w:t>38</w:t>
        </w:r>
        <w:r>
          <w:rPr>
            <w:noProof/>
            <w:webHidden/>
          </w:rPr>
          <w:fldChar w:fldCharType="end"/>
        </w:r>
      </w:hyperlink>
    </w:p>
    <w:p w14:paraId="119150FF" w14:textId="138F9E59"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49" w:history="1">
        <w:r w:rsidRPr="00BD1643">
          <w:rPr>
            <w:rStyle w:val="Hipervnculo"/>
            <w:noProof/>
          </w:rPr>
          <w:t>2.7.4  Resultados fiscales</w:t>
        </w:r>
        <w:r>
          <w:rPr>
            <w:noProof/>
            <w:webHidden/>
          </w:rPr>
          <w:tab/>
        </w:r>
        <w:r>
          <w:rPr>
            <w:noProof/>
            <w:webHidden/>
          </w:rPr>
          <w:fldChar w:fldCharType="begin"/>
        </w:r>
        <w:r>
          <w:rPr>
            <w:noProof/>
            <w:webHidden/>
          </w:rPr>
          <w:instrText xml:space="preserve"> PAGEREF _Toc231741449 \h </w:instrText>
        </w:r>
        <w:r>
          <w:rPr>
            <w:noProof/>
            <w:webHidden/>
          </w:rPr>
        </w:r>
        <w:r>
          <w:rPr>
            <w:noProof/>
            <w:webHidden/>
          </w:rPr>
          <w:fldChar w:fldCharType="separate"/>
        </w:r>
        <w:r>
          <w:rPr>
            <w:noProof/>
            <w:webHidden/>
          </w:rPr>
          <w:t>39</w:t>
        </w:r>
        <w:r>
          <w:rPr>
            <w:noProof/>
            <w:webHidden/>
          </w:rPr>
          <w:fldChar w:fldCharType="end"/>
        </w:r>
      </w:hyperlink>
    </w:p>
    <w:p w14:paraId="0EDCFA1E" w14:textId="15E48F6F" w:rsidR="00FC4070" w:rsidRDefault="00FC4070">
      <w:pPr>
        <w:pStyle w:val="TDC1"/>
        <w:tabs>
          <w:tab w:val="right" w:pos="9395"/>
        </w:tabs>
        <w:rPr>
          <w:rFonts w:asciiTheme="minorHAnsi" w:eastAsiaTheme="minorEastAsia" w:hAnsiTheme="minorHAnsi"/>
          <w:noProof/>
          <w:kern w:val="2"/>
          <w:szCs w:val="24"/>
          <w:lang w:eastAsia="es-CO"/>
          <w14:ligatures w14:val="standardContextual"/>
        </w:rPr>
      </w:pPr>
      <w:hyperlink w:anchor="_Toc231741450" w:history="1">
        <w:r w:rsidRPr="00BD1643">
          <w:rPr>
            <w:rStyle w:val="Hipervnculo"/>
            <w:noProof/>
          </w:rPr>
          <w:t>3.  DESARROLLO DE LA PRÁCTICA</w:t>
        </w:r>
        <w:r>
          <w:rPr>
            <w:noProof/>
            <w:webHidden/>
          </w:rPr>
          <w:tab/>
        </w:r>
        <w:r>
          <w:rPr>
            <w:noProof/>
            <w:webHidden/>
          </w:rPr>
          <w:fldChar w:fldCharType="begin"/>
        </w:r>
        <w:r>
          <w:rPr>
            <w:noProof/>
            <w:webHidden/>
          </w:rPr>
          <w:instrText xml:space="preserve"> PAGEREF _Toc231741450 \h </w:instrText>
        </w:r>
        <w:r>
          <w:rPr>
            <w:noProof/>
            <w:webHidden/>
          </w:rPr>
        </w:r>
        <w:r>
          <w:rPr>
            <w:noProof/>
            <w:webHidden/>
          </w:rPr>
          <w:fldChar w:fldCharType="separate"/>
        </w:r>
        <w:r>
          <w:rPr>
            <w:noProof/>
            <w:webHidden/>
          </w:rPr>
          <w:t>40</w:t>
        </w:r>
        <w:r>
          <w:rPr>
            <w:noProof/>
            <w:webHidden/>
          </w:rPr>
          <w:fldChar w:fldCharType="end"/>
        </w:r>
      </w:hyperlink>
    </w:p>
    <w:p w14:paraId="4E73FC35" w14:textId="71F6A9EC" w:rsidR="00FC4070" w:rsidRDefault="00FC4070">
      <w:pPr>
        <w:pStyle w:val="TDC2"/>
        <w:tabs>
          <w:tab w:val="right" w:pos="9395"/>
        </w:tabs>
        <w:rPr>
          <w:rFonts w:asciiTheme="minorHAnsi" w:eastAsiaTheme="minorEastAsia" w:hAnsiTheme="minorHAnsi"/>
          <w:noProof/>
          <w:kern w:val="2"/>
          <w:szCs w:val="24"/>
          <w:lang w:eastAsia="es-CO"/>
          <w14:ligatures w14:val="standardContextual"/>
        </w:rPr>
      </w:pPr>
      <w:hyperlink w:anchor="_Toc231741451" w:history="1">
        <w:r w:rsidRPr="00BD1643">
          <w:rPr>
            <w:rStyle w:val="Hipervnculo"/>
            <w:noProof/>
          </w:rPr>
          <w:t>3.1 OBJETIVO ESPECÍFICO 1: Consolidar la base técnica y documental del municipio mediante la recolección de información histórica, para establecer los supuestos fiscales</w:t>
        </w:r>
        <w:r>
          <w:rPr>
            <w:noProof/>
            <w:webHidden/>
          </w:rPr>
          <w:tab/>
        </w:r>
        <w:r>
          <w:rPr>
            <w:noProof/>
            <w:webHidden/>
          </w:rPr>
          <w:fldChar w:fldCharType="begin"/>
        </w:r>
        <w:r>
          <w:rPr>
            <w:noProof/>
            <w:webHidden/>
          </w:rPr>
          <w:instrText xml:space="preserve"> PAGEREF _Toc231741451 \h </w:instrText>
        </w:r>
        <w:r>
          <w:rPr>
            <w:noProof/>
            <w:webHidden/>
          </w:rPr>
        </w:r>
        <w:r>
          <w:rPr>
            <w:noProof/>
            <w:webHidden/>
          </w:rPr>
          <w:fldChar w:fldCharType="separate"/>
        </w:r>
        <w:r>
          <w:rPr>
            <w:noProof/>
            <w:webHidden/>
          </w:rPr>
          <w:t>40</w:t>
        </w:r>
        <w:r>
          <w:rPr>
            <w:noProof/>
            <w:webHidden/>
          </w:rPr>
          <w:fldChar w:fldCharType="end"/>
        </w:r>
      </w:hyperlink>
    </w:p>
    <w:p w14:paraId="529F56A4" w14:textId="53991E9C"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52" w:history="1">
        <w:r w:rsidRPr="00BD1643">
          <w:rPr>
            <w:rStyle w:val="Hipervnculo"/>
            <w:noProof/>
          </w:rPr>
          <w:t>3.1.1 Conformación del equipo técnico</w:t>
        </w:r>
        <w:r>
          <w:rPr>
            <w:noProof/>
            <w:webHidden/>
          </w:rPr>
          <w:tab/>
        </w:r>
        <w:r>
          <w:rPr>
            <w:noProof/>
            <w:webHidden/>
          </w:rPr>
          <w:fldChar w:fldCharType="begin"/>
        </w:r>
        <w:r>
          <w:rPr>
            <w:noProof/>
            <w:webHidden/>
          </w:rPr>
          <w:instrText xml:space="preserve"> PAGEREF _Toc231741452 \h </w:instrText>
        </w:r>
        <w:r>
          <w:rPr>
            <w:noProof/>
            <w:webHidden/>
          </w:rPr>
        </w:r>
        <w:r>
          <w:rPr>
            <w:noProof/>
            <w:webHidden/>
          </w:rPr>
          <w:fldChar w:fldCharType="separate"/>
        </w:r>
        <w:r>
          <w:rPr>
            <w:noProof/>
            <w:webHidden/>
          </w:rPr>
          <w:t>40</w:t>
        </w:r>
        <w:r>
          <w:rPr>
            <w:noProof/>
            <w:webHidden/>
          </w:rPr>
          <w:fldChar w:fldCharType="end"/>
        </w:r>
      </w:hyperlink>
    </w:p>
    <w:p w14:paraId="45CBC62B" w14:textId="692CE8C9"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53" w:history="1">
        <w:r w:rsidRPr="00BD1643">
          <w:rPr>
            <w:rStyle w:val="Hipervnculo"/>
            <w:noProof/>
          </w:rPr>
          <w:t>3.1.2 Depuración y validación de la información</w:t>
        </w:r>
        <w:r>
          <w:rPr>
            <w:noProof/>
            <w:webHidden/>
          </w:rPr>
          <w:tab/>
        </w:r>
        <w:r>
          <w:rPr>
            <w:noProof/>
            <w:webHidden/>
          </w:rPr>
          <w:fldChar w:fldCharType="begin"/>
        </w:r>
        <w:r>
          <w:rPr>
            <w:noProof/>
            <w:webHidden/>
          </w:rPr>
          <w:instrText xml:space="preserve"> PAGEREF _Toc231741453 \h </w:instrText>
        </w:r>
        <w:r>
          <w:rPr>
            <w:noProof/>
            <w:webHidden/>
          </w:rPr>
        </w:r>
        <w:r>
          <w:rPr>
            <w:noProof/>
            <w:webHidden/>
          </w:rPr>
          <w:fldChar w:fldCharType="separate"/>
        </w:r>
        <w:r>
          <w:rPr>
            <w:noProof/>
            <w:webHidden/>
          </w:rPr>
          <w:t>41</w:t>
        </w:r>
        <w:r>
          <w:rPr>
            <w:noProof/>
            <w:webHidden/>
          </w:rPr>
          <w:fldChar w:fldCharType="end"/>
        </w:r>
      </w:hyperlink>
    </w:p>
    <w:p w14:paraId="357E2B60" w14:textId="2FCA9696"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54" w:history="1">
        <w:r w:rsidRPr="00BD1643">
          <w:rPr>
            <w:rStyle w:val="Hipervnculo"/>
            <w:noProof/>
          </w:rPr>
          <w:t>3.1.3 Supuestos locales para la proyección de ingresos</w:t>
        </w:r>
        <w:r>
          <w:rPr>
            <w:noProof/>
            <w:webHidden/>
          </w:rPr>
          <w:tab/>
        </w:r>
        <w:r>
          <w:rPr>
            <w:noProof/>
            <w:webHidden/>
          </w:rPr>
          <w:fldChar w:fldCharType="begin"/>
        </w:r>
        <w:r>
          <w:rPr>
            <w:noProof/>
            <w:webHidden/>
          </w:rPr>
          <w:instrText xml:space="preserve"> PAGEREF _Toc231741454 \h </w:instrText>
        </w:r>
        <w:r>
          <w:rPr>
            <w:noProof/>
            <w:webHidden/>
          </w:rPr>
        </w:r>
        <w:r>
          <w:rPr>
            <w:noProof/>
            <w:webHidden/>
          </w:rPr>
          <w:fldChar w:fldCharType="separate"/>
        </w:r>
        <w:r>
          <w:rPr>
            <w:noProof/>
            <w:webHidden/>
          </w:rPr>
          <w:t>41</w:t>
        </w:r>
        <w:r>
          <w:rPr>
            <w:noProof/>
            <w:webHidden/>
          </w:rPr>
          <w:fldChar w:fldCharType="end"/>
        </w:r>
      </w:hyperlink>
    </w:p>
    <w:p w14:paraId="4452CDDA" w14:textId="319A4D93"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55" w:history="1">
        <w:r w:rsidRPr="00BD1643">
          <w:rPr>
            <w:rStyle w:val="Hipervnculo"/>
            <w:noProof/>
          </w:rPr>
          <w:t>3.1.4 Supuestos locales para la proyección de gastos</w:t>
        </w:r>
        <w:r>
          <w:rPr>
            <w:noProof/>
            <w:webHidden/>
          </w:rPr>
          <w:tab/>
        </w:r>
        <w:r>
          <w:rPr>
            <w:noProof/>
            <w:webHidden/>
          </w:rPr>
          <w:fldChar w:fldCharType="begin"/>
        </w:r>
        <w:r>
          <w:rPr>
            <w:noProof/>
            <w:webHidden/>
          </w:rPr>
          <w:instrText xml:space="preserve"> PAGEREF _Toc231741455 \h </w:instrText>
        </w:r>
        <w:r>
          <w:rPr>
            <w:noProof/>
            <w:webHidden/>
          </w:rPr>
        </w:r>
        <w:r>
          <w:rPr>
            <w:noProof/>
            <w:webHidden/>
          </w:rPr>
          <w:fldChar w:fldCharType="separate"/>
        </w:r>
        <w:r>
          <w:rPr>
            <w:noProof/>
            <w:webHidden/>
          </w:rPr>
          <w:t>42</w:t>
        </w:r>
        <w:r>
          <w:rPr>
            <w:noProof/>
            <w:webHidden/>
          </w:rPr>
          <w:fldChar w:fldCharType="end"/>
        </w:r>
      </w:hyperlink>
    </w:p>
    <w:p w14:paraId="37B00514" w14:textId="74554C20" w:rsidR="00FC4070" w:rsidRDefault="00FC4070">
      <w:pPr>
        <w:pStyle w:val="TDC2"/>
        <w:tabs>
          <w:tab w:val="right" w:pos="9395"/>
        </w:tabs>
        <w:rPr>
          <w:rFonts w:asciiTheme="minorHAnsi" w:eastAsiaTheme="minorEastAsia" w:hAnsiTheme="minorHAnsi"/>
          <w:noProof/>
          <w:kern w:val="2"/>
          <w:szCs w:val="24"/>
          <w:lang w:eastAsia="es-CO"/>
          <w14:ligatures w14:val="standardContextual"/>
        </w:rPr>
      </w:pPr>
      <w:hyperlink w:anchor="_Toc231741456" w:history="1">
        <w:r w:rsidRPr="00BD1643">
          <w:rPr>
            <w:rStyle w:val="Hipervnculo"/>
            <w:noProof/>
          </w:rPr>
          <w:t>3.2 OBJETIVO ESPECÍFICO 2: Analizar la sostenibilidad financiera mediante la proyección de ingresos, gastos y deuda, para evaluar el comportamiento fiscal del municipio</w:t>
        </w:r>
        <w:r>
          <w:rPr>
            <w:noProof/>
            <w:webHidden/>
          </w:rPr>
          <w:tab/>
        </w:r>
        <w:r>
          <w:rPr>
            <w:noProof/>
            <w:webHidden/>
          </w:rPr>
          <w:fldChar w:fldCharType="begin"/>
        </w:r>
        <w:r>
          <w:rPr>
            <w:noProof/>
            <w:webHidden/>
          </w:rPr>
          <w:instrText xml:space="preserve"> PAGEREF _Toc231741456 \h </w:instrText>
        </w:r>
        <w:r>
          <w:rPr>
            <w:noProof/>
            <w:webHidden/>
          </w:rPr>
        </w:r>
        <w:r>
          <w:rPr>
            <w:noProof/>
            <w:webHidden/>
          </w:rPr>
          <w:fldChar w:fldCharType="separate"/>
        </w:r>
        <w:r>
          <w:rPr>
            <w:noProof/>
            <w:webHidden/>
          </w:rPr>
          <w:t>43</w:t>
        </w:r>
        <w:r>
          <w:rPr>
            <w:noProof/>
            <w:webHidden/>
          </w:rPr>
          <w:fldChar w:fldCharType="end"/>
        </w:r>
      </w:hyperlink>
    </w:p>
    <w:p w14:paraId="76BFA4C8" w14:textId="14A6F222"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57" w:history="1">
        <w:r w:rsidRPr="00BD1643">
          <w:rPr>
            <w:rStyle w:val="Hipervnculo"/>
            <w:noProof/>
            <w:lang w:val="es-MX"/>
          </w:rPr>
          <w:t>3.2.1 Ejecución y evolución de los ingresos totales sin financiación</w:t>
        </w:r>
        <w:r>
          <w:rPr>
            <w:noProof/>
            <w:webHidden/>
          </w:rPr>
          <w:tab/>
        </w:r>
        <w:r>
          <w:rPr>
            <w:noProof/>
            <w:webHidden/>
          </w:rPr>
          <w:fldChar w:fldCharType="begin"/>
        </w:r>
        <w:r>
          <w:rPr>
            <w:noProof/>
            <w:webHidden/>
          </w:rPr>
          <w:instrText xml:space="preserve"> PAGEREF _Toc231741457 \h </w:instrText>
        </w:r>
        <w:r>
          <w:rPr>
            <w:noProof/>
            <w:webHidden/>
          </w:rPr>
        </w:r>
        <w:r>
          <w:rPr>
            <w:noProof/>
            <w:webHidden/>
          </w:rPr>
          <w:fldChar w:fldCharType="separate"/>
        </w:r>
        <w:r>
          <w:rPr>
            <w:noProof/>
            <w:webHidden/>
          </w:rPr>
          <w:t>43</w:t>
        </w:r>
        <w:r>
          <w:rPr>
            <w:noProof/>
            <w:webHidden/>
          </w:rPr>
          <w:fldChar w:fldCharType="end"/>
        </w:r>
      </w:hyperlink>
    </w:p>
    <w:p w14:paraId="312188AA" w14:textId="1C8020CD"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58" w:history="1">
        <w:r w:rsidRPr="00BD1643">
          <w:rPr>
            <w:rStyle w:val="Hipervnculo"/>
            <w:noProof/>
          </w:rPr>
          <w:t>3.2.2 Composición de los ingresos totales sin financiación</w:t>
        </w:r>
        <w:r>
          <w:rPr>
            <w:noProof/>
            <w:webHidden/>
          </w:rPr>
          <w:tab/>
        </w:r>
        <w:r>
          <w:rPr>
            <w:noProof/>
            <w:webHidden/>
          </w:rPr>
          <w:fldChar w:fldCharType="begin"/>
        </w:r>
        <w:r>
          <w:rPr>
            <w:noProof/>
            <w:webHidden/>
          </w:rPr>
          <w:instrText xml:space="preserve"> PAGEREF _Toc231741458 \h </w:instrText>
        </w:r>
        <w:r>
          <w:rPr>
            <w:noProof/>
            <w:webHidden/>
          </w:rPr>
        </w:r>
        <w:r>
          <w:rPr>
            <w:noProof/>
            <w:webHidden/>
          </w:rPr>
          <w:fldChar w:fldCharType="separate"/>
        </w:r>
        <w:r>
          <w:rPr>
            <w:noProof/>
            <w:webHidden/>
          </w:rPr>
          <w:t>44</w:t>
        </w:r>
        <w:r>
          <w:rPr>
            <w:noProof/>
            <w:webHidden/>
          </w:rPr>
          <w:fldChar w:fldCharType="end"/>
        </w:r>
      </w:hyperlink>
    </w:p>
    <w:p w14:paraId="6E84ACE9" w14:textId="43ECDCA1"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59" w:history="1">
        <w:r w:rsidRPr="00BD1643">
          <w:rPr>
            <w:rStyle w:val="Hipervnculo"/>
            <w:noProof/>
          </w:rPr>
          <w:t>3.2.3 Evolución del recaudo tributario por tipo de impuesto</w:t>
        </w:r>
        <w:r>
          <w:rPr>
            <w:noProof/>
            <w:webHidden/>
          </w:rPr>
          <w:tab/>
        </w:r>
        <w:r>
          <w:rPr>
            <w:noProof/>
            <w:webHidden/>
          </w:rPr>
          <w:fldChar w:fldCharType="begin"/>
        </w:r>
        <w:r>
          <w:rPr>
            <w:noProof/>
            <w:webHidden/>
          </w:rPr>
          <w:instrText xml:space="preserve"> PAGEREF _Toc231741459 \h </w:instrText>
        </w:r>
        <w:r>
          <w:rPr>
            <w:noProof/>
            <w:webHidden/>
          </w:rPr>
        </w:r>
        <w:r>
          <w:rPr>
            <w:noProof/>
            <w:webHidden/>
          </w:rPr>
          <w:fldChar w:fldCharType="separate"/>
        </w:r>
        <w:r>
          <w:rPr>
            <w:noProof/>
            <w:webHidden/>
          </w:rPr>
          <w:t>45</w:t>
        </w:r>
        <w:r>
          <w:rPr>
            <w:noProof/>
            <w:webHidden/>
          </w:rPr>
          <w:fldChar w:fldCharType="end"/>
        </w:r>
      </w:hyperlink>
    </w:p>
    <w:p w14:paraId="72EA4799" w14:textId="4E421C95"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60" w:history="1">
        <w:r w:rsidRPr="00BD1643">
          <w:rPr>
            <w:rStyle w:val="Hipervnculo"/>
            <w:noProof/>
          </w:rPr>
          <w:t>3.2.4 Ejecución y evolución de los gastos totales sin financiación</w:t>
        </w:r>
        <w:r>
          <w:rPr>
            <w:noProof/>
            <w:webHidden/>
          </w:rPr>
          <w:tab/>
        </w:r>
        <w:r>
          <w:rPr>
            <w:noProof/>
            <w:webHidden/>
          </w:rPr>
          <w:fldChar w:fldCharType="begin"/>
        </w:r>
        <w:r>
          <w:rPr>
            <w:noProof/>
            <w:webHidden/>
          </w:rPr>
          <w:instrText xml:space="preserve"> PAGEREF _Toc231741460 \h </w:instrText>
        </w:r>
        <w:r>
          <w:rPr>
            <w:noProof/>
            <w:webHidden/>
          </w:rPr>
        </w:r>
        <w:r>
          <w:rPr>
            <w:noProof/>
            <w:webHidden/>
          </w:rPr>
          <w:fldChar w:fldCharType="separate"/>
        </w:r>
        <w:r>
          <w:rPr>
            <w:noProof/>
            <w:webHidden/>
          </w:rPr>
          <w:t>46</w:t>
        </w:r>
        <w:r>
          <w:rPr>
            <w:noProof/>
            <w:webHidden/>
          </w:rPr>
          <w:fldChar w:fldCharType="end"/>
        </w:r>
      </w:hyperlink>
    </w:p>
    <w:p w14:paraId="20C9BA96" w14:textId="529D6363"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61" w:history="1">
        <w:r w:rsidRPr="00BD1643">
          <w:rPr>
            <w:rStyle w:val="Hipervnculo"/>
            <w:noProof/>
            <w:lang w:val="es-MX"/>
          </w:rPr>
          <w:t>3.2.5 Composición de los gastos totales sin financiación</w:t>
        </w:r>
        <w:r>
          <w:rPr>
            <w:noProof/>
            <w:webHidden/>
          </w:rPr>
          <w:tab/>
        </w:r>
        <w:r>
          <w:rPr>
            <w:noProof/>
            <w:webHidden/>
          </w:rPr>
          <w:fldChar w:fldCharType="begin"/>
        </w:r>
        <w:r>
          <w:rPr>
            <w:noProof/>
            <w:webHidden/>
          </w:rPr>
          <w:instrText xml:space="preserve"> PAGEREF _Toc231741461 \h </w:instrText>
        </w:r>
        <w:r>
          <w:rPr>
            <w:noProof/>
            <w:webHidden/>
          </w:rPr>
        </w:r>
        <w:r>
          <w:rPr>
            <w:noProof/>
            <w:webHidden/>
          </w:rPr>
          <w:fldChar w:fldCharType="separate"/>
        </w:r>
        <w:r>
          <w:rPr>
            <w:noProof/>
            <w:webHidden/>
          </w:rPr>
          <w:t>47</w:t>
        </w:r>
        <w:r>
          <w:rPr>
            <w:noProof/>
            <w:webHidden/>
          </w:rPr>
          <w:fldChar w:fldCharType="end"/>
        </w:r>
      </w:hyperlink>
    </w:p>
    <w:p w14:paraId="7607C5A9" w14:textId="7F7EA03E"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62" w:history="1">
        <w:r w:rsidRPr="00BD1643">
          <w:rPr>
            <w:rStyle w:val="Hipervnculo"/>
            <w:noProof/>
          </w:rPr>
          <w:t>3.2.6 Comportamiento del balance fiscal total</w:t>
        </w:r>
        <w:r>
          <w:rPr>
            <w:noProof/>
            <w:webHidden/>
          </w:rPr>
          <w:tab/>
        </w:r>
        <w:r>
          <w:rPr>
            <w:noProof/>
            <w:webHidden/>
          </w:rPr>
          <w:fldChar w:fldCharType="begin"/>
        </w:r>
        <w:r>
          <w:rPr>
            <w:noProof/>
            <w:webHidden/>
          </w:rPr>
          <w:instrText xml:space="preserve"> PAGEREF _Toc231741462 \h </w:instrText>
        </w:r>
        <w:r>
          <w:rPr>
            <w:noProof/>
            <w:webHidden/>
          </w:rPr>
        </w:r>
        <w:r>
          <w:rPr>
            <w:noProof/>
            <w:webHidden/>
          </w:rPr>
          <w:fldChar w:fldCharType="separate"/>
        </w:r>
        <w:r>
          <w:rPr>
            <w:noProof/>
            <w:webHidden/>
          </w:rPr>
          <w:t>48</w:t>
        </w:r>
        <w:r>
          <w:rPr>
            <w:noProof/>
            <w:webHidden/>
          </w:rPr>
          <w:fldChar w:fldCharType="end"/>
        </w:r>
      </w:hyperlink>
    </w:p>
    <w:p w14:paraId="2336D4F0" w14:textId="36EEBD26"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63" w:history="1">
        <w:r w:rsidRPr="00BD1643">
          <w:rPr>
            <w:rStyle w:val="Hipervnculo"/>
            <w:noProof/>
          </w:rPr>
          <w:t>3.2.7 Comportamiento del balance fiscal primario (2021–2025)</w:t>
        </w:r>
        <w:r>
          <w:rPr>
            <w:noProof/>
            <w:webHidden/>
          </w:rPr>
          <w:tab/>
        </w:r>
        <w:r>
          <w:rPr>
            <w:noProof/>
            <w:webHidden/>
          </w:rPr>
          <w:fldChar w:fldCharType="begin"/>
        </w:r>
        <w:r>
          <w:rPr>
            <w:noProof/>
            <w:webHidden/>
          </w:rPr>
          <w:instrText xml:space="preserve"> PAGEREF _Toc231741463 \h </w:instrText>
        </w:r>
        <w:r>
          <w:rPr>
            <w:noProof/>
            <w:webHidden/>
          </w:rPr>
        </w:r>
        <w:r>
          <w:rPr>
            <w:noProof/>
            <w:webHidden/>
          </w:rPr>
          <w:fldChar w:fldCharType="separate"/>
        </w:r>
        <w:r>
          <w:rPr>
            <w:noProof/>
            <w:webHidden/>
          </w:rPr>
          <w:t>49</w:t>
        </w:r>
        <w:r>
          <w:rPr>
            <w:noProof/>
            <w:webHidden/>
          </w:rPr>
          <w:fldChar w:fldCharType="end"/>
        </w:r>
      </w:hyperlink>
    </w:p>
    <w:p w14:paraId="0993CE70" w14:textId="13AB3BB7"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64" w:history="1">
        <w:r w:rsidRPr="00BD1643">
          <w:rPr>
            <w:rStyle w:val="Hipervnculo"/>
            <w:noProof/>
          </w:rPr>
          <w:t>3.2.8 Comportamiento del balance fiscal presupuestal (2021–2025)</w:t>
        </w:r>
        <w:r>
          <w:rPr>
            <w:noProof/>
            <w:webHidden/>
          </w:rPr>
          <w:tab/>
        </w:r>
        <w:r>
          <w:rPr>
            <w:noProof/>
            <w:webHidden/>
          </w:rPr>
          <w:fldChar w:fldCharType="begin"/>
        </w:r>
        <w:r>
          <w:rPr>
            <w:noProof/>
            <w:webHidden/>
          </w:rPr>
          <w:instrText xml:space="preserve"> PAGEREF _Toc231741464 \h </w:instrText>
        </w:r>
        <w:r>
          <w:rPr>
            <w:noProof/>
            <w:webHidden/>
          </w:rPr>
        </w:r>
        <w:r>
          <w:rPr>
            <w:noProof/>
            <w:webHidden/>
          </w:rPr>
          <w:fldChar w:fldCharType="separate"/>
        </w:r>
        <w:r>
          <w:rPr>
            <w:noProof/>
            <w:webHidden/>
          </w:rPr>
          <w:t>50</w:t>
        </w:r>
        <w:r>
          <w:rPr>
            <w:noProof/>
            <w:webHidden/>
          </w:rPr>
          <w:fldChar w:fldCharType="end"/>
        </w:r>
      </w:hyperlink>
    </w:p>
    <w:p w14:paraId="06634A99" w14:textId="51F1358D"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65" w:history="1">
        <w:r w:rsidRPr="00BD1643">
          <w:rPr>
            <w:rStyle w:val="Hipervnculo"/>
            <w:noProof/>
          </w:rPr>
          <w:t>3.2.9  Análisis de sostenibilidad</w:t>
        </w:r>
        <w:r>
          <w:rPr>
            <w:noProof/>
            <w:webHidden/>
          </w:rPr>
          <w:tab/>
        </w:r>
        <w:r>
          <w:rPr>
            <w:noProof/>
            <w:webHidden/>
          </w:rPr>
          <w:fldChar w:fldCharType="begin"/>
        </w:r>
        <w:r>
          <w:rPr>
            <w:noProof/>
            <w:webHidden/>
          </w:rPr>
          <w:instrText xml:space="preserve"> PAGEREF _Toc231741465 \h </w:instrText>
        </w:r>
        <w:r>
          <w:rPr>
            <w:noProof/>
            <w:webHidden/>
          </w:rPr>
        </w:r>
        <w:r>
          <w:rPr>
            <w:noProof/>
            <w:webHidden/>
          </w:rPr>
          <w:fldChar w:fldCharType="separate"/>
        </w:r>
        <w:r>
          <w:rPr>
            <w:noProof/>
            <w:webHidden/>
          </w:rPr>
          <w:t>51</w:t>
        </w:r>
        <w:r>
          <w:rPr>
            <w:noProof/>
            <w:webHidden/>
          </w:rPr>
          <w:fldChar w:fldCharType="end"/>
        </w:r>
      </w:hyperlink>
    </w:p>
    <w:p w14:paraId="2A3193FE" w14:textId="76300EDD"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66" w:history="1">
        <w:r w:rsidRPr="00BD1643">
          <w:rPr>
            <w:rStyle w:val="Hipervnculo"/>
            <w:noProof/>
          </w:rPr>
          <w:t>3.2.10 Cumplimiento de metas del MFMP anterior</w:t>
        </w:r>
        <w:r>
          <w:rPr>
            <w:noProof/>
            <w:webHidden/>
          </w:rPr>
          <w:tab/>
        </w:r>
        <w:r>
          <w:rPr>
            <w:noProof/>
            <w:webHidden/>
          </w:rPr>
          <w:fldChar w:fldCharType="begin"/>
        </w:r>
        <w:r>
          <w:rPr>
            <w:noProof/>
            <w:webHidden/>
          </w:rPr>
          <w:instrText xml:space="preserve"> PAGEREF _Toc231741466 \h </w:instrText>
        </w:r>
        <w:r>
          <w:rPr>
            <w:noProof/>
            <w:webHidden/>
          </w:rPr>
        </w:r>
        <w:r>
          <w:rPr>
            <w:noProof/>
            <w:webHidden/>
          </w:rPr>
          <w:fldChar w:fldCharType="separate"/>
        </w:r>
        <w:r>
          <w:rPr>
            <w:noProof/>
            <w:webHidden/>
          </w:rPr>
          <w:t>52</w:t>
        </w:r>
        <w:r>
          <w:rPr>
            <w:noProof/>
            <w:webHidden/>
          </w:rPr>
          <w:fldChar w:fldCharType="end"/>
        </w:r>
      </w:hyperlink>
    </w:p>
    <w:p w14:paraId="4B074AE5" w14:textId="082F5626"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67" w:history="1">
        <w:r w:rsidRPr="00BD1643">
          <w:rPr>
            <w:rStyle w:val="Hipervnculo"/>
            <w:noProof/>
          </w:rPr>
          <w:t>3.2.11 Autodiagnóstico de la situación fiscal actual</w:t>
        </w:r>
        <w:r>
          <w:rPr>
            <w:noProof/>
            <w:webHidden/>
          </w:rPr>
          <w:tab/>
        </w:r>
        <w:r>
          <w:rPr>
            <w:noProof/>
            <w:webHidden/>
          </w:rPr>
          <w:fldChar w:fldCharType="begin"/>
        </w:r>
        <w:r>
          <w:rPr>
            <w:noProof/>
            <w:webHidden/>
          </w:rPr>
          <w:instrText xml:space="preserve"> PAGEREF _Toc231741467 \h </w:instrText>
        </w:r>
        <w:r>
          <w:rPr>
            <w:noProof/>
            <w:webHidden/>
          </w:rPr>
        </w:r>
        <w:r>
          <w:rPr>
            <w:noProof/>
            <w:webHidden/>
          </w:rPr>
          <w:fldChar w:fldCharType="separate"/>
        </w:r>
        <w:r>
          <w:rPr>
            <w:noProof/>
            <w:webHidden/>
          </w:rPr>
          <w:t>53</w:t>
        </w:r>
        <w:r>
          <w:rPr>
            <w:noProof/>
            <w:webHidden/>
          </w:rPr>
          <w:fldChar w:fldCharType="end"/>
        </w:r>
      </w:hyperlink>
    </w:p>
    <w:p w14:paraId="71D101F0" w14:textId="34CEB9F1" w:rsidR="00FC4070" w:rsidRDefault="00FC4070">
      <w:pPr>
        <w:pStyle w:val="TDC2"/>
        <w:tabs>
          <w:tab w:val="right" w:pos="9395"/>
        </w:tabs>
        <w:rPr>
          <w:rFonts w:asciiTheme="minorHAnsi" w:eastAsiaTheme="minorEastAsia" w:hAnsiTheme="minorHAnsi"/>
          <w:noProof/>
          <w:kern w:val="2"/>
          <w:szCs w:val="24"/>
          <w:lang w:eastAsia="es-CO"/>
          <w14:ligatures w14:val="standardContextual"/>
        </w:rPr>
      </w:pPr>
      <w:hyperlink w:anchor="_Toc231741468" w:history="1">
        <w:r w:rsidRPr="00BD1643">
          <w:rPr>
            <w:rStyle w:val="Hipervnculo"/>
            <w:noProof/>
          </w:rPr>
          <w:t>3.3 OBJETIVO ESPECÍFICO 3: Definir el plan de acción mediante la evaluación del balance financiero proyectado, para garantizar el cumplimiento de las metas fiscales al 2035</w:t>
        </w:r>
        <w:r>
          <w:rPr>
            <w:noProof/>
            <w:webHidden/>
          </w:rPr>
          <w:tab/>
        </w:r>
        <w:r>
          <w:rPr>
            <w:noProof/>
            <w:webHidden/>
          </w:rPr>
          <w:fldChar w:fldCharType="begin"/>
        </w:r>
        <w:r>
          <w:rPr>
            <w:noProof/>
            <w:webHidden/>
          </w:rPr>
          <w:instrText xml:space="preserve"> PAGEREF _Toc231741468 \h </w:instrText>
        </w:r>
        <w:r>
          <w:rPr>
            <w:noProof/>
            <w:webHidden/>
          </w:rPr>
        </w:r>
        <w:r>
          <w:rPr>
            <w:noProof/>
            <w:webHidden/>
          </w:rPr>
          <w:fldChar w:fldCharType="separate"/>
        </w:r>
        <w:r>
          <w:rPr>
            <w:noProof/>
            <w:webHidden/>
          </w:rPr>
          <w:t>53</w:t>
        </w:r>
        <w:r>
          <w:rPr>
            <w:noProof/>
            <w:webHidden/>
          </w:rPr>
          <w:fldChar w:fldCharType="end"/>
        </w:r>
      </w:hyperlink>
    </w:p>
    <w:p w14:paraId="7A4450B7" w14:textId="5BDB70DA"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69" w:history="1">
        <w:r w:rsidRPr="00BD1643">
          <w:rPr>
            <w:rStyle w:val="Hipervnculo"/>
            <w:noProof/>
            <w:lang w:val="es-MX"/>
          </w:rPr>
          <w:t>3.3.1 Evaluación del balance financiero proyectado</w:t>
        </w:r>
        <w:r>
          <w:rPr>
            <w:noProof/>
            <w:webHidden/>
          </w:rPr>
          <w:tab/>
        </w:r>
        <w:r>
          <w:rPr>
            <w:noProof/>
            <w:webHidden/>
          </w:rPr>
          <w:fldChar w:fldCharType="begin"/>
        </w:r>
        <w:r>
          <w:rPr>
            <w:noProof/>
            <w:webHidden/>
          </w:rPr>
          <w:instrText xml:space="preserve"> PAGEREF _Toc231741469 \h </w:instrText>
        </w:r>
        <w:r>
          <w:rPr>
            <w:noProof/>
            <w:webHidden/>
          </w:rPr>
        </w:r>
        <w:r>
          <w:rPr>
            <w:noProof/>
            <w:webHidden/>
          </w:rPr>
          <w:fldChar w:fldCharType="separate"/>
        </w:r>
        <w:r>
          <w:rPr>
            <w:noProof/>
            <w:webHidden/>
          </w:rPr>
          <w:t>54</w:t>
        </w:r>
        <w:r>
          <w:rPr>
            <w:noProof/>
            <w:webHidden/>
          </w:rPr>
          <w:fldChar w:fldCharType="end"/>
        </w:r>
      </w:hyperlink>
    </w:p>
    <w:p w14:paraId="29D9787D" w14:textId="713E7EAD"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70" w:history="1">
        <w:r w:rsidRPr="00BD1643">
          <w:rPr>
            <w:rStyle w:val="Hipervnculo"/>
            <w:noProof/>
            <w:lang w:val="es-MX"/>
          </w:rPr>
          <w:t>3.3.2 Identificación de brechas y riesgos sobre la senda proyectada</w:t>
        </w:r>
        <w:r>
          <w:rPr>
            <w:noProof/>
            <w:webHidden/>
          </w:rPr>
          <w:tab/>
        </w:r>
        <w:r>
          <w:rPr>
            <w:noProof/>
            <w:webHidden/>
          </w:rPr>
          <w:fldChar w:fldCharType="begin"/>
        </w:r>
        <w:r>
          <w:rPr>
            <w:noProof/>
            <w:webHidden/>
          </w:rPr>
          <w:instrText xml:space="preserve"> PAGEREF _Toc231741470 \h </w:instrText>
        </w:r>
        <w:r>
          <w:rPr>
            <w:noProof/>
            <w:webHidden/>
          </w:rPr>
        </w:r>
        <w:r>
          <w:rPr>
            <w:noProof/>
            <w:webHidden/>
          </w:rPr>
          <w:fldChar w:fldCharType="separate"/>
        </w:r>
        <w:r>
          <w:rPr>
            <w:noProof/>
            <w:webHidden/>
          </w:rPr>
          <w:t>55</w:t>
        </w:r>
        <w:r>
          <w:rPr>
            <w:noProof/>
            <w:webHidden/>
          </w:rPr>
          <w:fldChar w:fldCharType="end"/>
        </w:r>
      </w:hyperlink>
    </w:p>
    <w:p w14:paraId="16F01E91" w14:textId="4AF6F3D2"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71" w:history="1">
        <w:r w:rsidRPr="00BD1643">
          <w:rPr>
            <w:rStyle w:val="Hipervnculo"/>
            <w:rFonts w:cs="Arial"/>
            <w:noProof/>
            <w:lang w:val="es-MX"/>
          </w:rPr>
          <w:t xml:space="preserve">3.3.3 </w:t>
        </w:r>
        <w:r w:rsidRPr="00BD1643">
          <w:rPr>
            <w:rStyle w:val="Hipervnculo"/>
            <w:noProof/>
            <w:lang w:val="es-MX"/>
          </w:rPr>
          <w:t>Plan de acción</w:t>
        </w:r>
        <w:r>
          <w:rPr>
            <w:noProof/>
            <w:webHidden/>
          </w:rPr>
          <w:tab/>
        </w:r>
        <w:r>
          <w:rPr>
            <w:noProof/>
            <w:webHidden/>
          </w:rPr>
          <w:fldChar w:fldCharType="begin"/>
        </w:r>
        <w:r>
          <w:rPr>
            <w:noProof/>
            <w:webHidden/>
          </w:rPr>
          <w:instrText xml:space="preserve"> PAGEREF _Toc231741471 \h </w:instrText>
        </w:r>
        <w:r>
          <w:rPr>
            <w:noProof/>
            <w:webHidden/>
          </w:rPr>
        </w:r>
        <w:r>
          <w:rPr>
            <w:noProof/>
            <w:webHidden/>
          </w:rPr>
          <w:fldChar w:fldCharType="separate"/>
        </w:r>
        <w:r>
          <w:rPr>
            <w:noProof/>
            <w:webHidden/>
          </w:rPr>
          <w:t>56</w:t>
        </w:r>
        <w:r>
          <w:rPr>
            <w:noProof/>
            <w:webHidden/>
          </w:rPr>
          <w:fldChar w:fldCharType="end"/>
        </w:r>
      </w:hyperlink>
    </w:p>
    <w:p w14:paraId="14D15B46" w14:textId="06D48D7C" w:rsidR="00FC4070" w:rsidRDefault="00FC4070">
      <w:pPr>
        <w:pStyle w:val="TDC4"/>
        <w:tabs>
          <w:tab w:val="right" w:pos="9395"/>
        </w:tabs>
        <w:rPr>
          <w:rFonts w:asciiTheme="minorHAnsi" w:eastAsiaTheme="minorEastAsia" w:hAnsiTheme="minorHAnsi"/>
          <w:noProof/>
          <w:kern w:val="2"/>
          <w:szCs w:val="24"/>
          <w:lang w:eastAsia="es-CO"/>
          <w14:ligatures w14:val="standardContextual"/>
        </w:rPr>
      </w:pPr>
      <w:hyperlink w:anchor="_Toc231741472" w:history="1">
        <w:r w:rsidRPr="00BD1643">
          <w:rPr>
            <w:rStyle w:val="Hipervnculo"/>
            <w:noProof/>
            <w:lang w:val="es-MX"/>
          </w:rPr>
          <w:t>Eje 1: Fortalecimiento de ingresos propios y autonomía fiscal</w:t>
        </w:r>
        <w:r>
          <w:rPr>
            <w:noProof/>
            <w:webHidden/>
          </w:rPr>
          <w:tab/>
        </w:r>
        <w:r>
          <w:rPr>
            <w:noProof/>
            <w:webHidden/>
          </w:rPr>
          <w:fldChar w:fldCharType="begin"/>
        </w:r>
        <w:r>
          <w:rPr>
            <w:noProof/>
            <w:webHidden/>
          </w:rPr>
          <w:instrText xml:space="preserve"> PAGEREF _Toc231741472 \h </w:instrText>
        </w:r>
        <w:r>
          <w:rPr>
            <w:noProof/>
            <w:webHidden/>
          </w:rPr>
        </w:r>
        <w:r>
          <w:rPr>
            <w:noProof/>
            <w:webHidden/>
          </w:rPr>
          <w:fldChar w:fldCharType="separate"/>
        </w:r>
        <w:r>
          <w:rPr>
            <w:noProof/>
            <w:webHidden/>
          </w:rPr>
          <w:t>56</w:t>
        </w:r>
        <w:r>
          <w:rPr>
            <w:noProof/>
            <w:webHidden/>
          </w:rPr>
          <w:fldChar w:fldCharType="end"/>
        </w:r>
      </w:hyperlink>
    </w:p>
    <w:p w14:paraId="3EA7418E" w14:textId="17CD7079" w:rsidR="00FC4070" w:rsidRDefault="00FC4070">
      <w:pPr>
        <w:pStyle w:val="TDC4"/>
        <w:tabs>
          <w:tab w:val="right" w:pos="9395"/>
        </w:tabs>
        <w:rPr>
          <w:rFonts w:asciiTheme="minorHAnsi" w:eastAsiaTheme="minorEastAsia" w:hAnsiTheme="minorHAnsi"/>
          <w:noProof/>
          <w:kern w:val="2"/>
          <w:szCs w:val="24"/>
          <w:lang w:eastAsia="es-CO"/>
          <w14:ligatures w14:val="standardContextual"/>
        </w:rPr>
      </w:pPr>
      <w:hyperlink w:anchor="_Toc231741473" w:history="1">
        <w:r w:rsidRPr="00BD1643">
          <w:rPr>
            <w:rStyle w:val="Hipervnculo"/>
            <w:noProof/>
            <w:lang w:val="es-MX"/>
          </w:rPr>
          <w:t>Eje 2: Racionalización del gasto y eficiencia de la inversión pública</w:t>
        </w:r>
        <w:r>
          <w:rPr>
            <w:noProof/>
            <w:webHidden/>
          </w:rPr>
          <w:tab/>
        </w:r>
        <w:r>
          <w:rPr>
            <w:noProof/>
            <w:webHidden/>
          </w:rPr>
          <w:fldChar w:fldCharType="begin"/>
        </w:r>
        <w:r>
          <w:rPr>
            <w:noProof/>
            <w:webHidden/>
          </w:rPr>
          <w:instrText xml:space="preserve"> PAGEREF _Toc231741473 \h </w:instrText>
        </w:r>
        <w:r>
          <w:rPr>
            <w:noProof/>
            <w:webHidden/>
          </w:rPr>
        </w:r>
        <w:r>
          <w:rPr>
            <w:noProof/>
            <w:webHidden/>
          </w:rPr>
          <w:fldChar w:fldCharType="separate"/>
        </w:r>
        <w:r>
          <w:rPr>
            <w:noProof/>
            <w:webHidden/>
          </w:rPr>
          <w:t>56</w:t>
        </w:r>
        <w:r>
          <w:rPr>
            <w:noProof/>
            <w:webHidden/>
          </w:rPr>
          <w:fldChar w:fldCharType="end"/>
        </w:r>
      </w:hyperlink>
    </w:p>
    <w:p w14:paraId="318AB61C" w14:textId="76AC30D1" w:rsidR="00FC4070" w:rsidRDefault="00FC4070">
      <w:pPr>
        <w:pStyle w:val="TDC3"/>
        <w:tabs>
          <w:tab w:val="right" w:pos="9395"/>
        </w:tabs>
        <w:rPr>
          <w:rFonts w:asciiTheme="minorHAnsi" w:eastAsiaTheme="minorEastAsia" w:hAnsiTheme="minorHAnsi"/>
          <w:noProof/>
          <w:kern w:val="2"/>
          <w:szCs w:val="24"/>
          <w:lang w:eastAsia="es-CO"/>
          <w14:ligatures w14:val="standardContextual"/>
        </w:rPr>
      </w:pPr>
      <w:hyperlink w:anchor="_Toc231741474" w:history="1">
        <w:r w:rsidRPr="00BD1643">
          <w:rPr>
            <w:rStyle w:val="Hipervnculo"/>
            <w:noProof/>
            <w:lang w:val="es-MX"/>
          </w:rPr>
          <w:t>3.3.4</w:t>
        </w:r>
        <w:r w:rsidRPr="00BD1643">
          <w:rPr>
            <w:rStyle w:val="Hipervnculo"/>
            <w:noProof/>
          </w:rPr>
          <w:t xml:space="preserve"> </w:t>
        </w:r>
        <w:r w:rsidRPr="00BD1643">
          <w:rPr>
            <w:rStyle w:val="Hipervnculo"/>
            <w:noProof/>
            <w:lang w:val="es-MX"/>
          </w:rPr>
          <w:t>Seguimiento y actualización del MFMP</w:t>
        </w:r>
        <w:r>
          <w:rPr>
            <w:noProof/>
            <w:webHidden/>
          </w:rPr>
          <w:tab/>
        </w:r>
        <w:r>
          <w:rPr>
            <w:noProof/>
            <w:webHidden/>
          </w:rPr>
          <w:fldChar w:fldCharType="begin"/>
        </w:r>
        <w:r>
          <w:rPr>
            <w:noProof/>
            <w:webHidden/>
          </w:rPr>
          <w:instrText xml:space="preserve"> PAGEREF _Toc231741474 \h </w:instrText>
        </w:r>
        <w:r>
          <w:rPr>
            <w:noProof/>
            <w:webHidden/>
          </w:rPr>
        </w:r>
        <w:r>
          <w:rPr>
            <w:noProof/>
            <w:webHidden/>
          </w:rPr>
          <w:fldChar w:fldCharType="separate"/>
        </w:r>
        <w:r>
          <w:rPr>
            <w:noProof/>
            <w:webHidden/>
          </w:rPr>
          <w:t>58</w:t>
        </w:r>
        <w:r>
          <w:rPr>
            <w:noProof/>
            <w:webHidden/>
          </w:rPr>
          <w:fldChar w:fldCharType="end"/>
        </w:r>
      </w:hyperlink>
    </w:p>
    <w:p w14:paraId="31791BA0" w14:textId="2C4C6E7A" w:rsidR="00FC4070" w:rsidRDefault="00FC4070">
      <w:pPr>
        <w:pStyle w:val="TDC1"/>
        <w:tabs>
          <w:tab w:val="right" w:pos="9395"/>
        </w:tabs>
        <w:rPr>
          <w:rFonts w:asciiTheme="minorHAnsi" w:eastAsiaTheme="minorEastAsia" w:hAnsiTheme="minorHAnsi"/>
          <w:noProof/>
          <w:kern w:val="2"/>
          <w:szCs w:val="24"/>
          <w:lang w:eastAsia="es-CO"/>
          <w14:ligatures w14:val="standardContextual"/>
        </w:rPr>
      </w:pPr>
      <w:hyperlink w:anchor="_Toc231741475" w:history="1">
        <w:r w:rsidRPr="00BD1643">
          <w:rPr>
            <w:rStyle w:val="Hipervnculo"/>
            <w:noProof/>
            <w:lang w:val="es-MX"/>
          </w:rPr>
          <w:t>CONCLUSIONES</w:t>
        </w:r>
        <w:r>
          <w:rPr>
            <w:noProof/>
            <w:webHidden/>
          </w:rPr>
          <w:tab/>
        </w:r>
        <w:r>
          <w:rPr>
            <w:noProof/>
            <w:webHidden/>
          </w:rPr>
          <w:fldChar w:fldCharType="begin"/>
        </w:r>
        <w:r>
          <w:rPr>
            <w:noProof/>
            <w:webHidden/>
          </w:rPr>
          <w:instrText xml:space="preserve"> PAGEREF _Toc231741475 \h </w:instrText>
        </w:r>
        <w:r>
          <w:rPr>
            <w:noProof/>
            <w:webHidden/>
          </w:rPr>
        </w:r>
        <w:r>
          <w:rPr>
            <w:noProof/>
            <w:webHidden/>
          </w:rPr>
          <w:fldChar w:fldCharType="separate"/>
        </w:r>
        <w:r>
          <w:rPr>
            <w:noProof/>
            <w:webHidden/>
          </w:rPr>
          <w:t>60</w:t>
        </w:r>
        <w:r>
          <w:rPr>
            <w:noProof/>
            <w:webHidden/>
          </w:rPr>
          <w:fldChar w:fldCharType="end"/>
        </w:r>
      </w:hyperlink>
    </w:p>
    <w:p w14:paraId="0E259F98" w14:textId="58BE3010" w:rsidR="00FC4070" w:rsidRDefault="00FC4070">
      <w:pPr>
        <w:pStyle w:val="TDC1"/>
        <w:tabs>
          <w:tab w:val="right" w:pos="9395"/>
        </w:tabs>
        <w:rPr>
          <w:rFonts w:asciiTheme="minorHAnsi" w:eastAsiaTheme="minorEastAsia" w:hAnsiTheme="minorHAnsi"/>
          <w:noProof/>
          <w:kern w:val="2"/>
          <w:szCs w:val="24"/>
          <w:lang w:eastAsia="es-CO"/>
          <w14:ligatures w14:val="standardContextual"/>
        </w:rPr>
      </w:pPr>
      <w:hyperlink w:anchor="_Toc231741476" w:history="1">
        <w:r w:rsidRPr="00BD1643">
          <w:rPr>
            <w:rStyle w:val="Hipervnculo"/>
            <w:noProof/>
            <w:lang w:val="es-MX"/>
          </w:rPr>
          <w:t>RECOMENDACIONES</w:t>
        </w:r>
        <w:r w:rsidRPr="00BD1643">
          <w:rPr>
            <w:rStyle w:val="Hipervnculo"/>
            <w:rFonts w:cs="Arial"/>
            <w:noProof/>
            <w:lang w:val="es-MX"/>
          </w:rPr>
          <w:t>.</w:t>
        </w:r>
        <w:r>
          <w:rPr>
            <w:noProof/>
            <w:webHidden/>
          </w:rPr>
          <w:tab/>
        </w:r>
        <w:r>
          <w:rPr>
            <w:noProof/>
            <w:webHidden/>
          </w:rPr>
          <w:fldChar w:fldCharType="begin"/>
        </w:r>
        <w:r>
          <w:rPr>
            <w:noProof/>
            <w:webHidden/>
          </w:rPr>
          <w:instrText xml:space="preserve"> PAGEREF _Toc231741476 \h </w:instrText>
        </w:r>
        <w:r>
          <w:rPr>
            <w:noProof/>
            <w:webHidden/>
          </w:rPr>
        </w:r>
        <w:r>
          <w:rPr>
            <w:noProof/>
            <w:webHidden/>
          </w:rPr>
          <w:fldChar w:fldCharType="separate"/>
        </w:r>
        <w:r>
          <w:rPr>
            <w:noProof/>
            <w:webHidden/>
          </w:rPr>
          <w:t>62</w:t>
        </w:r>
        <w:r>
          <w:rPr>
            <w:noProof/>
            <w:webHidden/>
          </w:rPr>
          <w:fldChar w:fldCharType="end"/>
        </w:r>
      </w:hyperlink>
    </w:p>
    <w:p w14:paraId="54685539" w14:textId="18B697E3" w:rsidR="00FC4070" w:rsidRDefault="00FC4070">
      <w:pPr>
        <w:pStyle w:val="TDC1"/>
        <w:tabs>
          <w:tab w:val="right" w:pos="9395"/>
        </w:tabs>
        <w:rPr>
          <w:rFonts w:asciiTheme="minorHAnsi" w:eastAsiaTheme="minorEastAsia" w:hAnsiTheme="minorHAnsi"/>
          <w:noProof/>
          <w:kern w:val="2"/>
          <w:szCs w:val="24"/>
          <w:lang w:eastAsia="es-CO"/>
          <w14:ligatures w14:val="standardContextual"/>
        </w:rPr>
      </w:pPr>
      <w:hyperlink w:anchor="_Toc231741477" w:history="1">
        <w:r w:rsidRPr="00BD1643">
          <w:rPr>
            <w:rStyle w:val="Hipervnculo"/>
            <w:noProof/>
            <w:lang w:val="es-MX"/>
          </w:rPr>
          <w:t>BIBLIOGRAFÍA</w:t>
        </w:r>
        <w:r>
          <w:rPr>
            <w:noProof/>
            <w:webHidden/>
          </w:rPr>
          <w:tab/>
        </w:r>
        <w:r>
          <w:rPr>
            <w:noProof/>
            <w:webHidden/>
          </w:rPr>
          <w:fldChar w:fldCharType="begin"/>
        </w:r>
        <w:r>
          <w:rPr>
            <w:noProof/>
            <w:webHidden/>
          </w:rPr>
          <w:instrText xml:space="preserve"> PAGEREF _Toc231741477 \h </w:instrText>
        </w:r>
        <w:r>
          <w:rPr>
            <w:noProof/>
            <w:webHidden/>
          </w:rPr>
        </w:r>
        <w:r>
          <w:rPr>
            <w:noProof/>
            <w:webHidden/>
          </w:rPr>
          <w:fldChar w:fldCharType="separate"/>
        </w:r>
        <w:r>
          <w:rPr>
            <w:noProof/>
            <w:webHidden/>
          </w:rPr>
          <w:t>64</w:t>
        </w:r>
        <w:r>
          <w:rPr>
            <w:noProof/>
            <w:webHidden/>
          </w:rPr>
          <w:fldChar w:fldCharType="end"/>
        </w:r>
      </w:hyperlink>
    </w:p>
    <w:p w14:paraId="419A3EBA" w14:textId="4A83BE31" w:rsidR="00FC4070" w:rsidRDefault="00FC4070">
      <w:pPr>
        <w:pStyle w:val="TDC1"/>
        <w:tabs>
          <w:tab w:val="right" w:pos="9395"/>
        </w:tabs>
        <w:rPr>
          <w:rFonts w:asciiTheme="minorHAnsi" w:eastAsiaTheme="minorEastAsia" w:hAnsiTheme="minorHAnsi"/>
          <w:noProof/>
          <w:kern w:val="2"/>
          <w:szCs w:val="24"/>
          <w:lang w:eastAsia="es-CO"/>
          <w14:ligatures w14:val="standardContextual"/>
        </w:rPr>
      </w:pPr>
      <w:hyperlink w:anchor="_Toc231741478" w:history="1">
        <w:r w:rsidRPr="00BD1643">
          <w:rPr>
            <w:rStyle w:val="Hipervnculo"/>
            <w:noProof/>
          </w:rPr>
          <w:t>ANEXOS</w:t>
        </w:r>
        <w:r>
          <w:rPr>
            <w:noProof/>
            <w:webHidden/>
          </w:rPr>
          <w:tab/>
        </w:r>
        <w:r>
          <w:rPr>
            <w:noProof/>
            <w:webHidden/>
          </w:rPr>
          <w:fldChar w:fldCharType="begin"/>
        </w:r>
        <w:r>
          <w:rPr>
            <w:noProof/>
            <w:webHidden/>
          </w:rPr>
          <w:instrText xml:space="preserve"> PAGEREF _Toc231741478 \h </w:instrText>
        </w:r>
        <w:r>
          <w:rPr>
            <w:noProof/>
            <w:webHidden/>
          </w:rPr>
        </w:r>
        <w:r>
          <w:rPr>
            <w:noProof/>
            <w:webHidden/>
          </w:rPr>
          <w:fldChar w:fldCharType="separate"/>
        </w:r>
        <w:r>
          <w:rPr>
            <w:noProof/>
            <w:webHidden/>
          </w:rPr>
          <w:t>66</w:t>
        </w:r>
        <w:r>
          <w:rPr>
            <w:noProof/>
            <w:webHidden/>
          </w:rPr>
          <w:fldChar w:fldCharType="end"/>
        </w:r>
      </w:hyperlink>
    </w:p>
    <w:p w14:paraId="615F387A" w14:textId="5565494D" w:rsidR="00A31460" w:rsidRDefault="00592EE9" w:rsidP="00190D90">
      <w:pPr>
        <w:spacing w:line="480" w:lineRule="auto"/>
        <w:rPr>
          <w:rFonts w:cs="Arial"/>
          <w:szCs w:val="24"/>
          <w:lang w:val="es-MX"/>
        </w:rPr>
      </w:pPr>
      <w:r>
        <w:rPr>
          <w:rFonts w:cs="Arial"/>
          <w:szCs w:val="24"/>
          <w:lang w:val="es-MX"/>
        </w:rPr>
        <w:fldChar w:fldCharType="end"/>
      </w:r>
    </w:p>
    <w:p w14:paraId="635131B0" w14:textId="77777777" w:rsidR="000457E9" w:rsidRDefault="000457E9" w:rsidP="00190D90">
      <w:pPr>
        <w:spacing w:line="480" w:lineRule="auto"/>
        <w:rPr>
          <w:rFonts w:cs="Arial"/>
          <w:szCs w:val="24"/>
          <w:lang w:val="es-MX"/>
        </w:rPr>
      </w:pPr>
    </w:p>
    <w:p w14:paraId="667EADCF" w14:textId="77777777" w:rsidR="000457E9" w:rsidRDefault="000457E9" w:rsidP="00190D90">
      <w:pPr>
        <w:spacing w:line="480" w:lineRule="auto"/>
        <w:rPr>
          <w:rFonts w:cs="Arial"/>
          <w:szCs w:val="24"/>
          <w:lang w:val="es-MX"/>
        </w:rPr>
      </w:pPr>
    </w:p>
    <w:p w14:paraId="2D30139F" w14:textId="77777777" w:rsidR="000457E9" w:rsidRDefault="000457E9" w:rsidP="00190D90">
      <w:pPr>
        <w:spacing w:line="480" w:lineRule="auto"/>
        <w:rPr>
          <w:rFonts w:cs="Arial"/>
          <w:szCs w:val="24"/>
          <w:lang w:val="es-MX"/>
        </w:rPr>
      </w:pPr>
    </w:p>
    <w:p w14:paraId="1426F518" w14:textId="77777777" w:rsidR="00586BE8" w:rsidRDefault="00586BE8" w:rsidP="00190D90">
      <w:pPr>
        <w:spacing w:line="480" w:lineRule="auto"/>
        <w:rPr>
          <w:rFonts w:cs="Arial"/>
          <w:szCs w:val="24"/>
          <w:lang w:val="es-MX"/>
        </w:rPr>
      </w:pPr>
    </w:p>
    <w:p w14:paraId="279C109B" w14:textId="77777777" w:rsidR="0087320A" w:rsidRDefault="0087320A" w:rsidP="00190D90">
      <w:pPr>
        <w:spacing w:line="480" w:lineRule="auto"/>
        <w:rPr>
          <w:rFonts w:cs="Arial"/>
          <w:szCs w:val="24"/>
          <w:lang w:val="es-MX"/>
        </w:rPr>
      </w:pPr>
    </w:p>
    <w:p w14:paraId="0F91A2F8" w14:textId="6D560378" w:rsidR="00F00631" w:rsidRDefault="00871DEC" w:rsidP="000064E6">
      <w:pPr>
        <w:pStyle w:val="Ttulo1"/>
        <w:rPr>
          <w:lang w:val="es-MX"/>
        </w:rPr>
      </w:pPr>
      <w:bookmarkStart w:id="0" w:name="_Toc231741401"/>
      <w:r>
        <w:rPr>
          <w:lang w:val="es-MX"/>
        </w:rPr>
        <w:lastRenderedPageBreak/>
        <w:t>GLOSARIO</w:t>
      </w:r>
      <w:bookmarkEnd w:id="0"/>
    </w:p>
    <w:p w14:paraId="02FA863C" w14:textId="6661C717" w:rsidR="00D83860" w:rsidRPr="00D83860" w:rsidRDefault="00D83860" w:rsidP="00D83860">
      <w:pPr>
        <w:rPr>
          <w:rFonts w:cs="Arial"/>
          <w:szCs w:val="24"/>
          <w:lang w:val="es-MX"/>
        </w:rPr>
      </w:pPr>
      <w:r w:rsidRPr="00D83860">
        <w:rPr>
          <w:rFonts w:cs="Arial"/>
          <w:szCs w:val="24"/>
          <w:lang w:val="es-MX"/>
        </w:rPr>
        <w:t>MARCO FISCAL DE MEDIANO PLAZO: instrumento de planificación financiera utilizado por las entidades territoriales para proyectar, en un horizonte de varios años, el comportamiento de los ingresos, gastos, deuda y demás variables fiscales, con el fin de garantizar la sostenibilidad de las finanzas públicas.</w:t>
      </w:r>
    </w:p>
    <w:p w14:paraId="70AEC8CA" w14:textId="501FA7AE" w:rsidR="00D83860" w:rsidRPr="00D83860" w:rsidRDefault="00D83860" w:rsidP="00D83860">
      <w:pPr>
        <w:spacing w:before="480"/>
        <w:rPr>
          <w:rFonts w:cs="Arial"/>
          <w:szCs w:val="24"/>
          <w:lang w:val="es-MX"/>
        </w:rPr>
      </w:pPr>
      <w:r w:rsidRPr="00D83860">
        <w:rPr>
          <w:rFonts w:cs="Arial"/>
          <w:szCs w:val="24"/>
          <w:lang w:val="es-MX"/>
        </w:rPr>
        <w:t>CARTERA: conjunto de obligaciones económicas pendientes de pago a favor de una entidad pública, originadas principalmente por impuestos, tasas, contribuciones u otros ingresos que aún no han sido recaudados.</w:t>
      </w:r>
    </w:p>
    <w:p w14:paraId="2024CEDE" w14:textId="69708E62" w:rsidR="00D83860" w:rsidRPr="00D83860" w:rsidRDefault="00D83860" w:rsidP="00D83860">
      <w:pPr>
        <w:spacing w:before="480"/>
        <w:rPr>
          <w:rFonts w:cs="Arial"/>
          <w:szCs w:val="24"/>
          <w:lang w:val="es-MX"/>
        </w:rPr>
      </w:pPr>
      <w:r w:rsidRPr="00D83860">
        <w:rPr>
          <w:rFonts w:cs="Arial"/>
          <w:szCs w:val="24"/>
          <w:lang w:val="es-MX"/>
        </w:rPr>
        <w:t>PASIVOS EXIGIBLES: obligaciones financieras que una entidad debe cancelar dentro de un periodo determinado, las cuales corresponden a compromisos adquiridos previamente y que requieren ser atendidos con recursos disponibles.</w:t>
      </w:r>
    </w:p>
    <w:p w14:paraId="68D57031" w14:textId="1E132D14" w:rsidR="00D83860" w:rsidRPr="00D83860" w:rsidRDefault="00D83860" w:rsidP="00D83860">
      <w:pPr>
        <w:spacing w:before="480"/>
        <w:rPr>
          <w:rFonts w:cs="Arial"/>
          <w:szCs w:val="24"/>
          <w:lang w:val="es-MX"/>
        </w:rPr>
      </w:pPr>
      <w:r w:rsidRPr="00D83860">
        <w:rPr>
          <w:rFonts w:cs="Arial"/>
          <w:szCs w:val="24"/>
          <w:lang w:val="es-MX"/>
        </w:rPr>
        <w:t>SERVICIO DE LA DEUDA: conjunto de pagos que debe realizar una entidad pública para cumplir con las obligaciones derivadas de créditos o financiamientos adquiridos, incluyendo tanto el capital como los intereses.</w:t>
      </w:r>
    </w:p>
    <w:p w14:paraId="76F8EB42" w14:textId="5BF0070B" w:rsidR="00F00631" w:rsidRDefault="00D83860" w:rsidP="00B14896">
      <w:pPr>
        <w:spacing w:before="480" w:after="480"/>
        <w:rPr>
          <w:rFonts w:cs="Arial"/>
          <w:szCs w:val="24"/>
          <w:lang w:val="es-MX"/>
        </w:rPr>
      </w:pPr>
      <w:r w:rsidRPr="00D83860">
        <w:rPr>
          <w:rFonts w:cs="Arial"/>
          <w:szCs w:val="24"/>
          <w:lang w:val="es-MX"/>
        </w:rPr>
        <w:t>GESTIÓN FISCAL: conjunto de acciones administrativas, financieras y técnicas orientadas a la administración eficiente de los recursos públicos, con el propósito de garantizar el cumplimiento de los objetivos del Estado y el equilibrio de las finanzas públicas.</w:t>
      </w:r>
    </w:p>
    <w:p w14:paraId="0F89CFB7" w14:textId="772ABB6D" w:rsidR="00B14896" w:rsidRPr="00B14896" w:rsidRDefault="00B14896" w:rsidP="00B14896">
      <w:pPr>
        <w:spacing w:after="480"/>
        <w:rPr>
          <w:rFonts w:cs="Arial"/>
          <w:szCs w:val="24"/>
          <w:lang w:val="es-MX"/>
        </w:rPr>
      </w:pPr>
      <w:r w:rsidRPr="00B14896">
        <w:rPr>
          <w:rFonts w:cs="Arial"/>
          <w:szCs w:val="24"/>
          <w:lang w:val="es-MX"/>
        </w:rPr>
        <w:t>CERTIFICADO DE DISPONIBILIDAD PRESUPUESTAL (CDP): documento mediante el cual se acredita que existe apropiación presupuestal suficiente para respaldar un compromiso.</w:t>
      </w:r>
    </w:p>
    <w:p w14:paraId="50E96137" w14:textId="3D654BEB" w:rsidR="00B14896" w:rsidRPr="00B14896" w:rsidRDefault="00B14896" w:rsidP="00B14896">
      <w:pPr>
        <w:spacing w:after="480"/>
        <w:rPr>
          <w:rFonts w:cs="Arial"/>
          <w:szCs w:val="24"/>
          <w:lang w:val="es-MX"/>
        </w:rPr>
      </w:pPr>
      <w:r w:rsidRPr="00B14896">
        <w:rPr>
          <w:rFonts w:cs="Arial"/>
          <w:szCs w:val="24"/>
          <w:lang w:val="es-MX"/>
        </w:rPr>
        <w:t>REGISTRO PRESUPUESTAL (RP): operación administrativa que formaliza un compromiso adquirido por la entidad, afectando de manera definitiva el presupuesto disponible para asegurar el cumplimiento de la obligación.</w:t>
      </w:r>
    </w:p>
    <w:p w14:paraId="1C11F631" w14:textId="103CF630" w:rsidR="00B14896" w:rsidRPr="00B14896" w:rsidRDefault="00B14896" w:rsidP="00B14896">
      <w:pPr>
        <w:spacing w:after="480"/>
        <w:rPr>
          <w:rFonts w:cs="Arial"/>
          <w:szCs w:val="24"/>
          <w:lang w:val="es-MX"/>
        </w:rPr>
      </w:pPr>
      <w:r w:rsidRPr="00B14896">
        <w:rPr>
          <w:rFonts w:cs="Arial"/>
          <w:szCs w:val="24"/>
          <w:lang w:val="es-MX"/>
        </w:rPr>
        <w:t>EJECUCIÓN PRESUPUESTAL: proceso mediante el cual se materializa el uso de los recursos públicos, reflejando el comportamiento real de los ingresos recaudados y los gastos realizados frente a lo programado.</w:t>
      </w:r>
    </w:p>
    <w:p w14:paraId="462EC71F" w14:textId="5FAFC1EA" w:rsidR="00B14896" w:rsidRPr="00B14896" w:rsidRDefault="00B14896" w:rsidP="00B14896">
      <w:pPr>
        <w:spacing w:after="480"/>
        <w:rPr>
          <w:rFonts w:cs="Arial"/>
          <w:szCs w:val="24"/>
          <w:lang w:val="es-MX"/>
        </w:rPr>
      </w:pPr>
      <w:r w:rsidRPr="00B14896">
        <w:rPr>
          <w:rFonts w:cs="Arial"/>
          <w:szCs w:val="24"/>
          <w:lang w:val="es-MX"/>
        </w:rPr>
        <w:lastRenderedPageBreak/>
        <w:t>SOSTENIBILIDAD FISCAL: capacidad de una entidad territorial para mantener en el tiempo el equilibrio entre sus ingresos y obligaciones, evitando desequilibrios que comprometan su estabilidad financiera.</w:t>
      </w:r>
    </w:p>
    <w:p w14:paraId="27E5025C" w14:textId="0DBD52CD" w:rsidR="00B14896" w:rsidRPr="00B14896" w:rsidRDefault="00B14896" w:rsidP="00B14896">
      <w:pPr>
        <w:spacing w:after="480"/>
        <w:rPr>
          <w:rFonts w:cs="Arial"/>
          <w:szCs w:val="24"/>
          <w:lang w:val="es-MX"/>
        </w:rPr>
      </w:pPr>
      <w:r w:rsidRPr="00B14896">
        <w:rPr>
          <w:rFonts w:cs="Arial"/>
          <w:szCs w:val="24"/>
          <w:lang w:val="es-MX"/>
        </w:rPr>
        <w:t>PASIVOS CONTINGENTES: posibles obligaciones que podrían generarse en el futuro como resultado de hechos inciertos, tales como demandas o garantías, cuyo impacto depende de la ocurrencia de determinados eventos.</w:t>
      </w:r>
    </w:p>
    <w:p w14:paraId="45F7A1CB" w14:textId="331E4144" w:rsidR="00B14896" w:rsidRPr="00B14896" w:rsidRDefault="00B14896" w:rsidP="00B14896">
      <w:pPr>
        <w:spacing w:after="480"/>
        <w:rPr>
          <w:rFonts w:cs="Arial"/>
          <w:szCs w:val="24"/>
          <w:lang w:val="es-MX"/>
        </w:rPr>
      </w:pPr>
      <w:r w:rsidRPr="00B14896">
        <w:rPr>
          <w:rFonts w:cs="Arial"/>
          <w:szCs w:val="24"/>
          <w:lang w:val="es-MX"/>
        </w:rPr>
        <w:t>SECTOR DESCENTRALIZADO: conjunto de entidades públicas con autonomía administrativa y financiera que hacen parte de la estructura del Estado a nivel territorial y que pueden incidir en la situación fiscal del municipio.</w:t>
      </w:r>
    </w:p>
    <w:p w14:paraId="4921269C" w14:textId="2ABA896C" w:rsidR="00B14896" w:rsidRPr="00B14896" w:rsidRDefault="00B14896" w:rsidP="00B14896">
      <w:pPr>
        <w:spacing w:after="480"/>
        <w:rPr>
          <w:rFonts w:cs="Arial"/>
          <w:szCs w:val="24"/>
          <w:lang w:val="es-MX"/>
        </w:rPr>
      </w:pPr>
      <w:r w:rsidRPr="00B14896">
        <w:rPr>
          <w:rFonts w:cs="Arial"/>
          <w:szCs w:val="24"/>
          <w:lang w:val="es-MX"/>
        </w:rPr>
        <w:t>PROGRAMA ANUAL MENSUALIZADO DE CAJA (PAC): herramienta de programación que organiza la disponibilidad de recursos a lo largo del año, permitiendo planificar los pagos de acuerdo con el flujo de ingresos.</w:t>
      </w:r>
    </w:p>
    <w:p w14:paraId="14B2AA02" w14:textId="5136C528" w:rsidR="00B14896" w:rsidRPr="00B14896" w:rsidRDefault="00B14896" w:rsidP="00B14896">
      <w:pPr>
        <w:spacing w:after="480"/>
        <w:rPr>
          <w:rFonts w:cs="Arial"/>
          <w:szCs w:val="24"/>
          <w:lang w:val="es-MX"/>
        </w:rPr>
      </w:pPr>
      <w:r w:rsidRPr="00B14896">
        <w:rPr>
          <w:rFonts w:cs="Arial"/>
          <w:szCs w:val="24"/>
          <w:lang w:val="es-MX"/>
        </w:rPr>
        <w:t>INGRESOS CORRIENTES DE LIBRE DESTINACIÓN (ICLD): recursos que percibe la entidad territorial y que no tienen una destinación específica, lo que permite su utilización para financiar distintos gastos de funcionamiento o inversión.</w:t>
      </w:r>
    </w:p>
    <w:p w14:paraId="2BD24828" w14:textId="77777777" w:rsidR="00F00631" w:rsidRDefault="00F00631" w:rsidP="002824F1">
      <w:pPr>
        <w:rPr>
          <w:rFonts w:cs="Arial"/>
          <w:szCs w:val="24"/>
          <w:lang w:val="es-MX"/>
        </w:rPr>
      </w:pPr>
    </w:p>
    <w:p w14:paraId="189FD838" w14:textId="77777777" w:rsidR="00F00631" w:rsidRDefault="00F00631" w:rsidP="002824F1">
      <w:pPr>
        <w:rPr>
          <w:rFonts w:cs="Arial"/>
          <w:szCs w:val="24"/>
          <w:lang w:val="es-MX"/>
        </w:rPr>
      </w:pPr>
    </w:p>
    <w:p w14:paraId="12A5A38F" w14:textId="77777777" w:rsidR="00F00631" w:rsidRDefault="00F00631" w:rsidP="002824F1">
      <w:pPr>
        <w:rPr>
          <w:rFonts w:cs="Arial"/>
          <w:szCs w:val="24"/>
          <w:lang w:val="es-MX"/>
        </w:rPr>
      </w:pPr>
    </w:p>
    <w:p w14:paraId="147C205D" w14:textId="77777777" w:rsidR="00F00631" w:rsidRDefault="00F00631" w:rsidP="002824F1">
      <w:pPr>
        <w:rPr>
          <w:rFonts w:cs="Arial"/>
          <w:szCs w:val="24"/>
          <w:lang w:val="es-MX"/>
        </w:rPr>
      </w:pPr>
    </w:p>
    <w:p w14:paraId="34CD547F" w14:textId="77777777" w:rsidR="00C548E6" w:rsidRDefault="00C548E6" w:rsidP="002824F1">
      <w:pPr>
        <w:rPr>
          <w:rFonts w:cs="Arial"/>
          <w:szCs w:val="24"/>
          <w:lang w:val="es-MX"/>
        </w:rPr>
      </w:pPr>
    </w:p>
    <w:p w14:paraId="7A1D5DE1" w14:textId="77777777" w:rsidR="00B14896" w:rsidRDefault="00B14896" w:rsidP="002824F1">
      <w:pPr>
        <w:rPr>
          <w:rFonts w:cs="Arial"/>
          <w:szCs w:val="24"/>
          <w:lang w:val="es-MX"/>
        </w:rPr>
      </w:pPr>
    </w:p>
    <w:p w14:paraId="5BF37055" w14:textId="77777777" w:rsidR="00B14896" w:rsidRDefault="00B14896" w:rsidP="002824F1">
      <w:pPr>
        <w:rPr>
          <w:rFonts w:cs="Arial"/>
          <w:szCs w:val="24"/>
          <w:lang w:val="es-MX"/>
        </w:rPr>
      </w:pPr>
    </w:p>
    <w:p w14:paraId="3BB5F094" w14:textId="77777777" w:rsidR="00B14896" w:rsidRDefault="00B14896" w:rsidP="002824F1">
      <w:pPr>
        <w:rPr>
          <w:rFonts w:cs="Arial"/>
          <w:szCs w:val="24"/>
          <w:lang w:val="es-MX"/>
        </w:rPr>
      </w:pPr>
    </w:p>
    <w:p w14:paraId="6A5C103C" w14:textId="77777777" w:rsidR="00B14896" w:rsidRDefault="00B14896" w:rsidP="002824F1">
      <w:pPr>
        <w:rPr>
          <w:rFonts w:cs="Arial"/>
          <w:szCs w:val="24"/>
          <w:lang w:val="es-MX"/>
        </w:rPr>
      </w:pPr>
    </w:p>
    <w:p w14:paraId="1E54077B" w14:textId="77777777" w:rsidR="000B5015" w:rsidRDefault="000B5015" w:rsidP="002824F1">
      <w:pPr>
        <w:rPr>
          <w:rFonts w:cs="Arial"/>
          <w:szCs w:val="24"/>
          <w:lang w:val="es-MX"/>
        </w:rPr>
      </w:pPr>
    </w:p>
    <w:p w14:paraId="58A30220" w14:textId="77777777" w:rsidR="0025592F" w:rsidRDefault="0025592F" w:rsidP="002824F1">
      <w:pPr>
        <w:rPr>
          <w:rFonts w:cs="Arial"/>
          <w:szCs w:val="24"/>
          <w:lang w:val="es-MX"/>
        </w:rPr>
      </w:pPr>
    </w:p>
    <w:p w14:paraId="65742703" w14:textId="3D1CE170" w:rsidR="00C548E6" w:rsidRDefault="00C548E6" w:rsidP="00C548E6">
      <w:pPr>
        <w:jc w:val="center"/>
        <w:rPr>
          <w:rFonts w:cs="Arial"/>
          <w:szCs w:val="24"/>
          <w:lang w:val="es-MX"/>
        </w:rPr>
      </w:pPr>
      <w:r>
        <w:rPr>
          <w:rFonts w:cs="Arial"/>
          <w:szCs w:val="24"/>
          <w:lang w:val="es-MX"/>
        </w:rPr>
        <w:lastRenderedPageBreak/>
        <w:t>LISTA DE TABLAS</w:t>
      </w:r>
    </w:p>
    <w:p w14:paraId="056D4A3B" w14:textId="2BC3CF27" w:rsidR="00C548E6" w:rsidRDefault="00F304B4" w:rsidP="00F304B4">
      <w:pPr>
        <w:spacing w:line="480" w:lineRule="auto"/>
        <w:jc w:val="right"/>
        <w:rPr>
          <w:rFonts w:cs="Arial"/>
          <w:szCs w:val="24"/>
          <w:lang w:val="es-MX"/>
        </w:rPr>
      </w:pPr>
      <w:r w:rsidRPr="00F304B4">
        <w:rPr>
          <w:rFonts w:cs="Arial"/>
          <w:szCs w:val="24"/>
          <w:lang w:val="es-MX"/>
        </w:rPr>
        <w:t>pág</w:t>
      </w:r>
    </w:p>
    <w:p w14:paraId="40BCC2A6" w14:textId="5A47AA8E" w:rsidR="00FC4070" w:rsidRDefault="00F304B4">
      <w:pPr>
        <w:pStyle w:val="Tabladeilustraciones"/>
        <w:tabs>
          <w:tab w:val="right" w:pos="9395"/>
        </w:tabs>
        <w:rPr>
          <w:rFonts w:asciiTheme="minorHAnsi" w:eastAsiaTheme="minorEastAsia" w:hAnsiTheme="minorHAnsi"/>
          <w:noProof/>
          <w:kern w:val="2"/>
          <w:szCs w:val="24"/>
          <w:lang w:eastAsia="es-CO"/>
          <w14:ligatures w14:val="standardContextual"/>
        </w:rPr>
      </w:pPr>
      <w:r>
        <w:rPr>
          <w:rFonts w:cs="Arial"/>
          <w:szCs w:val="24"/>
          <w:lang w:val="es-MX"/>
        </w:rPr>
        <w:fldChar w:fldCharType="begin"/>
      </w:r>
      <w:r>
        <w:rPr>
          <w:rFonts w:cs="Arial"/>
          <w:szCs w:val="24"/>
          <w:lang w:val="es-MX"/>
        </w:rPr>
        <w:instrText xml:space="preserve"> TOC \h \z \c "Tabla" </w:instrText>
      </w:r>
      <w:r>
        <w:rPr>
          <w:rFonts w:cs="Arial"/>
          <w:szCs w:val="24"/>
          <w:lang w:val="es-MX"/>
        </w:rPr>
        <w:fldChar w:fldCharType="separate"/>
      </w:r>
      <w:hyperlink w:anchor="_Toc231741479" w:history="1">
        <w:r w:rsidR="00FC4070" w:rsidRPr="00EB65D1">
          <w:rPr>
            <w:rStyle w:val="Hipervnculo"/>
            <w:rFonts w:cs="Arial"/>
            <w:b/>
            <w:bCs/>
            <w:noProof/>
          </w:rPr>
          <w:t>Tabla 1</w:t>
        </w:r>
        <w:r w:rsidR="00FC4070" w:rsidRPr="00EB65D1">
          <w:rPr>
            <w:rStyle w:val="Hipervnculo"/>
            <w:rFonts w:cs="Arial"/>
            <w:noProof/>
          </w:rPr>
          <w:t>. Información general de la Alcaldía de Aguachica</w:t>
        </w:r>
        <w:r w:rsidR="00FC4070">
          <w:rPr>
            <w:noProof/>
            <w:webHidden/>
          </w:rPr>
          <w:tab/>
        </w:r>
        <w:r w:rsidR="00FC4070">
          <w:rPr>
            <w:noProof/>
            <w:webHidden/>
          </w:rPr>
          <w:fldChar w:fldCharType="begin"/>
        </w:r>
        <w:r w:rsidR="00FC4070">
          <w:rPr>
            <w:noProof/>
            <w:webHidden/>
          </w:rPr>
          <w:instrText xml:space="preserve"> PAGEREF _Toc231741479 \h </w:instrText>
        </w:r>
        <w:r w:rsidR="00FC4070">
          <w:rPr>
            <w:noProof/>
            <w:webHidden/>
          </w:rPr>
        </w:r>
        <w:r w:rsidR="00FC4070">
          <w:rPr>
            <w:noProof/>
            <w:webHidden/>
          </w:rPr>
          <w:fldChar w:fldCharType="separate"/>
        </w:r>
        <w:r w:rsidR="00FC4070">
          <w:rPr>
            <w:noProof/>
            <w:webHidden/>
          </w:rPr>
          <w:t>18</w:t>
        </w:r>
        <w:r w:rsidR="00FC4070">
          <w:rPr>
            <w:noProof/>
            <w:webHidden/>
          </w:rPr>
          <w:fldChar w:fldCharType="end"/>
        </w:r>
      </w:hyperlink>
    </w:p>
    <w:p w14:paraId="24843532" w14:textId="2A3506FE" w:rsidR="00FC4070" w:rsidRDefault="00FC4070">
      <w:pPr>
        <w:pStyle w:val="Tabladeilustraciones"/>
        <w:tabs>
          <w:tab w:val="right" w:pos="9395"/>
        </w:tabs>
        <w:rPr>
          <w:rFonts w:asciiTheme="minorHAnsi" w:eastAsiaTheme="minorEastAsia" w:hAnsiTheme="minorHAnsi"/>
          <w:noProof/>
          <w:kern w:val="2"/>
          <w:szCs w:val="24"/>
          <w:lang w:eastAsia="es-CO"/>
          <w14:ligatures w14:val="standardContextual"/>
        </w:rPr>
      </w:pPr>
      <w:hyperlink w:anchor="_Toc231741480" w:history="1">
        <w:r w:rsidRPr="00EB65D1">
          <w:rPr>
            <w:rStyle w:val="Hipervnculo"/>
            <w:rFonts w:cs="Arial"/>
            <w:b/>
            <w:bCs/>
            <w:noProof/>
          </w:rPr>
          <w:t>Tabla 2</w:t>
        </w:r>
        <w:r w:rsidRPr="00EB65D1">
          <w:rPr>
            <w:rStyle w:val="Hipervnculo"/>
            <w:rFonts w:cs="Arial"/>
            <w:noProof/>
          </w:rPr>
          <w:t>. Valores institucionales de la Alcaldía de Aguachica</w:t>
        </w:r>
        <w:r>
          <w:rPr>
            <w:noProof/>
            <w:webHidden/>
          </w:rPr>
          <w:tab/>
        </w:r>
        <w:r>
          <w:rPr>
            <w:noProof/>
            <w:webHidden/>
          </w:rPr>
          <w:fldChar w:fldCharType="begin"/>
        </w:r>
        <w:r>
          <w:rPr>
            <w:noProof/>
            <w:webHidden/>
          </w:rPr>
          <w:instrText xml:space="preserve"> PAGEREF _Toc231741480 \h </w:instrText>
        </w:r>
        <w:r>
          <w:rPr>
            <w:noProof/>
            <w:webHidden/>
          </w:rPr>
        </w:r>
        <w:r>
          <w:rPr>
            <w:noProof/>
            <w:webHidden/>
          </w:rPr>
          <w:fldChar w:fldCharType="separate"/>
        </w:r>
        <w:r>
          <w:rPr>
            <w:noProof/>
            <w:webHidden/>
          </w:rPr>
          <w:t>22</w:t>
        </w:r>
        <w:r>
          <w:rPr>
            <w:noProof/>
            <w:webHidden/>
          </w:rPr>
          <w:fldChar w:fldCharType="end"/>
        </w:r>
      </w:hyperlink>
    </w:p>
    <w:p w14:paraId="7EF97F4D" w14:textId="4C5C393A" w:rsidR="00FC4070" w:rsidRDefault="00FC4070">
      <w:pPr>
        <w:pStyle w:val="Tabladeilustraciones"/>
        <w:tabs>
          <w:tab w:val="right" w:pos="9395"/>
        </w:tabs>
        <w:rPr>
          <w:rFonts w:asciiTheme="minorHAnsi" w:eastAsiaTheme="minorEastAsia" w:hAnsiTheme="minorHAnsi"/>
          <w:noProof/>
          <w:kern w:val="2"/>
          <w:szCs w:val="24"/>
          <w:lang w:eastAsia="es-CO"/>
          <w14:ligatures w14:val="standardContextual"/>
        </w:rPr>
      </w:pPr>
      <w:hyperlink w:anchor="_Toc231741481" w:history="1">
        <w:r w:rsidRPr="00EB65D1">
          <w:rPr>
            <w:rStyle w:val="Hipervnculo"/>
            <w:rFonts w:cs="Arial"/>
            <w:b/>
            <w:bCs/>
            <w:noProof/>
          </w:rPr>
          <w:t>Tabla 3</w:t>
        </w:r>
        <w:r w:rsidRPr="00EB65D1">
          <w:rPr>
            <w:rStyle w:val="Hipervnculo"/>
            <w:rFonts w:cs="Arial"/>
            <w:noProof/>
          </w:rPr>
          <w:t>. Plan de actividades de la práctica profesional en la Alcaldía Municipal de Aguachica</w:t>
        </w:r>
        <w:r>
          <w:rPr>
            <w:noProof/>
            <w:webHidden/>
          </w:rPr>
          <w:tab/>
        </w:r>
        <w:r>
          <w:rPr>
            <w:noProof/>
            <w:webHidden/>
          </w:rPr>
          <w:fldChar w:fldCharType="begin"/>
        </w:r>
        <w:r>
          <w:rPr>
            <w:noProof/>
            <w:webHidden/>
          </w:rPr>
          <w:instrText xml:space="preserve"> PAGEREF _Toc231741481 \h </w:instrText>
        </w:r>
        <w:r>
          <w:rPr>
            <w:noProof/>
            <w:webHidden/>
          </w:rPr>
        </w:r>
        <w:r>
          <w:rPr>
            <w:noProof/>
            <w:webHidden/>
          </w:rPr>
          <w:fldChar w:fldCharType="separate"/>
        </w:r>
        <w:r>
          <w:rPr>
            <w:noProof/>
            <w:webHidden/>
          </w:rPr>
          <w:t>33</w:t>
        </w:r>
        <w:r>
          <w:rPr>
            <w:noProof/>
            <w:webHidden/>
          </w:rPr>
          <w:fldChar w:fldCharType="end"/>
        </w:r>
      </w:hyperlink>
    </w:p>
    <w:p w14:paraId="44959965" w14:textId="369D9813" w:rsidR="00FC4070" w:rsidRDefault="00FC4070">
      <w:pPr>
        <w:pStyle w:val="Tabladeilustraciones"/>
        <w:tabs>
          <w:tab w:val="right" w:pos="9395"/>
        </w:tabs>
        <w:rPr>
          <w:rFonts w:asciiTheme="minorHAnsi" w:eastAsiaTheme="minorEastAsia" w:hAnsiTheme="minorHAnsi"/>
          <w:noProof/>
          <w:kern w:val="2"/>
          <w:szCs w:val="24"/>
          <w:lang w:eastAsia="es-CO"/>
          <w14:ligatures w14:val="standardContextual"/>
        </w:rPr>
      </w:pPr>
      <w:hyperlink w:anchor="_Toc231741482" w:history="1">
        <w:r w:rsidRPr="00EB65D1">
          <w:rPr>
            <w:rStyle w:val="Hipervnculo"/>
            <w:rFonts w:cs="Arial"/>
            <w:b/>
            <w:bCs/>
            <w:noProof/>
          </w:rPr>
          <w:t>Tabla 4</w:t>
        </w:r>
        <w:r w:rsidRPr="00EB65D1">
          <w:rPr>
            <w:rStyle w:val="Hipervnculo"/>
            <w:rFonts w:cs="Arial"/>
            <w:noProof/>
          </w:rPr>
          <w:t>. Indicadores financieros propuestos para el área de Presupuesto</w:t>
        </w:r>
        <w:r>
          <w:rPr>
            <w:noProof/>
            <w:webHidden/>
          </w:rPr>
          <w:tab/>
        </w:r>
        <w:r>
          <w:rPr>
            <w:noProof/>
            <w:webHidden/>
          </w:rPr>
          <w:fldChar w:fldCharType="begin"/>
        </w:r>
        <w:r>
          <w:rPr>
            <w:noProof/>
            <w:webHidden/>
          </w:rPr>
          <w:instrText xml:space="preserve"> PAGEREF _Toc231741482 \h </w:instrText>
        </w:r>
        <w:r>
          <w:rPr>
            <w:noProof/>
            <w:webHidden/>
          </w:rPr>
        </w:r>
        <w:r>
          <w:rPr>
            <w:noProof/>
            <w:webHidden/>
          </w:rPr>
          <w:fldChar w:fldCharType="separate"/>
        </w:r>
        <w:r>
          <w:rPr>
            <w:noProof/>
            <w:webHidden/>
          </w:rPr>
          <w:t>36</w:t>
        </w:r>
        <w:r>
          <w:rPr>
            <w:noProof/>
            <w:webHidden/>
          </w:rPr>
          <w:fldChar w:fldCharType="end"/>
        </w:r>
      </w:hyperlink>
    </w:p>
    <w:p w14:paraId="3A2A8B3D" w14:textId="67150E81" w:rsidR="00FC4070" w:rsidRDefault="00FC4070">
      <w:pPr>
        <w:pStyle w:val="Tabladeilustraciones"/>
        <w:tabs>
          <w:tab w:val="right" w:pos="9395"/>
        </w:tabs>
        <w:rPr>
          <w:rFonts w:asciiTheme="minorHAnsi" w:eastAsiaTheme="minorEastAsia" w:hAnsiTheme="minorHAnsi"/>
          <w:noProof/>
          <w:kern w:val="2"/>
          <w:szCs w:val="24"/>
          <w:lang w:eastAsia="es-CO"/>
          <w14:ligatures w14:val="standardContextual"/>
        </w:rPr>
      </w:pPr>
      <w:hyperlink w:anchor="_Toc231741483" w:history="1">
        <w:r w:rsidRPr="00EB65D1">
          <w:rPr>
            <w:rStyle w:val="Hipervnculo"/>
            <w:rFonts w:cs="Arial"/>
            <w:b/>
            <w:bCs/>
            <w:noProof/>
          </w:rPr>
          <w:t>Tabla 5</w:t>
        </w:r>
        <w:r w:rsidRPr="00EB65D1">
          <w:rPr>
            <w:rStyle w:val="Hipervnculo"/>
            <w:rFonts w:cs="Arial"/>
            <w:noProof/>
          </w:rPr>
          <w:t>. Tabla resumen de resultados esperados por componente</w:t>
        </w:r>
        <w:r>
          <w:rPr>
            <w:noProof/>
            <w:webHidden/>
          </w:rPr>
          <w:tab/>
        </w:r>
        <w:r>
          <w:rPr>
            <w:noProof/>
            <w:webHidden/>
          </w:rPr>
          <w:fldChar w:fldCharType="begin"/>
        </w:r>
        <w:r>
          <w:rPr>
            <w:noProof/>
            <w:webHidden/>
          </w:rPr>
          <w:instrText xml:space="preserve"> PAGEREF _Toc231741483 \h </w:instrText>
        </w:r>
        <w:r>
          <w:rPr>
            <w:noProof/>
            <w:webHidden/>
          </w:rPr>
        </w:r>
        <w:r>
          <w:rPr>
            <w:noProof/>
            <w:webHidden/>
          </w:rPr>
          <w:fldChar w:fldCharType="separate"/>
        </w:r>
        <w:r>
          <w:rPr>
            <w:noProof/>
            <w:webHidden/>
          </w:rPr>
          <w:t>39</w:t>
        </w:r>
        <w:r>
          <w:rPr>
            <w:noProof/>
            <w:webHidden/>
          </w:rPr>
          <w:fldChar w:fldCharType="end"/>
        </w:r>
      </w:hyperlink>
    </w:p>
    <w:p w14:paraId="0D2C6AF2" w14:textId="2C5EDE79" w:rsidR="00FC4070" w:rsidRDefault="00FC4070">
      <w:pPr>
        <w:pStyle w:val="Tabladeilustraciones"/>
        <w:tabs>
          <w:tab w:val="right" w:pos="9395"/>
        </w:tabs>
        <w:rPr>
          <w:rFonts w:asciiTheme="minorHAnsi" w:eastAsiaTheme="minorEastAsia" w:hAnsiTheme="minorHAnsi"/>
          <w:noProof/>
          <w:kern w:val="2"/>
          <w:szCs w:val="24"/>
          <w:lang w:eastAsia="es-CO"/>
          <w14:ligatures w14:val="standardContextual"/>
        </w:rPr>
      </w:pPr>
      <w:hyperlink w:anchor="_Toc231741484" w:history="1">
        <w:r w:rsidRPr="00EB65D1">
          <w:rPr>
            <w:rStyle w:val="Hipervnculo"/>
            <w:rFonts w:cs="Arial"/>
            <w:b/>
            <w:bCs/>
            <w:noProof/>
          </w:rPr>
          <w:t>Tabla 6</w:t>
        </w:r>
        <w:r w:rsidRPr="00EB65D1">
          <w:rPr>
            <w:rStyle w:val="Hipervnculo"/>
            <w:rFonts w:cs="Arial"/>
            <w:noProof/>
          </w:rPr>
          <w:t>. Balance fiscal proyectado 2026–2035 (millones de pesos corrientes)</w:t>
        </w:r>
        <w:r>
          <w:rPr>
            <w:noProof/>
            <w:webHidden/>
          </w:rPr>
          <w:tab/>
        </w:r>
        <w:r>
          <w:rPr>
            <w:noProof/>
            <w:webHidden/>
          </w:rPr>
          <w:fldChar w:fldCharType="begin"/>
        </w:r>
        <w:r>
          <w:rPr>
            <w:noProof/>
            <w:webHidden/>
          </w:rPr>
          <w:instrText xml:space="preserve"> PAGEREF _Toc231741484 \h </w:instrText>
        </w:r>
        <w:r>
          <w:rPr>
            <w:noProof/>
            <w:webHidden/>
          </w:rPr>
        </w:r>
        <w:r>
          <w:rPr>
            <w:noProof/>
            <w:webHidden/>
          </w:rPr>
          <w:fldChar w:fldCharType="separate"/>
        </w:r>
        <w:r>
          <w:rPr>
            <w:noProof/>
            <w:webHidden/>
          </w:rPr>
          <w:t>54</w:t>
        </w:r>
        <w:r>
          <w:rPr>
            <w:noProof/>
            <w:webHidden/>
          </w:rPr>
          <w:fldChar w:fldCharType="end"/>
        </w:r>
      </w:hyperlink>
    </w:p>
    <w:p w14:paraId="7C0F79D6" w14:textId="10982637" w:rsidR="00FC4070" w:rsidRDefault="00FC4070">
      <w:pPr>
        <w:pStyle w:val="Tabladeilustraciones"/>
        <w:tabs>
          <w:tab w:val="right" w:pos="9395"/>
        </w:tabs>
        <w:rPr>
          <w:rFonts w:asciiTheme="minorHAnsi" w:eastAsiaTheme="minorEastAsia" w:hAnsiTheme="minorHAnsi"/>
          <w:noProof/>
          <w:kern w:val="2"/>
          <w:szCs w:val="24"/>
          <w:lang w:eastAsia="es-CO"/>
          <w14:ligatures w14:val="standardContextual"/>
        </w:rPr>
      </w:pPr>
      <w:hyperlink w:anchor="_Toc231741485" w:history="1">
        <w:r w:rsidRPr="00EB65D1">
          <w:rPr>
            <w:rStyle w:val="Hipervnculo"/>
            <w:rFonts w:cs="Arial"/>
            <w:b/>
            <w:bCs/>
            <w:noProof/>
          </w:rPr>
          <w:t>Tabla 7</w:t>
        </w:r>
        <w:r w:rsidRPr="00EB65D1">
          <w:rPr>
            <w:rStyle w:val="Hipervnculo"/>
            <w:rFonts w:cs="Arial"/>
            <w:noProof/>
          </w:rPr>
          <w:t>. Matriz de medidas específicas del plan de acción MFMP 2026–2035</w:t>
        </w:r>
        <w:r>
          <w:rPr>
            <w:noProof/>
            <w:webHidden/>
          </w:rPr>
          <w:tab/>
        </w:r>
        <w:r>
          <w:rPr>
            <w:noProof/>
            <w:webHidden/>
          </w:rPr>
          <w:fldChar w:fldCharType="begin"/>
        </w:r>
        <w:r>
          <w:rPr>
            <w:noProof/>
            <w:webHidden/>
          </w:rPr>
          <w:instrText xml:space="preserve"> PAGEREF _Toc231741485 \h </w:instrText>
        </w:r>
        <w:r>
          <w:rPr>
            <w:noProof/>
            <w:webHidden/>
          </w:rPr>
        </w:r>
        <w:r>
          <w:rPr>
            <w:noProof/>
            <w:webHidden/>
          </w:rPr>
          <w:fldChar w:fldCharType="separate"/>
        </w:r>
        <w:r>
          <w:rPr>
            <w:noProof/>
            <w:webHidden/>
          </w:rPr>
          <w:t>57</w:t>
        </w:r>
        <w:r>
          <w:rPr>
            <w:noProof/>
            <w:webHidden/>
          </w:rPr>
          <w:fldChar w:fldCharType="end"/>
        </w:r>
      </w:hyperlink>
    </w:p>
    <w:p w14:paraId="4CFE57AB" w14:textId="78C20239" w:rsidR="00C548E6" w:rsidRDefault="00F304B4" w:rsidP="002824F1">
      <w:pPr>
        <w:rPr>
          <w:rFonts w:cs="Arial"/>
          <w:szCs w:val="24"/>
          <w:lang w:val="es-MX"/>
        </w:rPr>
      </w:pPr>
      <w:r>
        <w:rPr>
          <w:rFonts w:cs="Arial"/>
          <w:szCs w:val="24"/>
          <w:lang w:val="es-MX"/>
        </w:rPr>
        <w:fldChar w:fldCharType="end"/>
      </w:r>
    </w:p>
    <w:p w14:paraId="53A6F52A" w14:textId="77777777" w:rsidR="00C548E6" w:rsidRDefault="00C548E6" w:rsidP="002824F1">
      <w:pPr>
        <w:rPr>
          <w:rFonts w:cs="Arial"/>
          <w:szCs w:val="24"/>
          <w:lang w:val="es-MX"/>
        </w:rPr>
      </w:pPr>
    </w:p>
    <w:p w14:paraId="057A333F" w14:textId="77777777" w:rsidR="00C548E6" w:rsidRDefault="00C548E6" w:rsidP="002824F1">
      <w:pPr>
        <w:rPr>
          <w:rFonts w:cs="Arial"/>
          <w:szCs w:val="24"/>
          <w:lang w:val="es-MX"/>
        </w:rPr>
      </w:pPr>
    </w:p>
    <w:p w14:paraId="4F8C6422" w14:textId="77777777" w:rsidR="00C548E6" w:rsidRDefault="00C548E6" w:rsidP="002824F1">
      <w:pPr>
        <w:rPr>
          <w:rFonts w:cs="Arial"/>
          <w:szCs w:val="24"/>
          <w:lang w:val="es-MX"/>
        </w:rPr>
      </w:pPr>
    </w:p>
    <w:p w14:paraId="543CD8D2" w14:textId="77777777" w:rsidR="00C548E6" w:rsidRDefault="00C548E6" w:rsidP="002824F1">
      <w:pPr>
        <w:rPr>
          <w:rFonts w:cs="Arial"/>
          <w:szCs w:val="24"/>
          <w:lang w:val="es-MX"/>
        </w:rPr>
      </w:pPr>
    </w:p>
    <w:p w14:paraId="48A0229D" w14:textId="77777777" w:rsidR="00C548E6" w:rsidRDefault="00C548E6" w:rsidP="002824F1">
      <w:pPr>
        <w:rPr>
          <w:rFonts w:cs="Arial"/>
          <w:szCs w:val="24"/>
          <w:lang w:val="es-MX"/>
        </w:rPr>
      </w:pPr>
    </w:p>
    <w:p w14:paraId="79C4DD31" w14:textId="77777777" w:rsidR="00C548E6" w:rsidRDefault="00C548E6" w:rsidP="002824F1">
      <w:pPr>
        <w:rPr>
          <w:rFonts w:cs="Arial"/>
          <w:szCs w:val="24"/>
          <w:lang w:val="es-MX"/>
        </w:rPr>
      </w:pPr>
    </w:p>
    <w:p w14:paraId="4AD4255A" w14:textId="77777777" w:rsidR="00C548E6" w:rsidRDefault="00C548E6" w:rsidP="002824F1">
      <w:pPr>
        <w:rPr>
          <w:rFonts w:cs="Arial"/>
          <w:szCs w:val="24"/>
          <w:lang w:val="es-MX"/>
        </w:rPr>
      </w:pPr>
    </w:p>
    <w:p w14:paraId="5613D30E" w14:textId="77777777" w:rsidR="00C548E6" w:rsidRDefault="00C548E6" w:rsidP="002824F1">
      <w:pPr>
        <w:rPr>
          <w:rFonts w:cs="Arial"/>
          <w:szCs w:val="24"/>
          <w:lang w:val="es-MX"/>
        </w:rPr>
      </w:pPr>
    </w:p>
    <w:p w14:paraId="4D9CC25D" w14:textId="77777777" w:rsidR="00C548E6" w:rsidRDefault="00C548E6" w:rsidP="002824F1">
      <w:pPr>
        <w:rPr>
          <w:rFonts w:cs="Arial"/>
          <w:szCs w:val="24"/>
          <w:lang w:val="es-MX"/>
        </w:rPr>
      </w:pPr>
    </w:p>
    <w:p w14:paraId="570CC268" w14:textId="77777777" w:rsidR="00C548E6" w:rsidRDefault="00C548E6" w:rsidP="002824F1">
      <w:pPr>
        <w:rPr>
          <w:rFonts w:cs="Arial"/>
          <w:szCs w:val="24"/>
          <w:lang w:val="es-MX"/>
        </w:rPr>
      </w:pPr>
    </w:p>
    <w:p w14:paraId="1623A7E9" w14:textId="77777777" w:rsidR="00C548E6" w:rsidRDefault="00C548E6" w:rsidP="002824F1">
      <w:pPr>
        <w:rPr>
          <w:rFonts w:cs="Arial"/>
          <w:szCs w:val="24"/>
          <w:lang w:val="es-MX"/>
        </w:rPr>
      </w:pPr>
    </w:p>
    <w:p w14:paraId="0B5DED93" w14:textId="77777777" w:rsidR="00C548E6" w:rsidRDefault="00C548E6" w:rsidP="002824F1">
      <w:pPr>
        <w:rPr>
          <w:rFonts w:cs="Arial"/>
          <w:szCs w:val="24"/>
          <w:lang w:val="es-MX"/>
        </w:rPr>
      </w:pPr>
    </w:p>
    <w:p w14:paraId="001D9659" w14:textId="77777777" w:rsidR="0087320A" w:rsidRDefault="0087320A" w:rsidP="002824F1">
      <w:pPr>
        <w:rPr>
          <w:rFonts w:cs="Arial"/>
          <w:szCs w:val="24"/>
          <w:lang w:val="es-MX"/>
        </w:rPr>
      </w:pPr>
    </w:p>
    <w:p w14:paraId="3542DA5F" w14:textId="38932D2A" w:rsidR="00C548E6" w:rsidRDefault="00C548E6" w:rsidP="00C548E6">
      <w:pPr>
        <w:jc w:val="center"/>
        <w:rPr>
          <w:rFonts w:cs="Arial"/>
          <w:szCs w:val="24"/>
          <w:lang w:val="es-MX"/>
        </w:rPr>
      </w:pPr>
      <w:r>
        <w:rPr>
          <w:rFonts w:cs="Arial"/>
          <w:szCs w:val="24"/>
          <w:lang w:val="es-MX"/>
        </w:rPr>
        <w:lastRenderedPageBreak/>
        <w:t>LISTA DE FIGURAS</w:t>
      </w:r>
    </w:p>
    <w:p w14:paraId="47630762" w14:textId="373279E3" w:rsidR="00C548E6" w:rsidRDefault="00F304B4" w:rsidP="00F304B4">
      <w:pPr>
        <w:spacing w:line="480" w:lineRule="auto"/>
        <w:jc w:val="right"/>
        <w:rPr>
          <w:rFonts w:cs="Arial"/>
          <w:szCs w:val="24"/>
          <w:lang w:val="es-MX"/>
        </w:rPr>
      </w:pPr>
      <w:r w:rsidRPr="00F304B4">
        <w:rPr>
          <w:rFonts w:cs="Arial"/>
          <w:szCs w:val="24"/>
          <w:lang w:val="es-MX"/>
        </w:rPr>
        <w:t>pág</w:t>
      </w:r>
    </w:p>
    <w:p w14:paraId="44C70BE2" w14:textId="351DBEE9" w:rsidR="00FC4070" w:rsidRDefault="00FE3DB9">
      <w:pPr>
        <w:pStyle w:val="Tabladeilustraciones"/>
        <w:tabs>
          <w:tab w:val="right" w:pos="9395"/>
        </w:tabs>
        <w:rPr>
          <w:rFonts w:asciiTheme="minorHAnsi" w:eastAsiaTheme="minorEastAsia" w:hAnsiTheme="minorHAnsi"/>
          <w:noProof/>
          <w:kern w:val="2"/>
          <w:szCs w:val="24"/>
          <w:lang w:eastAsia="es-CO"/>
          <w14:ligatures w14:val="standardContextual"/>
        </w:rPr>
      </w:pPr>
      <w:r>
        <w:rPr>
          <w:rFonts w:cs="Arial"/>
          <w:szCs w:val="24"/>
          <w:lang w:val="es-MX"/>
        </w:rPr>
        <w:fldChar w:fldCharType="begin"/>
      </w:r>
      <w:r>
        <w:rPr>
          <w:rFonts w:cs="Arial"/>
          <w:szCs w:val="24"/>
          <w:lang w:val="es-MX"/>
        </w:rPr>
        <w:instrText xml:space="preserve"> TOC \h \z \c "Figura " </w:instrText>
      </w:r>
      <w:r>
        <w:rPr>
          <w:rFonts w:cs="Arial"/>
          <w:szCs w:val="24"/>
          <w:lang w:val="es-MX"/>
        </w:rPr>
        <w:fldChar w:fldCharType="separate"/>
      </w:r>
      <w:hyperlink w:anchor="_Toc231741486" w:history="1">
        <w:r w:rsidR="00FC4070" w:rsidRPr="00525B0E">
          <w:rPr>
            <w:rStyle w:val="Hipervnculo"/>
            <w:rFonts w:cs="Arial"/>
            <w:b/>
            <w:bCs/>
            <w:noProof/>
          </w:rPr>
          <w:t>Figura  1</w:t>
        </w:r>
        <w:r w:rsidR="00FC4070" w:rsidRPr="00525B0E">
          <w:rPr>
            <w:rStyle w:val="Hipervnculo"/>
            <w:rFonts w:cs="Arial"/>
            <w:noProof/>
          </w:rPr>
          <w:t>. Ubicación de la Alcaldía de Aguachica</w:t>
        </w:r>
        <w:r w:rsidR="00FC4070">
          <w:rPr>
            <w:noProof/>
            <w:webHidden/>
          </w:rPr>
          <w:tab/>
        </w:r>
        <w:r w:rsidR="00FC4070">
          <w:rPr>
            <w:noProof/>
            <w:webHidden/>
          </w:rPr>
          <w:fldChar w:fldCharType="begin"/>
        </w:r>
        <w:r w:rsidR="00FC4070">
          <w:rPr>
            <w:noProof/>
            <w:webHidden/>
          </w:rPr>
          <w:instrText xml:space="preserve"> PAGEREF _Toc231741486 \h </w:instrText>
        </w:r>
        <w:r w:rsidR="00FC4070">
          <w:rPr>
            <w:noProof/>
            <w:webHidden/>
          </w:rPr>
        </w:r>
        <w:r w:rsidR="00FC4070">
          <w:rPr>
            <w:noProof/>
            <w:webHidden/>
          </w:rPr>
          <w:fldChar w:fldCharType="separate"/>
        </w:r>
        <w:r w:rsidR="00FC4070">
          <w:rPr>
            <w:noProof/>
            <w:webHidden/>
          </w:rPr>
          <w:t>19</w:t>
        </w:r>
        <w:r w:rsidR="00FC4070">
          <w:rPr>
            <w:noProof/>
            <w:webHidden/>
          </w:rPr>
          <w:fldChar w:fldCharType="end"/>
        </w:r>
      </w:hyperlink>
    </w:p>
    <w:p w14:paraId="231FAE53" w14:textId="7E1AC9C0" w:rsidR="00FC4070" w:rsidRDefault="00FC4070">
      <w:pPr>
        <w:pStyle w:val="Tabladeilustraciones"/>
        <w:tabs>
          <w:tab w:val="right" w:pos="9395"/>
        </w:tabs>
        <w:rPr>
          <w:rFonts w:asciiTheme="minorHAnsi" w:eastAsiaTheme="minorEastAsia" w:hAnsiTheme="minorHAnsi"/>
          <w:noProof/>
          <w:kern w:val="2"/>
          <w:szCs w:val="24"/>
          <w:lang w:eastAsia="es-CO"/>
          <w14:ligatures w14:val="standardContextual"/>
        </w:rPr>
      </w:pPr>
      <w:hyperlink w:anchor="_Toc231741487" w:history="1">
        <w:r w:rsidRPr="00525B0E">
          <w:rPr>
            <w:rStyle w:val="Hipervnculo"/>
            <w:rFonts w:cs="Arial"/>
            <w:b/>
            <w:bCs/>
            <w:noProof/>
          </w:rPr>
          <w:t>Figura  2</w:t>
        </w:r>
        <w:r w:rsidRPr="00525B0E">
          <w:rPr>
            <w:rStyle w:val="Hipervnculo"/>
            <w:rFonts w:cs="Arial"/>
            <w:noProof/>
          </w:rPr>
          <w:t>. Organigrama de la Alcaldía de Aguachica</w:t>
        </w:r>
        <w:r>
          <w:rPr>
            <w:noProof/>
            <w:webHidden/>
          </w:rPr>
          <w:tab/>
        </w:r>
        <w:r>
          <w:rPr>
            <w:noProof/>
            <w:webHidden/>
          </w:rPr>
          <w:fldChar w:fldCharType="begin"/>
        </w:r>
        <w:r>
          <w:rPr>
            <w:noProof/>
            <w:webHidden/>
          </w:rPr>
          <w:instrText xml:space="preserve"> PAGEREF _Toc231741487 \h </w:instrText>
        </w:r>
        <w:r>
          <w:rPr>
            <w:noProof/>
            <w:webHidden/>
          </w:rPr>
        </w:r>
        <w:r>
          <w:rPr>
            <w:noProof/>
            <w:webHidden/>
          </w:rPr>
          <w:fldChar w:fldCharType="separate"/>
        </w:r>
        <w:r>
          <w:rPr>
            <w:noProof/>
            <w:webHidden/>
          </w:rPr>
          <w:t>23</w:t>
        </w:r>
        <w:r>
          <w:rPr>
            <w:noProof/>
            <w:webHidden/>
          </w:rPr>
          <w:fldChar w:fldCharType="end"/>
        </w:r>
      </w:hyperlink>
    </w:p>
    <w:p w14:paraId="116F7C19" w14:textId="6C288E79" w:rsidR="00FC4070" w:rsidRDefault="00FC4070">
      <w:pPr>
        <w:pStyle w:val="Tabladeilustraciones"/>
        <w:tabs>
          <w:tab w:val="right" w:pos="9395"/>
        </w:tabs>
        <w:rPr>
          <w:rFonts w:asciiTheme="minorHAnsi" w:eastAsiaTheme="minorEastAsia" w:hAnsiTheme="minorHAnsi"/>
          <w:noProof/>
          <w:kern w:val="2"/>
          <w:szCs w:val="24"/>
          <w:lang w:eastAsia="es-CO"/>
          <w14:ligatures w14:val="standardContextual"/>
        </w:rPr>
      </w:pPr>
      <w:hyperlink w:anchor="_Toc231741488" w:history="1">
        <w:r w:rsidRPr="00525B0E">
          <w:rPr>
            <w:rStyle w:val="Hipervnculo"/>
            <w:rFonts w:cs="Arial"/>
            <w:b/>
            <w:bCs/>
            <w:noProof/>
          </w:rPr>
          <w:t>Figura  3</w:t>
        </w:r>
        <w:r w:rsidRPr="00525B0E">
          <w:rPr>
            <w:rStyle w:val="Hipervnculo"/>
            <w:rFonts w:cs="Arial"/>
            <w:noProof/>
          </w:rPr>
          <w:t>. Matriz DOFA del área de Presupuesto</w:t>
        </w:r>
        <w:r>
          <w:rPr>
            <w:noProof/>
            <w:webHidden/>
          </w:rPr>
          <w:tab/>
        </w:r>
        <w:r>
          <w:rPr>
            <w:noProof/>
            <w:webHidden/>
          </w:rPr>
          <w:fldChar w:fldCharType="begin"/>
        </w:r>
        <w:r>
          <w:rPr>
            <w:noProof/>
            <w:webHidden/>
          </w:rPr>
          <w:instrText xml:space="preserve"> PAGEREF _Toc231741488 \h </w:instrText>
        </w:r>
        <w:r>
          <w:rPr>
            <w:noProof/>
            <w:webHidden/>
          </w:rPr>
        </w:r>
        <w:r>
          <w:rPr>
            <w:noProof/>
            <w:webHidden/>
          </w:rPr>
          <w:fldChar w:fldCharType="separate"/>
        </w:r>
        <w:r>
          <w:rPr>
            <w:noProof/>
            <w:webHidden/>
          </w:rPr>
          <w:t>27</w:t>
        </w:r>
        <w:r>
          <w:rPr>
            <w:noProof/>
            <w:webHidden/>
          </w:rPr>
          <w:fldChar w:fldCharType="end"/>
        </w:r>
      </w:hyperlink>
    </w:p>
    <w:p w14:paraId="7CF88BAB" w14:textId="6083CC70" w:rsidR="00FC4070" w:rsidRDefault="00FC4070">
      <w:pPr>
        <w:pStyle w:val="Tabladeilustraciones"/>
        <w:tabs>
          <w:tab w:val="right" w:pos="9395"/>
        </w:tabs>
        <w:rPr>
          <w:rFonts w:asciiTheme="minorHAnsi" w:eastAsiaTheme="minorEastAsia" w:hAnsiTheme="minorHAnsi"/>
          <w:noProof/>
          <w:kern w:val="2"/>
          <w:szCs w:val="24"/>
          <w:lang w:eastAsia="es-CO"/>
          <w14:ligatures w14:val="standardContextual"/>
        </w:rPr>
      </w:pPr>
      <w:hyperlink w:anchor="_Toc231741489" w:history="1">
        <w:r w:rsidRPr="00525B0E">
          <w:rPr>
            <w:rStyle w:val="Hipervnculo"/>
            <w:rFonts w:cs="Arial"/>
            <w:b/>
            <w:bCs/>
            <w:noProof/>
          </w:rPr>
          <w:t>Figura  4</w:t>
        </w:r>
        <w:r w:rsidRPr="00525B0E">
          <w:rPr>
            <w:rStyle w:val="Hipervnculo"/>
            <w:rFonts w:cs="Arial"/>
            <w:noProof/>
          </w:rPr>
          <w:t>. Evolución de los ingresos totales sin financiación: programado vs. ejecutado, 2021-2025</w:t>
        </w:r>
        <w:r>
          <w:rPr>
            <w:noProof/>
            <w:webHidden/>
          </w:rPr>
          <w:tab/>
        </w:r>
        <w:r>
          <w:rPr>
            <w:noProof/>
            <w:webHidden/>
          </w:rPr>
          <w:fldChar w:fldCharType="begin"/>
        </w:r>
        <w:r>
          <w:rPr>
            <w:noProof/>
            <w:webHidden/>
          </w:rPr>
          <w:instrText xml:space="preserve"> PAGEREF _Toc231741489 \h </w:instrText>
        </w:r>
        <w:r>
          <w:rPr>
            <w:noProof/>
            <w:webHidden/>
          </w:rPr>
        </w:r>
        <w:r>
          <w:rPr>
            <w:noProof/>
            <w:webHidden/>
          </w:rPr>
          <w:fldChar w:fldCharType="separate"/>
        </w:r>
        <w:r>
          <w:rPr>
            <w:noProof/>
            <w:webHidden/>
          </w:rPr>
          <w:t>44</w:t>
        </w:r>
        <w:r>
          <w:rPr>
            <w:noProof/>
            <w:webHidden/>
          </w:rPr>
          <w:fldChar w:fldCharType="end"/>
        </w:r>
      </w:hyperlink>
    </w:p>
    <w:p w14:paraId="66130EFD" w14:textId="28A85D6F" w:rsidR="00FC4070" w:rsidRDefault="00FC4070">
      <w:pPr>
        <w:pStyle w:val="Tabladeilustraciones"/>
        <w:tabs>
          <w:tab w:val="right" w:pos="9395"/>
        </w:tabs>
        <w:rPr>
          <w:rFonts w:asciiTheme="minorHAnsi" w:eastAsiaTheme="minorEastAsia" w:hAnsiTheme="minorHAnsi"/>
          <w:noProof/>
          <w:kern w:val="2"/>
          <w:szCs w:val="24"/>
          <w:lang w:eastAsia="es-CO"/>
          <w14:ligatures w14:val="standardContextual"/>
        </w:rPr>
      </w:pPr>
      <w:hyperlink w:anchor="_Toc231741490" w:history="1">
        <w:r w:rsidRPr="00525B0E">
          <w:rPr>
            <w:rStyle w:val="Hipervnculo"/>
            <w:rFonts w:cs="Arial"/>
            <w:b/>
            <w:bCs/>
            <w:noProof/>
          </w:rPr>
          <w:t>Figura  5</w:t>
        </w:r>
        <w:r w:rsidRPr="00525B0E">
          <w:rPr>
            <w:rStyle w:val="Hipervnculo"/>
            <w:rFonts w:cs="Arial"/>
            <w:noProof/>
          </w:rPr>
          <w:t>. Composición de los ingresos totales sin financiación por fuente, 2021-2025</w:t>
        </w:r>
        <w:r>
          <w:rPr>
            <w:noProof/>
            <w:webHidden/>
          </w:rPr>
          <w:tab/>
        </w:r>
        <w:r>
          <w:rPr>
            <w:noProof/>
            <w:webHidden/>
          </w:rPr>
          <w:fldChar w:fldCharType="begin"/>
        </w:r>
        <w:r>
          <w:rPr>
            <w:noProof/>
            <w:webHidden/>
          </w:rPr>
          <w:instrText xml:space="preserve"> PAGEREF _Toc231741490 \h </w:instrText>
        </w:r>
        <w:r>
          <w:rPr>
            <w:noProof/>
            <w:webHidden/>
          </w:rPr>
        </w:r>
        <w:r>
          <w:rPr>
            <w:noProof/>
            <w:webHidden/>
          </w:rPr>
          <w:fldChar w:fldCharType="separate"/>
        </w:r>
        <w:r>
          <w:rPr>
            <w:noProof/>
            <w:webHidden/>
          </w:rPr>
          <w:t>45</w:t>
        </w:r>
        <w:r>
          <w:rPr>
            <w:noProof/>
            <w:webHidden/>
          </w:rPr>
          <w:fldChar w:fldCharType="end"/>
        </w:r>
      </w:hyperlink>
    </w:p>
    <w:p w14:paraId="0432E119" w14:textId="6F7E7FC6" w:rsidR="00FC4070" w:rsidRDefault="00FC4070">
      <w:pPr>
        <w:pStyle w:val="Tabladeilustraciones"/>
        <w:tabs>
          <w:tab w:val="right" w:pos="9395"/>
        </w:tabs>
        <w:rPr>
          <w:rFonts w:asciiTheme="minorHAnsi" w:eastAsiaTheme="minorEastAsia" w:hAnsiTheme="minorHAnsi"/>
          <w:noProof/>
          <w:kern w:val="2"/>
          <w:szCs w:val="24"/>
          <w:lang w:eastAsia="es-CO"/>
          <w14:ligatures w14:val="standardContextual"/>
        </w:rPr>
      </w:pPr>
      <w:hyperlink w:anchor="_Toc231741491" w:history="1">
        <w:r w:rsidRPr="00525B0E">
          <w:rPr>
            <w:rStyle w:val="Hipervnculo"/>
            <w:rFonts w:cs="Arial"/>
            <w:b/>
            <w:bCs/>
            <w:noProof/>
          </w:rPr>
          <w:t>Figura  6</w:t>
        </w:r>
        <w:r w:rsidRPr="00525B0E">
          <w:rPr>
            <w:rStyle w:val="Hipervnculo"/>
            <w:rFonts w:cs="Arial"/>
            <w:noProof/>
          </w:rPr>
          <w:t>. Evolución del recaudo de los principales impuestos municipales, 2021-2025</w:t>
        </w:r>
        <w:r>
          <w:rPr>
            <w:noProof/>
            <w:webHidden/>
          </w:rPr>
          <w:tab/>
        </w:r>
        <w:r>
          <w:rPr>
            <w:noProof/>
            <w:webHidden/>
          </w:rPr>
          <w:fldChar w:fldCharType="begin"/>
        </w:r>
        <w:r>
          <w:rPr>
            <w:noProof/>
            <w:webHidden/>
          </w:rPr>
          <w:instrText xml:space="preserve"> PAGEREF _Toc231741491 \h </w:instrText>
        </w:r>
        <w:r>
          <w:rPr>
            <w:noProof/>
            <w:webHidden/>
          </w:rPr>
        </w:r>
        <w:r>
          <w:rPr>
            <w:noProof/>
            <w:webHidden/>
          </w:rPr>
          <w:fldChar w:fldCharType="separate"/>
        </w:r>
        <w:r>
          <w:rPr>
            <w:noProof/>
            <w:webHidden/>
          </w:rPr>
          <w:t>46</w:t>
        </w:r>
        <w:r>
          <w:rPr>
            <w:noProof/>
            <w:webHidden/>
          </w:rPr>
          <w:fldChar w:fldCharType="end"/>
        </w:r>
      </w:hyperlink>
    </w:p>
    <w:p w14:paraId="2EF21FC0" w14:textId="7D1B2983" w:rsidR="00FC4070" w:rsidRDefault="00FC4070">
      <w:pPr>
        <w:pStyle w:val="Tabladeilustraciones"/>
        <w:tabs>
          <w:tab w:val="right" w:pos="9395"/>
        </w:tabs>
        <w:rPr>
          <w:rFonts w:asciiTheme="minorHAnsi" w:eastAsiaTheme="minorEastAsia" w:hAnsiTheme="minorHAnsi"/>
          <w:noProof/>
          <w:kern w:val="2"/>
          <w:szCs w:val="24"/>
          <w:lang w:eastAsia="es-CO"/>
          <w14:ligatures w14:val="standardContextual"/>
        </w:rPr>
      </w:pPr>
      <w:hyperlink w:anchor="_Toc231741492" w:history="1">
        <w:r w:rsidRPr="00525B0E">
          <w:rPr>
            <w:rStyle w:val="Hipervnculo"/>
            <w:rFonts w:cs="Arial"/>
            <w:b/>
            <w:bCs/>
            <w:noProof/>
          </w:rPr>
          <w:t>Figura  7</w:t>
        </w:r>
        <w:r w:rsidRPr="00525B0E">
          <w:rPr>
            <w:rStyle w:val="Hipervnculo"/>
            <w:rFonts w:cs="Arial"/>
            <w:noProof/>
          </w:rPr>
          <w:t>. Evolución de los gastos totales sin financiación: programado vs. ejecutado, 2021-2025</w:t>
        </w:r>
        <w:r>
          <w:rPr>
            <w:noProof/>
            <w:webHidden/>
          </w:rPr>
          <w:tab/>
        </w:r>
        <w:r>
          <w:rPr>
            <w:noProof/>
            <w:webHidden/>
          </w:rPr>
          <w:fldChar w:fldCharType="begin"/>
        </w:r>
        <w:r>
          <w:rPr>
            <w:noProof/>
            <w:webHidden/>
          </w:rPr>
          <w:instrText xml:space="preserve"> PAGEREF _Toc231741492 \h </w:instrText>
        </w:r>
        <w:r>
          <w:rPr>
            <w:noProof/>
            <w:webHidden/>
          </w:rPr>
        </w:r>
        <w:r>
          <w:rPr>
            <w:noProof/>
            <w:webHidden/>
          </w:rPr>
          <w:fldChar w:fldCharType="separate"/>
        </w:r>
        <w:r>
          <w:rPr>
            <w:noProof/>
            <w:webHidden/>
          </w:rPr>
          <w:t>47</w:t>
        </w:r>
        <w:r>
          <w:rPr>
            <w:noProof/>
            <w:webHidden/>
          </w:rPr>
          <w:fldChar w:fldCharType="end"/>
        </w:r>
      </w:hyperlink>
    </w:p>
    <w:p w14:paraId="19B8CDE9" w14:textId="298A2DD7" w:rsidR="00FC4070" w:rsidRDefault="00FC4070">
      <w:pPr>
        <w:pStyle w:val="Tabladeilustraciones"/>
        <w:tabs>
          <w:tab w:val="right" w:pos="9395"/>
        </w:tabs>
        <w:rPr>
          <w:rFonts w:asciiTheme="minorHAnsi" w:eastAsiaTheme="minorEastAsia" w:hAnsiTheme="minorHAnsi"/>
          <w:noProof/>
          <w:kern w:val="2"/>
          <w:szCs w:val="24"/>
          <w:lang w:eastAsia="es-CO"/>
          <w14:ligatures w14:val="standardContextual"/>
        </w:rPr>
      </w:pPr>
      <w:hyperlink w:anchor="_Toc231741493" w:history="1">
        <w:r w:rsidRPr="00525B0E">
          <w:rPr>
            <w:rStyle w:val="Hipervnculo"/>
            <w:rFonts w:cs="Arial"/>
            <w:b/>
            <w:bCs/>
            <w:noProof/>
          </w:rPr>
          <w:t>Figura  8</w:t>
        </w:r>
        <w:r w:rsidRPr="00525B0E">
          <w:rPr>
            <w:rStyle w:val="Hipervnculo"/>
            <w:rFonts w:cs="Arial"/>
            <w:noProof/>
          </w:rPr>
          <w:t>. Composición de los gastos totales sin financiación por fuente, 2021-2025</w:t>
        </w:r>
        <w:r>
          <w:rPr>
            <w:noProof/>
            <w:webHidden/>
          </w:rPr>
          <w:tab/>
        </w:r>
        <w:r>
          <w:rPr>
            <w:noProof/>
            <w:webHidden/>
          </w:rPr>
          <w:fldChar w:fldCharType="begin"/>
        </w:r>
        <w:r>
          <w:rPr>
            <w:noProof/>
            <w:webHidden/>
          </w:rPr>
          <w:instrText xml:space="preserve"> PAGEREF _Toc231741493 \h </w:instrText>
        </w:r>
        <w:r>
          <w:rPr>
            <w:noProof/>
            <w:webHidden/>
          </w:rPr>
        </w:r>
        <w:r>
          <w:rPr>
            <w:noProof/>
            <w:webHidden/>
          </w:rPr>
          <w:fldChar w:fldCharType="separate"/>
        </w:r>
        <w:r>
          <w:rPr>
            <w:noProof/>
            <w:webHidden/>
          </w:rPr>
          <w:t>48</w:t>
        </w:r>
        <w:r>
          <w:rPr>
            <w:noProof/>
            <w:webHidden/>
          </w:rPr>
          <w:fldChar w:fldCharType="end"/>
        </w:r>
      </w:hyperlink>
    </w:p>
    <w:p w14:paraId="61C03038" w14:textId="5DC1439D" w:rsidR="00FC4070" w:rsidRDefault="00FC4070">
      <w:pPr>
        <w:pStyle w:val="Tabladeilustraciones"/>
        <w:tabs>
          <w:tab w:val="right" w:pos="9395"/>
        </w:tabs>
        <w:rPr>
          <w:rFonts w:asciiTheme="minorHAnsi" w:eastAsiaTheme="minorEastAsia" w:hAnsiTheme="minorHAnsi"/>
          <w:noProof/>
          <w:kern w:val="2"/>
          <w:szCs w:val="24"/>
          <w:lang w:eastAsia="es-CO"/>
          <w14:ligatures w14:val="standardContextual"/>
        </w:rPr>
      </w:pPr>
      <w:hyperlink w:anchor="_Toc231741494" w:history="1">
        <w:r w:rsidRPr="00525B0E">
          <w:rPr>
            <w:rStyle w:val="Hipervnculo"/>
            <w:rFonts w:cs="Arial"/>
            <w:b/>
            <w:bCs/>
            <w:noProof/>
          </w:rPr>
          <w:t>Figura  9</w:t>
        </w:r>
        <w:r w:rsidRPr="00525B0E">
          <w:rPr>
            <w:rStyle w:val="Hipervnculo"/>
            <w:rFonts w:cs="Arial"/>
            <w:noProof/>
          </w:rPr>
          <w:t>. Resultado fiscal total del municipio 2021–2025.</w:t>
        </w:r>
        <w:r>
          <w:rPr>
            <w:noProof/>
            <w:webHidden/>
          </w:rPr>
          <w:tab/>
        </w:r>
        <w:r>
          <w:rPr>
            <w:noProof/>
            <w:webHidden/>
          </w:rPr>
          <w:fldChar w:fldCharType="begin"/>
        </w:r>
        <w:r>
          <w:rPr>
            <w:noProof/>
            <w:webHidden/>
          </w:rPr>
          <w:instrText xml:space="preserve"> PAGEREF _Toc231741494 \h </w:instrText>
        </w:r>
        <w:r>
          <w:rPr>
            <w:noProof/>
            <w:webHidden/>
          </w:rPr>
        </w:r>
        <w:r>
          <w:rPr>
            <w:noProof/>
            <w:webHidden/>
          </w:rPr>
          <w:fldChar w:fldCharType="separate"/>
        </w:r>
        <w:r>
          <w:rPr>
            <w:noProof/>
            <w:webHidden/>
          </w:rPr>
          <w:t>49</w:t>
        </w:r>
        <w:r>
          <w:rPr>
            <w:noProof/>
            <w:webHidden/>
          </w:rPr>
          <w:fldChar w:fldCharType="end"/>
        </w:r>
      </w:hyperlink>
    </w:p>
    <w:p w14:paraId="2506C69D" w14:textId="25BA3F79" w:rsidR="00FC4070" w:rsidRDefault="00FC4070">
      <w:pPr>
        <w:pStyle w:val="Tabladeilustraciones"/>
        <w:tabs>
          <w:tab w:val="right" w:pos="9395"/>
        </w:tabs>
        <w:rPr>
          <w:rFonts w:asciiTheme="minorHAnsi" w:eastAsiaTheme="minorEastAsia" w:hAnsiTheme="minorHAnsi"/>
          <w:noProof/>
          <w:kern w:val="2"/>
          <w:szCs w:val="24"/>
          <w:lang w:eastAsia="es-CO"/>
          <w14:ligatures w14:val="standardContextual"/>
        </w:rPr>
      </w:pPr>
      <w:hyperlink w:anchor="_Toc231741495" w:history="1">
        <w:r w:rsidRPr="00525B0E">
          <w:rPr>
            <w:rStyle w:val="Hipervnculo"/>
            <w:rFonts w:cs="Arial"/>
            <w:b/>
            <w:bCs/>
            <w:noProof/>
          </w:rPr>
          <w:t>Figura  10</w:t>
        </w:r>
        <w:r w:rsidRPr="00525B0E">
          <w:rPr>
            <w:rStyle w:val="Hipervnculo"/>
            <w:rFonts w:cs="Arial"/>
            <w:noProof/>
          </w:rPr>
          <w:t>. Resultado fiscal primario del municipio (2021–2025).</w:t>
        </w:r>
        <w:r>
          <w:rPr>
            <w:noProof/>
            <w:webHidden/>
          </w:rPr>
          <w:tab/>
        </w:r>
        <w:r>
          <w:rPr>
            <w:noProof/>
            <w:webHidden/>
          </w:rPr>
          <w:fldChar w:fldCharType="begin"/>
        </w:r>
        <w:r>
          <w:rPr>
            <w:noProof/>
            <w:webHidden/>
          </w:rPr>
          <w:instrText xml:space="preserve"> PAGEREF _Toc231741495 \h </w:instrText>
        </w:r>
        <w:r>
          <w:rPr>
            <w:noProof/>
            <w:webHidden/>
          </w:rPr>
        </w:r>
        <w:r>
          <w:rPr>
            <w:noProof/>
            <w:webHidden/>
          </w:rPr>
          <w:fldChar w:fldCharType="separate"/>
        </w:r>
        <w:r>
          <w:rPr>
            <w:noProof/>
            <w:webHidden/>
          </w:rPr>
          <w:t>50</w:t>
        </w:r>
        <w:r>
          <w:rPr>
            <w:noProof/>
            <w:webHidden/>
          </w:rPr>
          <w:fldChar w:fldCharType="end"/>
        </w:r>
      </w:hyperlink>
    </w:p>
    <w:p w14:paraId="0FFE2897" w14:textId="2AA760BF" w:rsidR="00FC4070" w:rsidRDefault="00FC4070">
      <w:pPr>
        <w:pStyle w:val="Tabladeilustraciones"/>
        <w:tabs>
          <w:tab w:val="right" w:pos="9395"/>
        </w:tabs>
        <w:rPr>
          <w:rFonts w:asciiTheme="minorHAnsi" w:eastAsiaTheme="minorEastAsia" w:hAnsiTheme="minorHAnsi"/>
          <w:noProof/>
          <w:kern w:val="2"/>
          <w:szCs w:val="24"/>
          <w:lang w:eastAsia="es-CO"/>
          <w14:ligatures w14:val="standardContextual"/>
        </w:rPr>
      </w:pPr>
      <w:hyperlink w:anchor="_Toc231741496" w:history="1">
        <w:r w:rsidRPr="00525B0E">
          <w:rPr>
            <w:rStyle w:val="Hipervnculo"/>
            <w:rFonts w:cs="Arial"/>
            <w:b/>
            <w:bCs/>
            <w:noProof/>
          </w:rPr>
          <w:t>Figura  11</w:t>
        </w:r>
        <w:r w:rsidRPr="00525B0E">
          <w:rPr>
            <w:rStyle w:val="Hipervnculo"/>
            <w:rFonts w:cs="Arial"/>
            <w:noProof/>
          </w:rPr>
          <w:t>. Resultado fiscal presupuestal del municipio (2021–2025)</w:t>
        </w:r>
        <w:r>
          <w:rPr>
            <w:noProof/>
            <w:webHidden/>
          </w:rPr>
          <w:tab/>
        </w:r>
        <w:r>
          <w:rPr>
            <w:noProof/>
            <w:webHidden/>
          </w:rPr>
          <w:fldChar w:fldCharType="begin"/>
        </w:r>
        <w:r>
          <w:rPr>
            <w:noProof/>
            <w:webHidden/>
          </w:rPr>
          <w:instrText xml:space="preserve"> PAGEREF _Toc231741496 \h </w:instrText>
        </w:r>
        <w:r>
          <w:rPr>
            <w:noProof/>
            <w:webHidden/>
          </w:rPr>
        </w:r>
        <w:r>
          <w:rPr>
            <w:noProof/>
            <w:webHidden/>
          </w:rPr>
          <w:fldChar w:fldCharType="separate"/>
        </w:r>
        <w:r>
          <w:rPr>
            <w:noProof/>
            <w:webHidden/>
          </w:rPr>
          <w:t>51</w:t>
        </w:r>
        <w:r>
          <w:rPr>
            <w:noProof/>
            <w:webHidden/>
          </w:rPr>
          <w:fldChar w:fldCharType="end"/>
        </w:r>
      </w:hyperlink>
    </w:p>
    <w:p w14:paraId="2467DB22" w14:textId="4E5BAF47" w:rsidR="00FC4070" w:rsidRDefault="00FC4070">
      <w:pPr>
        <w:pStyle w:val="Tabladeilustraciones"/>
        <w:tabs>
          <w:tab w:val="right" w:pos="9395"/>
        </w:tabs>
        <w:rPr>
          <w:rFonts w:asciiTheme="minorHAnsi" w:eastAsiaTheme="minorEastAsia" w:hAnsiTheme="minorHAnsi"/>
          <w:noProof/>
          <w:kern w:val="2"/>
          <w:szCs w:val="24"/>
          <w:lang w:eastAsia="es-CO"/>
          <w14:ligatures w14:val="standardContextual"/>
        </w:rPr>
      </w:pPr>
      <w:hyperlink w:anchor="_Toc231741497" w:history="1">
        <w:r w:rsidRPr="00525B0E">
          <w:rPr>
            <w:rStyle w:val="Hipervnculo"/>
            <w:rFonts w:cs="Arial"/>
            <w:b/>
            <w:bCs/>
            <w:noProof/>
          </w:rPr>
          <w:t>Figura  12</w:t>
        </w:r>
        <w:r w:rsidRPr="00525B0E">
          <w:rPr>
            <w:rStyle w:val="Hipervnculo"/>
            <w:rFonts w:cs="Arial"/>
            <w:noProof/>
          </w:rPr>
          <w:t>. Servicio de la deuda pública interna del municipio de Aguachica por entidad financiera y tramo, 2025</w:t>
        </w:r>
        <w:r>
          <w:rPr>
            <w:noProof/>
            <w:webHidden/>
          </w:rPr>
          <w:tab/>
        </w:r>
        <w:r>
          <w:rPr>
            <w:noProof/>
            <w:webHidden/>
          </w:rPr>
          <w:fldChar w:fldCharType="begin"/>
        </w:r>
        <w:r>
          <w:rPr>
            <w:noProof/>
            <w:webHidden/>
          </w:rPr>
          <w:instrText xml:space="preserve"> PAGEREF _Toc231741497 \h </w:instrText>
        </w:r>
        <w:r>
          <w:rPr>
            <w:noProof/>
            <w:webHidden/>
          </w:rPr>
        </w:r>
        <w:r>
          <w:rPr>
            <w:noProof/>
            <w:webHidden/>
          </w:rPr>
          <w:fldChar w:fldCharType="separate"/>
        </w:r>
        <w:r>
          <w:rPr>
            <w:noProof/>
            <w:webHidden/>
          </w:rPr>
          <w:t>52</w:t>
        </w:r>
        <w:r>
          <w:rPr>
            <w:noProof/>
            <w:webHidden/>
          </w:rPr>
          <w:fldChar w:fldCharType="end"/>
        </w:r>
      </w:hyperlink>
    </w:p>
    <w:p w14:paraId="6AA83882" w14:textId="3F4E7C9F" w:rsidR="00C548E6" w:rsidRDefault="00FE3DB9" w:rsidP="002824F1">
      <w:pPr>
        <w:rPr>
          <w:rFonts w:cs="Arial"/>
          <w:szCs w:val="24"/>
          <w:lang w:val="es-MX"/>
        </w:rPr>
      </w:pPr>
      <w:r>
        <w:rPr>
          <w:rFonts w:cs="Arial"/>
          <w:szCs w:val="24"/>
          <w:lang w:val="es-MX"/>
        </w:rPr>
        <w:fldChar w:fldCharType="end"/>
      </w:r>
    </w:p>
    <w:p w14:paraId="368075A4" w14:textId="77777777" w:rsidR="000064E6" w:rsidRDefault="000064E6" w:rsidP="002824F1">
      <w:pPr>
        <w:rPr>
          <w:rFonts w:cs="Arial"/>
          <w:szCs w:val="24"/>
          <w:lang w:val="es-MX"/>
        </w:rPr>
      </w:pPr>
    </w:p>
    <w:p w14:paraId="698F893B" w14:textId="77777777" w:rsidR="000457E9" w:rsidRDefault="000457E9" w:rsidP="002824F1">
      <w:pPr>
        <w:rPr>
          <w:rFonts w:cs="Arial"/>
          <w:szCs w:val="24"/>
          <w:lang w:val="es-MX"/>
        </w:rPr>
      </w:pPr>
    </w:p>
    <w:p w14:paraId="179CCEAD" w14:textId="77777777" w:rsidR="0087320A" w:rsidRDefault="0087320A" w:rsidP="002824F1">
      <w:pPr>
        <w:rPr>
          <w:rFonts w:cs="Arial"/>
          <w:szCs w:val="24"/>
          <w:lang w:val="es-MX"/>
        </w:rPr>
      </w:pPr>
    </w:p>
    <w:p w14:paraId="06FA82E9" w14:textId="77777777" w:rsidR="0087320A" w:rsidRDefault="0087320A" w:rsidP="002824F1">
      <w:pPr>
        <w:rPr>
          <w:rFonts w:cs="Arial"/>
          <w:szCs w:val="24"/>
          <w:lang w:val="es-MX"/>
        </w:rPr>
      </w:pPr>
    </w:p>
    <w:p w14:paraId="754E4805" w14:textId="77777777" w:rsidR="0087320A" w:rsidRDefault="0087320A" w:rsidP="002824F1">
      <w:pPr>
        <w:rPr>
          <w:rFonts w:cs="Arial"/>
          <w:szCs w:val="24"/>
          <w:lang w:val="es-MX"/>
        </w:rPr>
      </w:pPr>
    </w:p>
    <w:p w14:paraId="162DE4F2" w14:textId="77777777" w:rsidR="0087320A" w:rsidRDefault="0087320A" w:rsidP="002824F1">
      <w:pPr>
        <w:rPr>
          <w:rFonts w:cs="Arial"/>
          <w:szCs w:val="24"/>
          <w:lang w:val="es-MX"/>
        </w:rPr>
      </w:pPr>
    </w:p>
    <w:p w14:paraId="2B8083BF" w14:textId="7AB5D7E4" w:rsidR="0087320A" w:rsidRDefault="0087320A" w:rsidP="0087320A">
      <w:pPr>
        <w:jc w:val="center"/>
        <w:rPr>
          <w:rFonts w:cs="Arial"/>
          <w:szCs w:val="24"/>
          <w:lang w:val="es-MX"/>
        </w:rPr>
      </w:pPr>
      <w:r>
        <w:rPr>
          <w:rFonts w:cs="Arial"/>
          <w:szCs w:val="24"/>
          <w:lang w:val="es-MX"/>
        </w:rPr>
        <w:lastRenderedPageBreak/>
        <w:t>LISTA DE ANEXOS</w:t>
      </w:r>
    </w:p>
    <w:p w14:paraId="25602705" w14:textId="4A7FA8BE" w:rsidR="00FC4070" w:rsidRDefault="00984DAA">
      <w:pPr>
        <w:pStyle w:val="Tabladeilustraciones"/>
        <w:tabs>
          <w:tab w:val="right" w:leader="dot" w:pos="9395"/>
        </w:tabs>
        <w:rPr>
          <w:rFonts w:asciiTheme="minorHAnsi" w:eastAsiaTheme="minorEastAsia" w:hAnsiTheme="minorHAnsi"/>
          <w:noProof/>
          <w:kern w:val="2"/>
          <w:szCs w:val="24"/>
          <w:lang w:eastAsia="es-CO"/>
          <w14:ligatures w14:val="standardContextual"/>
        </w:rPr>
      </w:pPr>
      <w:r>
        <w:rPr>
          <w:rFonts w:cs="Arial"/>
          <w:szCs w:val="24"/>
          <w:lang w:val="es-MX"/>
        </w:rPr>
        <w:fldChar w:fldCharType="begin"/>
      </w:r>
      <w:r>
        <w:rPr>
          <w:rFonts w:cs="Arial"/>
          <w:szCs w:val="24"/>
          <w:lang w:val="es-MX"/>
        </w:rPr>
        <w:instrText xml:space="preserve"> TOC \h \z \c "Anexo" </w:instrText>
      </w:r>
      <w:r>
        <w:rPr>
          <w:rFonts w:cs="Arial"/>
          <w:szCs w:val="24"/>
          <w:lang w:val="es-MX"/>
        </w:rPr>
        <w:fldChar w:fldCharType="separate"/>
      </w:r>
      <w:hyperlink w:anchor="_Toc231741498" w:history="1">
        <w:r w:rsidR="00FC4070" w:rsidRPr="00F36E54">
          <w:rPr>
            <w:rStyle w:val="Hipervnculo"/>
            <w:rFonts w:cs="Arial"/>
            <w:b/>
            <w:bCs/>
            <w:noProof/>
          </w:rPr>
          <w:t>Anexo 1</w:t>
        </w:r>
        <w:r w:rsidR="00FC4070" w:rsidRPr="00F36E54">
          <w:rPr>
            <w:rStyle w:val="Hipervnculo"/>
            <w:rFonts w:cs="Arial"/>
            <w:noProof/>
          </w:rPr>
          <w:t>. Flujograma del proceso de expedición de CDP y Registro Presupuestal</w:t>
        </w:r>
        <w:r w:rsidR="00FC4070">
          <w:rPr>
            <w:noProof/>
            <w:webHidden/>
          </w:rPr>
          <w:tab/>
        </w:r>
        <w:r w:rsidR="00FC4070">
          <w:rPr>
            <w:noProof/>
            <w:webHidden/>
          </w:rPr>
          <w:fldChar w:fldCharType="begin"/>
        </w:r>
        <w:r w:rsidR="00FC4070">
          <w:rPr>
            <w:noProof/>
            <w:webHidden/>
          </w:rPr>
          <w:instrText xml:space="preserve"> PAGEREF _Toc231741498 \h </w:instrText>
        </w:r>
        <w:r w:rsidR="00FC4070">
          <w:rPr>
            <w:noProof/>
            <w:webHidden/>
          </w:rPr>
        </w:r>
        <w:r w:rsidR="00FC4070">
          <w:rPr>
            <w:noProof/>
            <w:webHidden/>
          </w:rPr>
          <w:fldChar w:fldCharType="separate"/>
        </w:r>
        <w:r w:rsidR="00FC4070">
          <w:rPr>
            <w:noProof/>
            <w:webHidden/>
          </w:rPr>
          <w:t>66</w:t>
        </w:r>
        <w:r w:rsidR="00FC4070">
          <w:rPr>
            <w:noProof/>
            <w:webHidden/>
          </w:rPr>
          <w:fldChar w:fldCharType="end"/>
        </w:r>
      </w:hyperlink>
    </w:p>
    <w:p w14:paraId="74C5A28F" w14:textId="2EE4F5E0" w:rsidR="00FC4070" w:rsidRDefault="00FC4070">
      <w:pPr>
        <w:pStyle w:val="Tabladeilustraciones"/>
        <w:tabs>
          <w:tab w:val="right" w:leader="dot" w:pos="9395"/>
        </w:tabs>
        <w:rPr>
          <w:rFonts w:asciiTheme="minorHAnsi" w:eastAsiaTheme="minorEastAsia" w:hAnsiTheme="minorHAnsi"/>
          <w:noProof/>
          <w:kern w:val="2"/>
          <w:szCs w:val="24"/>
          <w:lang w:eastAsia="es-CO"/>
          <w14:ligatures w14:val="standardContextual"/>
        </w:rPr>
      </w:pPr>
      <w:hyperlink w:anchor="_Toc231741499" w:history="1">
        <w:r w:rsidRPr="00F36E54">
          <w:rPr>
            <w:rStyle w:val="Hipervnculo"/>
            <w:rFonts w:cs="Arial"/>
            <w:b/>
            <w:bCs/>
            <w:noProof/>
          </w:rPr>
          <w:t>Anexo 2</w:t>
        </w:r>
        <w:r w:rsidRPr="00F36E54">
          <w:rPr>
            <w:rStyle w:val="Hipervnculo"/>
            <w:rFonts w:cs="Arial"/>
            <w:noProof/>
          </w:rPr>
          <w:t>. Bloque 1 del Dashboard, Ejecución presupuestal</w:t>
        </w:r>
        <w:r>
          <w:rPr>
            <w:noProof/>
            <w:webHidden/>
          </w:rPr>
          <w:tab/>
        </w:r>
        <w:r>
          <w:rPr>
            <w:noProof/>
            <w:webHidden/>
          </w:rPr>
          <w:fldChar w:fldCharType="begin"/>
        </w:r>
        <w:r>
          <w:rPr>
            <w:noProof/>
            <w:webHidden/>
          </w:rPr>
          <w:instrText xml:space="preserve"> PAGEREF _Toc231741499 \h </w:instrText>
        </w:r>
        <w:r>
          <w:rPr>
            <w:noProof/>
            <w:webHidden/>
          </w:rPr>
        </w:r>
        <w:r>
          <w:rPr>
            <w:noProof/>
            <w:webHidden/>
          </w:rPr>
          <w:fldChar w:fldCharType="separate"/>
        </w:r>
        <w:r>
          <w:rPr>
            <w:noProof/>
            <w:webHidden/>
          </w:rPr>
          <w:t>69</w:t>
        </w:r>
        <w:r>
          <w:rPr>
            <w:noProof/>
            <w:webHidden/>
          </w:rPr>
          <w:fldChar w:fldCharType="end"/>
        </w:r>
      </w:hyperlink>
    </w:p>
    <w:p w14:paraId="5CFA4D8C" w14:textId="01C76AB2" w:rsidR="00FC4070" w:rsidRDefault="00FC4070">
      <w:pPr>
        <w:pStyle w:val="Tabladeilustraciones"/>
        <w:tabs>
          <w:tab w:val="right" w:leader="dot" w:pos="9395"/>
        </w:tabs>
        <w:rPr>
          <w:rFonts w:asciiTheme="minorHAnsi" w:eastAsiaTheme="minorEastAsia" w:hAnsiTheme="minorHAnsi"/>
          <w:noProof/>
          <w:kern w:val="2"/>
          <w:szCs w:val="24"/>
          <w:lang w:eastAsia="es-CO"/>
          <w14:ligatures w14:val="standardContextual"/>
        </w:rPr>
      </w:pPr>
      <w:hyperlink w:anchor="_Toc231741500" w:history="1">
        <w:r w:rsidRPr="00F36E54">
          <w:rPr>
            <w:rStyle w:val="Hipervnculo"/>
            <w:rFonts w:cs="Arial"/>
            <w:b/>
            <w:bCs/>
            <w:noProof/>
          </w:rPr>
          <w:t>Anexo 3</w:t>
        </w:r>
        <w:r w:rsidRPr="00F36E54">
          <w:rPr>
            <w:rStyle w:val="Hipervnculo"/>
            <w:rFonts w:cs="Arial"/>
            <w:noProof/>
          </w:rPr>
          <w:t>. Bloque 2 del Dashboard, Composición del ingreso 2025</w:t>
        </w:r>
        <w:r>
          <w:rPr>
            <w:noProof/>
            <w:webHidden/>
          </w:rPr>
          <w:tab/>
        </w:r>
        <w:r>
          <w:rPr>
            <w:noProof/>
            <w:webHidden/>
          </w:rPr>
          <w:fldChar w:fldCharType="begin"/>
        </w:r>
        <w:r>
          <w:rPr>
            <w:noProof/>
            <w:webHidden/>
          </w:rPr>
          <w:instrText xml:space="preserve"> PAGEREF _Toc231741500 \h </w:instrText>
        </w:r>
        <w:r>
          <w:rPr>
            <w:noProof/>
            <w:webHidden/>
          </w:rPr>
        </w:r>
        <w:r>
          <w:rPr>
            <w:noProof/>
            <w:webHidden/>
          </w:rPr>
          <w:fldChar w:fldCharType="separate"/>
        </w:r>
        <w:r>
          <w:rPr>
            <w:noProof/>
            <w:webHidden/>
          </w:rPr>
          <w:t>69</w:t>
        </w:r>
        <w:r>
          <w:rPr>
            <w:noProof/>
            <w:webHidden/>
          </w:rPr>
          <w:fldChar w:fldCharType="end"/>
        </w:r>
      </w:hyperlink>
    </w:p>
    <w:p w14:paraId="097DC89B" w14:textId="04212004" w:rsidR="00FC4070" w:rsidRDefault="00FC4070">
      <w:pPr>
        <w:pStyle w:val="Tabladeilustraciones"/>
        <w:tabs>
          <w:tab w:val="right" w:leader="dot" w:pos="9395"/>
        </w:tabs>
        <w:rPr>
          <w:rFonts w:asciiTheme="minorHAnsi" w:eastAsiaTheme="minorEastAsia" w:hAnsiTheme="minorHAnsi"/>
          <w:noProof/>
          <w:kern w:val="2"/>
          <w:szCs w:val="24"/>
          <w:lang w:eastAsia="es-CO"/>
          <w14:ligatures w14:val="standardContextual"/>
        </w:rPr>
      </w:pPr>
      <w:hyperlink w:anchor="_Toc231741501" w:history="1">
        <w:r w:rsidRPr="00F36E54">
          <w:rPr>
            <w:rStyle w:val="Hipervnculo"/>
            <w:rFonts w:cs="Arial"/>
            <w:b/>
            <w:bCs/>
            <w:noProof/>
          </w:rPr>
          <w:t>Anexo 4</w:t>
        </w:r>
        <w:r w:rsidRPr="00F36E54">
          <w:rPr>
            <w:rStyle w:val="Hipervnculo"/>
            <w:rFonts w:cs="Arial"/>
            <w:noProof/>
          </w:rPr>
          <w:t>. Bloque 3 del Dashboard, Alertas fiscales</w:t>
        </w:r>
        <w:r>
          <w:rPr>
            <w:noProof/>
            <w:webHidden/>
          </w:rPr>
          <w:tab/>
        </w:r>
        <w:r>
          <w:rPr>
            <w:noProof/>
            <w:webHidden/>
          </w:rPr>
          <w:fldChar w:fldCharType="begin"/>
        </w:r>
        <w:r>
          <w:rPr>
            <w:noProof/>
            <w:webHidden/>
          </w:rPr>
          <w:instrText xml:space="preserve"> PAGEREF _Toc231741501 \h </w:instrText>
        </w:r>
        <w:r>
          <w:rPr>
            <w:noProof/>
            <w:webHidden/>
          </w:rPr>
        </w:r>
        <w:r>
          <w:rPr>
            <w:noProof/>
            <w:webHidden/>
          </w:rPr>
          <w:fldChar w:fldCharType="separate"/>
        </w:r>
        <w:r>
          <w:rPr>
            <w:noProof/>
            <w:webHidden/>
          </w:rPr>
          <w:t>70</w:t>
        </w:r>
        <w:r>
          <w:rPr>
            <w:noProof/>
            <w:webHidden/>
          </w:rPr>
          <w:fldChar w:fldCharType="end"/>
        </w:r>
      </w:hyperlink>
    </w:p>
    <w:p w14:paraId="79B51973" w14:textId="3985A67E" w:rsidR="0087320A" w:rsidRDefault="00984DAA" w:rsidP="002824F1">
      <w:pPr>
        <w:rPr>
          <w:rFonts w:cs="Arial"/>
          <w:szCs w:val="24"/>
          <w:lang w:val="es-MX"/>
        </w:rPr>
      </w:pPr>
      <w:r>
        <w:rPr>
          <w:rFonts w:cs="Arial"/>
          <w:szCs w:val="24"/>
          <w:lang w:val="es-MX"/>
        </w:rPr>
        <w:fldChar w:fldCharType="end"/>
      </w:r>
    </w:p>
    <w:p w14:paraId="018F7E85" w14:textId="77777777" w:rsidR="00E95D8D" w:rsidRDefault="00E95D8D" w:rsidP="002824F1">
      <w:pPr>
        <w:rPr>
          <w:rFonts w:cs="Arial"/>
          <w:szCs w:val="24"/>
          <w:lang w:val="es-MX"/>
        </w:rPr>
      </w:pPr>
    </w:p>
    <w:p w14:paraId="6E42142F" w14:textId="77777777" w:rsidR="000457E9" w:rsidRDefault="000457E9" w:rsidP="002824F1">
      <w:pPr>
        <w:rPr>
          <w:rFonts w:cs="Arial"/>
          <w:szCs w:val="24"/>
          <w:lang w:val="es-MX"/>
        </w:rPr>
      </w:pPr>
    </w:p>
    <w:p w14:paraId="2425D101" w14:textId="77777777" w:rsidR="00B607F5" w:rsidRDefault="00B607F5" w:rsidP="002824F1">
      <w:pPr>
        <w:rPr>
          <w:rFonts w:cs="Arial"/>
          <w:szCs w:val="24"/>
          <w:lang w:val="es-MX"/>
        </w:rPr>
      </w:pPr>
    </w:p>
    <w:p w14:paraId="177884D3" w14:textId="77777777" w:rsidR="00B607F5" w:rsidRDefault="00B607F5" w:rsidP="002824F1">
      <w:pPr>
        <w:rPr>
          <w:rFonts w:cs="Arial"/>
          <w:szCs w:val="24"/>
          <w:lang w:val="es-MX"/>
        </w:rPr>
      </w:pPr>
    </w:p>
    <w:p w14:paraId="753C85B0" w14:textId="77777777" w:rsidR="00B607F5" w:rsidRDefault="00B607F5" w:rsidP="002824F1">
      <w:pPr>
        <w:rPr>
          <w:rFonts w:cs="Arial"/>
          <w:szCs w:val="24"/>
          <w:lang w:val="es-MX"/>
        </w:rPr>
      </w:pPr>
    </w:p>
    <w:p w14:paraId="4341E743" w14:textId="77777777" w:rsidR="00B607F5" w:rsidRDefault="00B607F5" w:rsidP="002824F1">
      <w:pPr>
        <w:rPr>
          <w:rFonts w:cs="Arial"/>
          <w:szCs w:val="24"/>
          <w:lang w:val="es-MX"/>
        </w:rPr>
      </w:pPr>
    </w:p>
    <w:p w14:paraId="253E63A3" w14:textId="77777777" w:rsidR="00B607F5" w:rsidRDefault="00B607F5" w:rsidP="002824F1">
      <w:pPr>
        <w:rPr>
          <w:rFonts w:cs="Arial"/>
          <w:szCs w:val="24"/>
          <w:lang w:val="es-MX"/>
        </w:rPr>
      </w:pPr>
    </w:p>
    <w:p w14:paraId="29089E57" w14:textId="77777777" w:rsidR="00B607F5" w:rsidRDefault="00B607F5" w:rsidP="002824F1">
      <w:pPr>
        <w:rPr>
          <w:rFonts w:cs="Arial"/>
          <w:szCs w:val="24"/>
          <w:lang w:val="es-MX"/>
        </w:rPr>
      </w:pPr>
    </w:p>
    <w:p w14:paraId="3D6B7C95" w14:textId="77777777" w:rsidR="00B607F5" w:rsidRDefault="00B607F5" w:rsidP="002824F1">
      <w:pPr>
        <w:rPr>
          <w:rFonts w:cs="Arial"/>
          <w:szCs w:val="24"/>
          <w:lang w:val="es-MX"/>
        </w:rPr>
      </w:pPr>
    </w:p>
    <w:p w14:paraId="49273ECA" w14:textId="77777777" w:rsidR="00B607F5" w:rsidRDefault="00B607F5" w:rsidP="002824F1">
      <w:pPr>
        <w:rPr>
          <w:rFonts w:cs="Arial"/>
          <w:szCs w:val="24"/>
          <w:lang w:val="es-MX"/>
        </w:rPr>
      </w:pPr>
    </w:p>
    <w:p w14:paraId="0B42A9A2" w14:textId="77777777" w:rsidR="00B607F5" w:rsidRDefault="00B607F5" w:rsidP="002824F1">
      <w:pPr>
        <w:rPr>
          <w:rFonts w:cs="Arial"/>
          <w:szCs w:val="24"/>
          <w:lang w:val="es-MX"/>
        </w:rPr>
      </w:pPr>
    </w:p>
    <w:p w14:paraId="19051F19" w14:textId="77777777" w:rsidR="00B607F5" w:rsidRDefault="00B607F5" w:rsidP="002824F1">
      <w:pPr>
        <w:rPr>
          <w:rFonts w:cs="Arial"/>
          <w:szCs w:val="24"/>
          <w:lang w:val="es-MX"/>
        </w:rPr>
      </w:pPr>
    </w:p>
    <w:p w14:paraId="46D65BE0" w14:textId="77777777" w:rsidR="00B607F5" w:rsidRDefault="00B607F5" w:rsidP="002824F1">
      <w:pPr>
        <w:rPr>
          <w:rFonts w:cs="Arial"/>
          <w:szCs w:val="24"/>
          <w:lang w:val="es-MX"/>
        </w:rPr>
      </w:pPr>
    </w:p>
    <w:p w14:paraId="20EC1D33" w14:textId="77777777" w:rsidR="00B607F5" w:rsidRDefault="00B607F5" w:rsidP="002824F1">
      <w:pPr>
        <w:rPr>
          <w:rFonts w:cs="Arial"/>
          <w:szCs w:val="24"/>
          <w:lang w:val="es-MX"/>
        </w:rPr>
      </w:pPr>
    </w:p>
    <w:p w14:paraId="46DD8CD9" w14:textId="77777777" w:rsidR="00BA21FE" w:rsidRDefault="00BA21FE" w:rsidP="002824F1">
      <w:pPr>
        <w:rPr>
          <w:rFonts w:cs="Arial"/>
          <w:szCs w:val="24"/>
          <w:lang w:val="es-MX"/>
        </w:rPr>
      </w:pPr>
    </w:p>
    <w:p w14:paraId="6193AB3F" w14:textId="77777777" w:rsidR="00BA21FE" w:rsidRDefault="00BA21FE" w:rsidP="002824F1">
      <w:pPr>
        <w:rPr>
          <w:rFonts w:cs="Arial"/>
          <w:szCs w:val="24"/>
          <w:lang w:val="es-MX"/>
        </w:rPr>
      </w:pPr>
    </w:p>
    <w:p w14:paraId="5D50B5D3" w14:textId="6D7D7CDF" w:rsidR="00F00631" w:rsidRDefault="00B94D93" w:rsidP="000064E6">
      <w:pPr>
        <w:pStyle w:val="Ttulo1"/>
        <w:rPr>
          <w:lang w:val="es-MX"/>
        </w:rPr>
      </w:pPr>
      <w:bookmarkStart w:id="1" w:name="_Toc231741402"/>
      <w:r>
        <w:rPr>
          <w:lang w:val="es-MX"/>
        </w:rPr>
        <w:lastRenderedPageBreak/>
        <w:t>INTRODUCCIÓN</w:t>
      </w:r>
      <w:bookmarkEnd w:id="1"/>
    </w:p>
    <w:p w14:paraId="151A80C3" w14:textId="77777777" w:rsidR="00193D00" w:rsidRPr="00193D00" w:rsidRDefault="00193D00" w:rsidP="0003247A">
      <w:pPr>
        <w:spacing w:after="480"/>
        <w:rPr>
          <w:rFonts w:cs="Arial"/>
          <w:szCs w:val="24"/>
          <w:lang w:val="es-MX"/>
        </w:rPr>
      </w:pPr>
      <w:r w:rsidRPr="00193D00">
        <w:rPr>
          <w:rFonts w:cs="Arial"/>
          <w:szCs w:val="24"/>
          <w:lang w:val="es-MX"/>
        </w:rPr>
        <w:t>El presente informe de práctica profesional expone las actividades desarrolladas en la Alcaldía Municipal de Aguachica, entidad territorial responsable de la administración pública del municipio en el departamento del Cesar. La experiencia permitió aplicar los conocimientos adquiridos durante la formación universitaria en un contexto real de gestión pública, particularmente en el campo de las finanzas y la planeación fiscal territorial.</w:t>
      </w:r>
    </w:p>
    <w:p w14:paraId="34CA81E5" w14:textId="77777777" w:rsidR="00193D00" w:rsidRPr="00193D00" w:rsidRDefault="00193D00" w:rsidP="0003247A">
      <w:pPr>
        <w:spacing w:after="480"/>
        <w:rPr>
          <w:rFonts w:cs="Arial"/>
          <w:szCs w:val="24"/>
          <w:lang w:val="es-MX"/>
        </w:rPr>
      </w:pPr>
      <w:r w:rsidRPr="00193D00">
        <w:rPr>
          <w:rFonts w:cs="Arial"/>
          <w:szCs w:val="24"/>
          <w:lang w:val="es-MX"/>
        </w:rPr>
        <w:t>Las actividades se enfocaron en el análisis y la actualización del Marco Fiscal de Mediano Plazo, así como en el estudio de variables como los pasivos exigibles, el servicio de la deuda y el comportamiento de la cartera municipal. Estos son instrumentos fundamentales para evaluar la sostenibilidad de las finanzas públicas locales y orientar la toma de decisiones administrativas con criterios técnicos.</w:t>
      </w:r>
    </w:p>
    <w:p w14:paraId="57E60BDA" w14:textId="36D4EB89" w:rsidR="00193D00" w:rsidRPr="00193D00" w:rsidRDefault="00193D00" w:rsidP="0003247A">
      <w:pPr>
        <w:spacing w:after="480"/>
        <w:rPr>
          <w:rFonts w:cs="Arial"/>
          <w:szCs w:val="24"/>
          <w:lang w:val="es-MX"/>
        </w:rPr>
      </w:pPr>
      <w:r w:rsidRPr="00193D00">
        <w:rPr>
          <w:rFonts w:cs="Arial"/>
          <w:szCs w:val="24"/>
          <w:lang w:val="es-MX"/>
        </w:rPr>
        <w:t xml:space="preserve">La relevancia de este trabajo va más allá de la descripción de actividades a partir del diagnóstico del área de presupuesto se identificaron limitaciones estructurales concretas </w:t>
      </w:r>
      <w:r w:rsidR="00B44E8B">
        <w:rPr>
          <w:rFonts w:cs="Arial"/>
          <w:szCs w:val="24"/>
          <w:lang w:val="es-MX"/>
        </w:rPr>
        <w:t xml:space="preserve">como </w:t>
      </w:r>
      <w:r w:rsidRPr="00193D00">
        <w:rPr>
          <w:rFonts w:cs="Arial"/>
          <w:szCs w:val="24"/>
          <w:lang w:val="es-MX"/>
        </w:rPr>
        <w:t>ausencia de manuales de procedimiento, herramientas tecnológicas desactualizadas y procesos sin trazabilidad formal que motivaron la formulación de una propuesta de modernización presupuestal. Esta propuesta constituye el aporte innovador del informe y traduce el análisis diagnóstico en acciones de mejora aplicables con los recursos disponibles en el municipio.</w:t>
      </w:r>
    </w:p>
    <w:p w14:paraId="2F6185FC" w14:textId="77777777" w:rsidR="00193D00" w:rsidRDefault="00193D00" w:rsidP="0003247A">
      <w:pPr>
        <w:spacing w:after="480"/>
        <w:rPr>
          <w:rFonts w:cs="Arial"/>
          <w:szCs w:val="24"/>
          <w:lang w:val="es-MX"/>
        </w:rPr>
      </w:pPr>
      <w:r w:rsidRPr="00193D00">
        <w:rPr>
          <w:rFonts w:cs="Arial"/>
          <w:szCs w:val="24"/>
          <w:lang w:val="es-MX"/>
        </w:rPr>
        <w:t>El documento se organiza en dos capítulos. El primero presenta los aspectos institucionales de la Alcaldía: su naturaleza jurídica, estructura organizacional y principios que orientan la gestión. El segundo desarrolla el diagnóstico del área de presupuesto, la formulación de estrategias a partir de la matriz DOFA, los objetivos del trabajo y el plan de actividades ejecutado. Este capítulo cierra con la propuesta de modernización presupuestal, que incluye lineamientos de digitalización documental, automatización de tareas recurrentes, diseño de indicadores financieros, construcción de un manual de procesos y mecanismos de trazabilidad presupuestal.</w:t>
      </w:r>
    </w:p>
    <w:p w14:paraId="7B77B806" w14:textId="054AD669" w:rsidR="00B44E8B" w:rsidRPr="00193D00" w:rsidRDefault="00B44E8B" w:rsidP="0003247A">
      <w:pPr>
        <w:spacing w:after="480"/>
        <w:rPr>
          <w:rFonts w:cs="Arial"/>
          <w:szCs w:val="24"/>
          <w:lang w:val="es-MX"/>
        </w:rPr>
      </w:pPr>
      <w:r w:rsidRPr="00A03D5E">
        <w:rPr>
          <w:rFonts w:cs="Arial"/>
          <w:szCs w:val="24"/>
          <w:lang w:val="es-MX"/>
        </w:rPr>
        <w:t>De esta manera, el presente informe busca no solo describir las actividades desarrolladas durante la práctica profesional, sino también aportar un análisis técnico sobre algunos de los componentes fundamentales de la gestión fiscal municipal. A través de este ejercicio se evidencia la importancia de la planeación financiera en la administración pública territorial y el papel que desempeñan los instrumentos de gestión fiscal de la sostenibilidad económica de los municipios.</w:t>
      </w:r>
    </w:p>
    <w:p w14:paraId="5625275C" w14:textId="350B5FAA" w:rsidR="00193D00" w:rsidRDefault="00193D00" w:rsidP="0003247A">
      <w:pPr>
        <w:spacing w:after="480"/>
        <w:rPr>
          <w:rFonts w:cs="Arial"/>
          <w:szCs w:val="24"/>
          <w:lang w:val="es-MX"/>
        </w:rPr>
      </w:pPr>
      <w:r w:rsidRPr="00193D00">
        <w:rPr>
          <w:rFonts w:cs="Arial"/>
          <w:szCs w:val="24"/>
          <w:lang w:val="es-MX"/>
        </w:rPr>
        <w:lastRenderedPageBreak/>
        <w:t xml:space="preserve">Con esta estructura, el informe busca evidenciar que </w:t>
      </w:r>
      <w:r w:rsidR="00853FBA">
        <w:rPr>
          <w:rFonts w:cs="Arial"/>
          <w:szCs w:val="24"/>
          <w:lang w:val="es-MX"/>
        </w:rPr>
        <w:t xml:space="preserve">el manejo de lo </w:t>
      </w:r>
      <w:r w:rsidRPr="00193D00">
        <w:rPr>
          <w:rFonts w:cs="Arial"/>
          <w:szCs w:val="24"/>
          <w:lang w:val="es-MX"/>
        </w:rPr>
        <w:t>públic</w:t>
      </w:r>
      <w:r w:rsidR="00853FBA">
        <w:rPr>
          <w:rFonts w:cs="Arial"/>
          <w:szCs w:val="24"/>
          <w:lang w:val="es-MX"/>
        </w:rPr>
        <w:t>o</w:t>
      </w:r>
      <w:r w:rsidRPr="00193D00">
        <w:rPr>
          <w:rFonts w:cs="Arial"/>
          <w:szCs w:val="24"/>
          <w:lang w:val="es-MX"/>
        </w:rPr>
        <w:t xml:space="preserve"> municipal puede fortalecerse desde adentro, aprovechando el conocimiento técnico acumulado en el área y las herramientas disponibles, sin necesidad de transformaciones radicales ni de grandes inversiones. La mejora organizacional es posible cuando se diagnostica con rigor y se propone con criterio.</w:t>
      </w:r>
      <w:r w:rsidR="006A0418">
        <w:rPr>
          <w:rFonts w:cs="Arial"/>
          <w:szCs w:val="24"/>
          <w:lang w:val="es-MX"/>
        </w:rPr>
        <w:t xml:space="preserve"> </w:t>
      </w:r>
    </w:p>
    <w:p w14:paraId="007FBC55" w14:textId="6BFFF592" w:rsidR="00B44E8B" w:rsidRDefault="00B44E8B" w:rsidP="00193D00">
      <w:pPr>
        <w:spacing w:before="360"/>
        <w:rPr>
          <w:rFonts w:cs="Arial"/>
          <w:szCs w:val="24"/>
          <w:lang w:val="es-MX"/>
        </w:rPr>
      </w:pPr>
    </w:p>
    <w:p w14:paraId="2F6DC7FA" w14:textId="77777777" w:rsidR="00B44E8B" w:rsidRDefault="00B44E8B" w:rsidP="00193D00">
      <w:pPr>
        <w:spacing w:before="360"/>
        <w:rPr>
          <w:rFonts w:cs="Arial"/>
          <w:szCs w:val="24"/>
          <w:lang w:val="es-MX"/>
        </w:rPr>
      </w:pPr>
    </w:p>
    <w:p w14:paraId="7CEE460D" w14:textId="77777777" w:rsidR="00F00631" w:rsidRDefault="00F00631" w:rsidP="002824F1">
      <w:pPr>
        <w:rPr>
          <w:rFonts w:cs="Arial"/>
          <w:szCs w:val="24"/>
          <w:lang w:val="es-MX"/>
        </w:rPr>
      </w:pPr>
    </w:p>
    <w:p w14:paraId="5EF77C54" w14:textId="77777777" w:rsidR="00F00631" w:rsidRDefault="00F00631" w:rsidP="002824F1">
      <w:pPr>
        <w:rPr>
          <w:rFonts w:cs="Arial"/>
          <w:szCs w:val="24"/>
          <w:lang w:val="es-MX"/>
        </w:rPr>
      </w:pPr>
    </w:p>
    <w:p w14:paraId="064D0FCB" w14:textId="77777777" w:rsidR="00F00631" w:rsidRDefault="00F00631" w:rsidP="002824F1">
      <w:pPr>
        <w:rPr>
          <w:rFonts w:cs="Arial"/>
          <w:szCs w:val="24"/>
          <w:lang w:val="es-MX"/>
        </w:rPr>
      </w:pPr>
    </w:p>
    <w:p w14:paraId="6771CBF0" w14:textId="77777777" w:rsidR="00F00631" w:rsidRDefault="00F00631" w:rsidP="002824F1">
      <w:pPr>
        <w:rPr>
          <w:rFonts w:cs="Arial"/>
          <w:szCs w:val="24"/>
          <w:lang w:val="es-MX"/>
        </w:rPr>
      </w:pPr>
    </w:p>
    <w:p w14:paraId="6E8525FE" w14:textId="77777777" w:rsidR="00F00631" w:rsidRDefault="00F00631" w:rsidP="002824F1">
      <w:pPr>
        <w:rPr>
          <w:rFonts w:cs="Arial"/>
          <w:szCs w:val="24"/>
          <w:lang w:val="es-MX"/>
        </w:rPr>
      </w:pPr>
    </w:p>
    <w:p w14:paraId="6D45C3E2" w14:textId="77777777" w:rsidR="001647F5" w:rsidRDefault="001647F5" w:rsidP="001647F5">
      <w:pPr>
        <w:pStyle w:val="Prrafodelista"/>
        <w:spacing w:line="480" w:lineRule="auto"/>
        <w:jc w:val="center"/>
        <w:rPr>
          <w:rFonts w:cs="Arial"/>
          <w:szCs w:val="24"/>
          <w:lang w:val="es-MX"/>
        </w:rPr>
      </w:pPr>
    </w:p>
    <w:p w14:paraId="6D2F52D9" w14:textId="77777777" w:rsidR="00576F95" w:rsidRDefault="00576F95" w:rsidP="001647F5">
      <w:pPr>
        <w:pStyle w:val="Prrafodelista"/>
        <w:spacing w:line="480" w:lineRule="auto"/>
        <w:jc w:val="center"/>
        <w:rPr>
          <w:rFonts w:cs="Arial"/>
          <w:szCs w:val="24"/>
          <w:lang w:val="es-MX"/>
        </w:rPr>
      </w:pPr>
    </w:p>
    <w:p w14:paraId="598D939E" w14:textId="77777777" w:rsidR="00576F95" w:rsidRDefault="00576F95" w:rsidP="001647F5">
      <w:pPr>
        <w:pStyle w:val="Prrafodelista"/>
        <w:spacing w:line="480" w:lineRule="auto"/>
        <w:jc w:val="center"/>
        <w:rPr>
          <w:rFonts w:cs="Arial"/>
          <w:szCs w:val="24"/>
          <w:lang w:val="es-MX"/>
        </w:rPr>
      </w:pPr>
    </w:p>
    <w:p w14:paraId="2ED70C74" w14:textId="77777777" w:rsidR="00B44E8B" w:rsidRDefault="00B44E8B" w:rsidP="001647F5">
      <w:pPr>
        <w:pStyle w:val="Prrafodelista"/>
        <w:spacing w:line="480" w:lineRule="auto"/>
        <w:jc w:val="center"/>
        <w:rPr>
          <w:rFonts w:cs="Arial"/>
          <w:szCs w:val="24"/>
          <w:lang w:val="es-MX"/>
        </w:rPr>
      </w:pPr>
    </w:p>
    <w:p w14:paraId="6DFB0881" w14:textId="77777777" w:rsidR="00B44E8B" w:rsidRDefault="00B44E8B" w:rsidP="001647F5">
      <w:pPr>
        <w:pStyle w:val="Prrafodelista"/>
        <w:spacing w:line="480" w:lineRule="auto"/>
        <w:jc w:val="center"/>
        <w:rPr>
          <w:rFonts w:cs="Arial"/>
          <w:szCs w:val="24"/>
          <w:lang w:val="es-MX"/>
        </w:rPr>
      </w:pPr>
    </w:p>
    <w:p w14:paraId="66400B72" w14:textId="77777777" w:rsidR="00B44E8B" w:rsidRDefault="00B44E8B" w:rsidP="001647F5">
      <w:pPr>
        <w:pStyle w:val="Prrafodelista"/>
        <w:spacing w:line="480" w:lineRule="auto"/>
        <w:jc w:val="center"/>
        <w:rPr>
          <w:rFonts w:cs="Arial"/>
          <w:szCs w:val="24"/>
          <w:lang w:val="es-MX"/>
        </w:rPr>
      </w:pPr>
    </w:p>
    <w:p w14:paraId="4D5906E7" w14:textId="77777777" w:rsidR="005E58B3" w:rsidRDefault="005E58B3" w:rsidP="001647F5">
      <w:pPr>
        <w:pStyle w:val="Prrafodelista"/>
        <w:spacing w:line="480" w:lineRule="auto"/>
        <w:jc w:val="center"/>
        <w:rPr>
          <w:rFonts w:cs="Arial"/>
          <w:szCs w:val="24"/>
          <w:lang w:val="es-MX"/>
        </w:rPr>
      </w:pPr>
    </w:p>
    <w:p w14:paraId="212879C1" w14:textId="77777777" w:rsidR="00F26601" w:rsidRDefault="00F26601" w:rsidP="001647F5">
      <w:pPr>
        <w:pStyle w:val="Prrafodelista"/>
        <w:spacing w:line="480" w:lineRule="auto"/>
        <w:jc w:val="center"/>
        <w:rPr>
          <w:rFonts w:cs="Arial"/>
          <w:szCs w:val="24"/>
          <w:lang w:val="es-MX"/>
        </w:rPr>
      </w:pPr>
    </w:p>
    <w:p w14:paraId="68C4EFB7" w14:textId="4827C458" w:rsidR="00231258" w:rsidRDefault="00231258" w:rsidP="00231258">
      <w:pPr>
        <w:pStyle w:val="Ttulo1"/>
        <w:rPr>
          <w:lang w:val="es-MX"/>
        </w:rPr>
      </w:pPr>
      <w:bookmarkStart w:id="2" w:name="_Toc231741403"/>
      <w:r>
        <w:rPr>
          <w:lang w:val="es-MX"/>
        </w:rPr>
        <w:lastRenderedPageBreak/>
        <w:t>CAPÍTULO I</w:t>
      </w:r>
      <w:bookmarkEnd w:id="2"/>
    </w:p>
    <w:p w14:paraId="3C3A8F09" w14:textId="41FDDFE9" w:rsidR="00106035" w:rsidRPr="001647F5" w:rsidRDefault="00106035" w:rsidP="005D3E2F">
      <w:pPr>
        <w:pStyle w:val="Ttulo1"/>
        <w:numPr>
          <w:ilvl w:val="0"/>
          <w:numId w:val="4"/>
        </w:numPr>
        <w:rPr>
          <w:lang w:val="es-MX"/>
        </w:rPr>
      </w:pPr>
      <w:bookmarkStart w:id="3" w:name="_Toc231741404"/>
      <w:r w:rsidRPr="001647F5">
        <w:rPr>
          <w:lang w:val="es-MX"/>
        </w:rPr>
        <w:t>ASPECTOS B</w:t>
      </w:r>
      <w:r w:rsidR="001647F5" w:rsidRPr="001647F5">
        <w:rPr>
          <w:lang w:val="es-MX"/>
        </w:rPr>
        <w:t>Á</w:t>
      </w:r>
      <w:r w:rsidRPr="001647F5">
        <w:rPr>
          <w:lang w:val="es-MX"/>
        </w:rPr>
        <w:t>SICOS DE LA EMPRESA</w:t>
      </w:r>
      <w:bookmarkEnd w:id="3"/>
    </w:p>
    <w:p w14:paraId="5358EF2F" w14:textId="21F5E247" w:rsidR="00106035" w:rsidRDefault="005D3E2F" w:rsidP="005D3E2F">
      <w:pPr>
        <w:spacing w:after="480"/>
        <w:rPr>
          <w:rFonts w:cs="Arial"/>
          <w:szCs w:val="24"/>
          <w:lang w:val="es-MX"/>
        </w:rPr>
      </w:pPr>
      <w:r w:rsidRPr="005D3E2F">
        <w:rPr>
          <w:rFonts w:cs="Arial"/>
          <w:szCs w:val="24"/>
          <w:lang w:val="es-MX"/>
        </w:rPr>
        <w:t xml:space="preserve">La Alcaldía Municipal de Aguachica es una entidad territorial de carácter público encargada de la administración y gestión del municipio de Aguachica, en el departamento del Cesar. Su sede principal se encuentra ubicada en la Cl. 4 #10-33, en el casco </w:t>
      </w:r>
      <w:r w:rsidRPr="002C5A97">
        <w:rPr>
          <w:rFonts w:cs="Arial"/>
          <w:szCs w:val="24"/>
          <w:lang w:val="es-MX"/>
        </w:rPr>
        <w:t>urbano</w:t>
      </w:r>
      <w:r w:rsidRPr="005D3E2F">
        <w:rPr>
          <w:rFonts w:cs="Arial"/>
          <w:szCs w:val="24"/>
          <w:lang w:val="es-MX"/>
        </w:rPr>
        <w:t xml:space="preserve"> del municipio, desde donde se coordinan las diferentes dependencias responsables de la planeación, ejecución y control de las políticas públicas locales.</w:t>
      </w:r>
    </w:p>
    <w:p w14:paraId="3A782953" w14:textId="1C9A5093" w:rsidR="005D3E2F" w:rsidRPr="00106035" w:rsidRDefault="005D3E2F" w:rsidP="005D3E2F">
      <w:pPr>
        <w:spacing w:after="480"/>
        <w:rPr>
          <w:rFonts w:cs="Arial"/>
          <w:szCs w:val="24"/>
          <w:lang w:val="es-MX"/>
        </w:rPr>
      </w:pPr>
      <w:r w:rsidRPr="005D3E2F">
        <w:rPr>
          <w:rFonts w:cs="Arial"/>
          <w:szCs w:val="24"/>
          <w:lang w:val="es-MX"/>
        </w:rPr>
        <w:t>El periodo administrativo actual corresponde al cuatrienio 2024–2027. La titularidad del cargo recae en la alcaldesa Greicy Tatiana Roqueme Ropero, quien asumió funciones tras el fallecimiento del alcalde electo Víctor Roqueme Quiñónez en agosto de 2024. Roqueme Ropero es licenciada en Comercio Exterior y cuenta con una Maestría en Gobierno del Territorio y Gestión Pública</w:t>
      </w:r>
      <w:r w:rsidR="008A3560">
        <w:rPr>
          <w:rFonts w:cs="Arial"/>
          <w:szCs w:val="24"/>
          <w:lang w:val="es-MX"/>
        </w:rPr>
        <w:t xml:space="preserve"> (Jácome, 2024)</w:t>
      </w:r>
      <w:r w:rsidRPr="005D3E2F">
        <w:rPr>
          <w:rFonts w:cs="Arial"/>
          <w:szCs w:val="24"/>
          <w:lang w:val="es-MX"/>
        </w:rPr>
        <w:t>.</w:t>
      </w:r>
    </w:p>
    <w:p w14:paraId="75E2E262" w14:textId="25F0EEB6" w:rsidR="009F2A8C" w:rsidRDefault="005D3E2F" w:rsidP="005D3E2F">
      <w:pPr>
        <w:spacing w:after="480"/>
        <w:rPr>
          <w:rFonts w:cs="Arial"/>
          <w:szCs w:val="24"/>
          <w:lang w:val="es-MX"/>
        </w:rPr>
      </w:pPr>
      <w:r>
        <w:rPr>
          <w:rFonts w:cs="Arial"/>
          <w:szCs w:val="24"/>
          <w:lang w:val="es-MX"/>
        </w:rPr>
        <w:t xml:space="preserve">La </w:t>
      </w:r>
      <w:r w:rsidRPr="005D3E2F">
        <w:rPr>
          <w:rFonts w:cs="Arial"/>
          <w:szCs w:val="24"/>
          <w:lang w:val="es-MX"/>
        </w:rPr>
        <w:t xml:space="preserve">trayectoria </w:t>
      </w:r>
      <w:r>
        <w:rPr>
          <w:rFonts w:cs="Arial"/>
          <w:szCs w:val="24"/>
          <w:lang w:val="es-MX"/>
        </w:rPr>
        <w:t xml:space="preserve">de la alcaldesa </w:t>
      </w:r>
      <w:r w:rsidRPr="005D3E2F">
        <w:rPr>
          <w:rFonts w:cs="Arial"/>
          <w:szCs w:val="24"/>
          <w:lang w:val="es-MX"/>
        </w:rPr>
        <w:t>incluye experiencia en gestión administrativa, destacándose su desempeño como gerente de Fonvisocial durante la administración municipal anterior, así como su participación en procesos de empalme institucional, lo que evidencia conocimiento del funcionamiento interno de la administración pública local</w:t>
      </w:r>
      <w:r w:rsidR="004C07C2">
        <w:rPr>
          <w:rFonts w:cs="Arial"/>
          <w:szCs w:val="24"/>
          <w:lang w:val="es-MX"/>
        </w:rPr>
        <w:t xml:space="preserve"> </w:t>
      </w:r>
      <w:r w:rsidR="004C07C2" w:rsidRPr="004C07C2">
        <w:rPr>
          <w:rFonts w:cs="Arial"/>
          <w:szCs w:val="24"/>
          <w:lang w:val="es-MX"/>
        </w:rPr>
        <w:t>(Molina, 2023)</w:t>
      </w:r>
      <w:r w:rsidRPr="005D3E2F">
        <w:rPr>
          <w:rFonts w:cs="Arial"/>
          <w:szCs w:val="24"/>
          <w:lang w:val="es-MX"/>
        </w:rPr>
        <w:t>.</w:t>
      </w:r>
    </w:p>
    <w:p w14:paraId="27C6E25F" w14:textId="6E09F2EC" w:rsidR="005D3E2F" w:rsidRDefault="005D3E2F" w:rsidP="005D3E2F">
      <w:pPr>
        <w:spacing w:after="480"/>
        <w:rPr>
          <w:rFonts w:cs="Arial"/>
          <w:szCs w:val="24"/>
          <w:lang w:val="es-MX"/>
        </w:rPr>
      </w:pPr>
      <w:r w:rsidRPr="005D3E2F">
        <w:rPr>
          <w:rFonts w:cs="Arial"/>
          <w:szCs w:val="24"/>
          <w:lang w:val="es-MX"/>
        </w:rPr>
        <w:t>Mediante el Decreto 219 de 2025, fue designado como alcalde encargado Isaac Holguín Felizola, quien ejerce funciones como mandatario local desde el 30 de diciembre de 2025 hasta el 28 de abril de 2026, periodo durante el cual la alcaldesa titular se encuentra en licencia de maternidad. Holguín Felizola se venía desempeñando como secretario de Gobierno del municipio, lo cual le otorga experiencia en la dinámica administrativa y en la coordinación de asuntos estratégicos de la entidad</w:t>
      </w:r>
      <w:r w:rsidR="00B90F6A">
        <w:rPr>
          <w:rFonts w:cs="Arial"/>
          <w:szCs w:val="24"/>
          <w:lang w:val="es-MX"/>
        </w:rPr>
        <w:t xml:space="preserve"> (</w:t>
      </w:r>
      <w:r w:rsidR="00B90F6A" w:rsidRPr="00B90F6A">
        <w:rPr>
          <w:rFonts w:cs="Arial"/>
          <w:szCs w:val="24"/>
          <w:lang w:val="es-MX"/>
        </w:rPr>
        <w:t>Alcaldía de Aguachica Cesar</w:t>
      </w:r>
      <w:r w:rsidR="00B90F6A">
        <w:rPr>
          <w:rFonts w:cs="Arial"/>
          <w:szCs w:val="24"/>
          <w:lang w:val="es-MX"/>
        </w:rPr>
        <w:t>, 2026)</w:t>
      </w:r>
      <w:r w:rsidRPr="005D3E2F">
        <w:rPr>
          <w:rFonts w:cs="Arial"/>
          <w:szCs w:val="24"/>
          <w:lang w:val="es-MX"/>
        </w:rPr>
        <w:t>.</w:t>
      </w:r>
    </w:p>
    <w:p w14:paraId="0C009E4C" w14:textId="4E29362E" w:rsidR="00106035" w:rsidRDefault="009F2A8C" w:rsidP="0030735D">
      <w:pPr>
        <w:pStyle w:val="Ttulo2"/>
      </w:pPr>
      <w:bookmarkStart w:id="4" w:name="_Toc231741405"/>
      <w:r>
        <w:t>1.1</w:t>
      </w:r>
      <w:r w:rsidR="00AC11C8">
        <w:t>.</w:t>
      </w:r>
      <w:r>
        <w:t xml:space="preserve">  </w:t>
      </w:r>
      <w:r w:rsidR="00106035" w:rsidRPr="00106035">
        <w:t>ACTIVIDAD ECONÓMICA QUE DESARROLLA LA EMPRESA</w:t>
      </w:r>
      <w:bookmarkEnd w:id="4"/>
    </w:p>
    <w:p w14:paraId="6206EDC9" w14:textId="1D2D8606" w:rsidR="00EA3E94" w:rsidRDefault="00EA3E94" w:rsidP="00EA3E94">
      <w:pPr>
        <w:spacing w:after="480"/>
        <w:rPr>
          <w:rFonts w:cs="Arial"/>
          <w:szCs w:val="24"/>
          <w:lang w:val="es-MX"/>
        </w:rPr>
      </w:pPr>
      <w:r w:rsidRPr="00EA3E94">
        <w:rPr>
          <w:rFonts w:cs="Arial"/>
          <w:szCs w:val="24"/>
          <w:lang w:val="es-MX"/>
        </w:rPr>
        <w:t xml:space="preserve">La Alcaldía Municipal de Aguachica, identificada con NIT 800096561-4, es una entidad territorial de carácter público cuya actividad económica principal corresponde a la administración pública municipal. De acuerdo con el Registro Único Tributario (RUT), desarrolla las actividades económicas clasificadas bajo códigos CIIU como 8412 – Actividades ejecutivas de la administración pública; y 8411 – Actividades legislativas de la administración pública. </w:t>
      </w:r>
    </w:p>
    <w:p w14:paraId="39CCC905" w14:textId="197356A1" w:rsidR="00EA3E94" w:rsidRPr="00EA3E94" w:rsidRDefault="00EA3E94" w:rsidP="00EA3E94">
      <w:pPr>
        <w:spacing w:after="480"/>
        <w:rPr>
          <w:rFonts w:cs="Arial"/>
          <w:szCs w:val="24"/>
          <w:lang w:val="es-MX"/>
        </w:rPr>
      </w:pPr>
      <w:r w:rsidRPr="00EA3E94">
        <w:rPr>
          <w:rFonts w:cs="Arial"/>
          <w:szCs w:val="24"/>
          <w:lang w:val="es-MX"/>
        </w:rPr>
        <w:lastRenderedPageBreak/>
        <w:t>La actividad ejecutiva de la administración pública (CIIU 8412) comprende la dirección, coordinación y ejecución de políticas públicas a nivel municipal, incluyendo la gestión financiera, presupuestal, tributaria y administrativa. Por su parte, la actividad legislativa (CIIU 8411) se relaciona con la formulación y adopción de acuerdos municipales, en articulación con el Concejo Municipal, órgano colegiado de representación política local.</w:t>
      </w:r>
    </w:p>
    <w:p w14:paraId="00488A47" w14:textId="77777777" w:rsidR="00EA3E94" w:rsidRPr="00EA3E94" w:rsidRDefault="00EA3E94" w:rsidP="00EA3E94">
      <w:pPr>
        <w:spacing w:after="480"/>
        <w:rPr>
          <w:rFonts w:cs="Arial"/>
          <w:szCs w:val="24"/>
          <w:lang w:val="es-MX"/>
        </w:rPr>
      </w:pPr>
      <w:r w:rsidRPr="00EA3E94">
        <w:rPr>
          <w:rFonts w:cs="Arial"/>
          <w:szCs w:val="24"/>
          <w:lang w:val="es-MX"/>
        </w:rPr>
        <w:t>Desde el punto de vista jurídico, la Alcaldía constituye una entidad territorial reconocida por la Constitución Política de Colombia, dotada de autonomía administrativa, política y fiscal para la gestión de sus intereses. Su funcionamiento se encuentra regulado, entre otras disposiciones, por la Ley 136 de 1994 y demás normas que estructuran el régimen municipal colombiano.</w:t>
      </w:r>
    </w:p>
    <w:p w14:paraId="37CBF1E5" w14:textId="2A475241" w:rsidR="009F2A8C" w:rsidRDefault="00EA3E94" w:rsidP="00EA3E94">
      <w:pPr>
        <w:spacing w:after="480"/>
        <w:rPr>
          <w:rFonts w:cs="Arial"/>
          <w:szCs w:val="24"/>
          <w:lang w:val="es-MX"/>
        </w:rPr>
      </w:pPr>
      <w:r w:rsidRPr="00EA3E94">
        <w:rPr>
          <w:rFonts w:cs="Arial"/>
          <w:szCs w:val="24"/>
          <w:lang w:val="es-MX"/>
        </w:rPr>
        <w:t>En cuanto a su forma jurídica, corresponde a un ente público territorial con personería jurídica, patrimonio propio y autonomía dentro de los límites establecidos por la ley. La composición de su capital proviene exclusivamente de recursos públicos, integrados por ingresos corrientes de libre destinación, transferencias del Sistema General de Participaciones, recursos del Sistema General de Regalías, ingresos tributarios municipales, tasas, contribuciones y demás fuentes establecidas en la normatividad vigente.</w:t>
      </w:r>
    </w:p>
    <w:p w14:paraId="6E5C6628" w14:textId="41EBAAB8" w:rsidR="00E01033" w:rsidRPr="00F27C36" w:rsidRDefault="00E01033" w:rsidP="00E01033">
      <w:pPr>
        <w:pStyle w:val="Descripcin"/>
        <w:keepNext/>
        <w:rPr>
          <w:rFonts w:ascii="Arial" w:hAnsi="Arial" w:cs="Arial"/>
          <w:i w:val="0"/>
          <w:iCs w:val="0"/>
          <w:color w:val="auto"/>
          <w:sz w:val="24"/>
          <w:szCs w:val="24"/>
        </w:rPr>
      </w:pPr>
      <w:bookmarkStart w:id="5" w:name="_Toc231741479"/>
      <w:r w:rsidRPr="00F27C36">
        <w:rPr>
          <w:rFonts w:ascii="Arial" w:hAnsi="Arial" w:cs="Arial"/>
          <w:b/>
          <w:bCs/>
          <w:i w:val="0"/>
          <w:iCs w:val="0"/>
          <w:color w:val="auto"/>
          <w:sz w:val="24"/>
          <w:szCs w:val="24"/>
        </w:rPr>
        <w:t xml:space="preserve">Tabla </w:t>
      </w:r>
      <w:r w:rsidR="00591DB5" w:rsidRPr="00F27C36">
        <w:rPr>
          <w:rFonts w:ascii="Arial" w:hAnsi="Arial" w:cs="Arial"/>
          <w:b/>
          <w:bCs/>
          <w:i w:val="0"/>
          <w:iCs w:val="0"/>
          <w:color w:val="auto"/>
          <w:sz w:val="24"/>
          <w:szCs w:val="24"/>
        </w:rPr>
        <w:fldChar w:fldCharType="begin"/>
      </w:r>
      <w:r w:rsidR="00591DB5" w:rsidRPr="00F27C36">
        <w:rPr>
          <w:rFonts w:ascii="Arial" w:hAnsi="Arial" w:cs="Arial"/>
          <w:b/>
          <w:bCs/>
          <w:i w:val="0"/>
          <w:iCs w:val="0"/>
          <w:color w:val="auto"/>
          <w:sz w:val="24"/>
          <w:szCs w:val="24"/>
        </w:rPr>
        <w:instrText xml:space="preserve"> SEQ Tabla \* ARABIC </w:instrText>
      </w:r>
      <w:r w:rsidR="00591DB5" w:rsidRPr="00F27C36">
        <w:rPr>
          <w:rFonts w:ascii="Arial" w:hAnsi="Arial" w:cs="Arial"/>
          <w:b/>
          <w:bCs/>
          <w:i w:val="0"/>
          <w:iCs w:val="0"/>
          <w:color w:val="auto"/>
          <w:sz w:val="24"/>
          <w:szCs w:val="24"/>
        </w:rPr>
        <w:fldChar w:fldCharType="separate"/>
      </w:r>
      <w:r w:rsidR="002B0D85">
        <w:rPr>
          <w:rFonts w:ascii="Arial" w:hAnsi="Arial" w:cs="Arial"/>
          <w:b/>
          <w:bCs/>
          <w:i w:val="0"/>
          <w:iCs w:val="0"/>
          <w:noProof/>
          <w:color w:val="auto"/>
          <w:sz w:val="24"/>
          <w:szCs w:val="24"/>
        </w:rPr>
        <w:t>1</w:t>
      </w:r>
      <w:r w:rsidR="00591DB5" w:rsidRPr="00F27C36">
        <w:rPr>
          <w:rFonts w:ascii="Arial" w:hAnsi="Arial" w:cs="Arial"/>
          <w:b/>
          <w:bCs/>
          <w:i w:val="0"/>
          <w:iCs w:val="0"/>
          <w:noProof/>
          <w:color w:val="auto"/>
          <w:sz w:val="24"/>
          <w:szCs w:val="24"/>
        </w:rPr>
        <w:fldChar w:fldCharType="end"/>
      </w:r>
      <w:r w:rsidRPr="00F27C36">
        <w:rPr>
          <w:rFonts w:ascii="Arial" w:hAnsi="Arial" w:cs="Arial"/>
          <w:i w:val="0"/>
          <w:iCs w:val="0"/>
          <w:color w:val="auto"/>
          <w:sz w:val="24"/>
          <w:szCs w:val="24"/>
        </w:rPr>
        <w:t>. Información general de la Alcaldía de Aguachica</w:t>
      </w:r>
      <w:bookmarkEnd w:id="5"/>
    </w:p>
    <w:tbl>
      <w:tblPr>
        <w:tblStyle w:val="Tablaconcuadrcula4-nfasis6"/>
        <w:tblW w:w="9418" w:type="dxa"/>
        <w:tblInd w:w="-856" w:type="dxa"/>
        <w:tblLook w:val="04A0" w:firstRow="1" w:lastRow="0" w:firstColumn="1" w:lastColumn="0" w:noHBand="0" w:noVBand="1"/>
      </w:tblPr>
      <w:tblGrid>
        <w:gridCol w:w="2970"/>
        <w:gridCol w:w="6448"/>
      </w:tblGrid>
      <w:tr w:rsidR="00214EE3" w:rsidRPr="00214EE3" w14:paraId="29800C86" w14:textId="77777777" w:rsidTr="0084278E">
        <w:trPr>
          <w:cnfStyle w:val="100000000000" w:firstRow="1" w:lastRow="0" w:firstColumn="0" w:lastColumn="0" w:oddVBand="0" w:evenVBand="0" w:oddHBand="0"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970" w:type="dxa"/>
            <w:hideMark/>
          </w:tcPr>
          <w:p w14:paraId="2518ED2C" w14:textId="77777777" w:rsidR="00214EE3" w:rsidRPr="00214EE3" w:rsidRDefault="00214EE3" w:rsidP="00214EE3">
            <w:pPr>
              <w:spacing w:before="0"/>
              <w:jc w:val="center"/>
              <w:rPr>
                <w:rFonts w:ascii="Times New Roman" w:eastAsia="Times New Roman" w:hAnsi="Times New Roman" w:cs="Times New Roman"/>
                <w:szCs w:val="24"/>
                <w:lang w:eastAsia="es-CO"/>
              </w:rPr>
            </w:pPr>
            <w:r w:rsidRPr="00214EE3">
              <w:rPr>
                <w:rFonts w:ascii="Times New Roman" w:eastAsia="Times New Roman" w:hAnsi="Times New Roman" w:cs="Times New Roman"/>
                <w:szCs w:val="24"/>
                <w:lang w:eastAsia="es-CO"/>
              </w:rPr>
              <w:t>Concepto</w:t>
            </w:r>
          </w:p>
        </w:tc>
        <w:tc>
          <w:tcPr>
            <w:tcW w:w="0" w:type="auto"/>
            <w:hideMark/>
          </w:tcPr>
          <w:p w14:paraId="484F691B" w14:textId="77777777" w:rsidR="00214EE3" w:rsidRPr="00214EE3" w:rsidRDefault="00214EE3" w:rsidP="00214EE3">
            <w:pPr>
              <w:spacing w:before="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s-CO"/>
              </w:rPr>
            </w:pPr>
            <w:r w:rsidRPr="00214EE3">
              <w:rPr>
                <w:rFonts w:ascii="Times New Roman" w:eastAsia="Times New Roman" w:hAnsi="Times New Roman" w:cs="Times New Roman"/>
                <w:szCs w:val="24"/>
                <w:lang w:eastAsia="es-CO"/>
              </w:rPr>
              <w:t>Descripción</w:t>
            </w:r>
          </w:p>
        </w:tc>
      </w:tr>
      <w:tr w:rsidR="00214EE3" w:rsidRPr="00214EE3" w14:paraId="0F44F5EA" w14:textId="77777777" w:rsidTr="0084278E">
        <w:trPr>
          <w:cnfStyle w:val="000000100000" w:firstRow="0" w:lastRow="0" w:firstColumn="0" w:lastColumn="0" w:oddVBand="0" w:evenVBand="0" w:oddHBand="1" w:evenHBand="0" w:firstRowFirstColumn="0" w:firstRowLastColumn="0" w:lastRowFirstColumn="0" w:lastRowLastColumn="0"/>
          <w:trHeight w:val="634"/>
        </w:trPr>
        <w:tc>
          <w:tcPr>
            <w:cnfStyle w:val="001000000000" w:firstRow="0" w:lastRow="0" w:firstColumn="1" w:lastColumn="0" w:oddVBand="0" w:evenVBand="0" w:oddHBand="0" w:evenHBand="0" w:firstRowFirstColumn="0" w:firstRowLastColumn="0" w:lastRowFirstColumn="0" w:lastRowLastColumn="0"/>
            <w:tcW w:w="2970" w:type="dxa"/>
            <w:hideMark/>
          </w:tcPr>
          <w:p w14:paraId="306D30BF" w14:textId="77777777" w:rsidR="00214EE3" w:rsidRPr="00214EE3" w:rsidRDefault="00214EE3" w:rsidP="00214EE3">
            <w:pPr>
              <w:spacing w:before="0"/>
              <w:jc w:val="center"/>
              <w:rPr>
                <w:rFonts w:ascii="Times New Roman" w:eastAsia="Times New Roman" w:hAnsi="Times New Roman" w:cs="Times New Roman"/>
                <w:szCs w:val="24"/>
                <w:lang w:eastAsia="es-CO"/>
              </w:rPr>
            </w:pPr>
            <w:r w:rsidRPr="00214EE3">
              <w:rPr>
                <w:rFonts w:ascii="Times New Roman" w:eastAsia="Times New Roman" w:hAnsi="Times New Roman" w:cs="Times New Roman"/>
                <w:szCs w:val="24"/>
                <w:lang w:eastAsia="es-CO"/>
              </w:rPr>
              <w:t>Razón social</w:t>
            </w:r>
          </w:p>
        </w:tc>
        <w:tc>
          <w:tcPr>
            <w:tcW w:w="0" w:type="auto"/>
            <w:hideMark/>
          </w:tcPr>
          <w:p w14:paraId="67F3CE79" w14:textId="77777777" w:rsidR="00214EE3" w:rsidRPr="00214EE3" w:rsidRDefault="00214EE3" w:rsidP="00214EE3">
            <w:pPr>
              <w:spacing w:befor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lang w:eastAsia="es-CO"/>
              </w:rPr>
            </w:pPr>
            <w:r w:rsidRPr="00214EE3">
              <w:rPr>
                <w:rFonts w:ascii="Times New Roman" w:eastAsia="Times New Roman" w:hAnsi="Times New Roman" w:cs="Times New Roman"/>
                <w:szCs w:val="24"/>
                <w:lang w:eastAsia="es-CO"/>
              </w:rPr>
              <w:t>Alcaldía Municipal de Aguachica</w:t>
            </w:r>
          </w:p>
        </w:tc>
      </w:tr>
      <w:tr w:rsidR="00214EE3" w:rsidRPr="00214EE3" w14:paraId="173FB652" w14:textId="77777777" w:rsidTr="0084278E">
        <w:trPr>
          <w:trHeight w:val="587"/>
        </w:trPr>
        <w:tc>
          <w:tcPr>
            <w:cnfStyle w:val="001000000000" w:firstRow="0" w:lastRow="0" w:firstColumn="1" w:lastColumn="0" w:oddVBand="0" w:evenVBand="0" w:oddHBand="0" w:evenHBand="0" w:firstRowFirstColumn="0" w:firstRowLastColumn="0" w:lastRowFirstColumn="0" w:lastRowLastColumn="0"/>
            <w:tcW w:w="2970" w:type="dxa"/>
            <w:hideMark/>
          </w:tcPr>
          <w:p w14:paraId="639AD272" w14:textId="77777777" w:rsidR="00214EE3" w:rsidRPr="00214EE3" w:rsidRDefault="00214EE3" w:rsidP="00214EE3">
            <w:pPr>
              <w:spacing w:before="0"/>
              <w:jc w:val="center"/>
              <w:rPr>
                <w:rFonts w:ascii="Times New Roman" w:eastAsia="Times New Roman" w:hAnsi="Times New Roman" w:cs="Times New Roman"/>
                <w:szCs w:val="24"/>
                <w:lang w:eastAsia="es-CO"/>
              </w:rPr>
            </w:pPr>
            <w:r w:rsidRPr="00214EE3">
              <w:rPr>
                <w:rFonts w:ascii="Times New Roman" w:eastAsia="Times New Roman" w:hAnsi="Times New Roman" w:cs="Times New Roman"/>
                <w:szCs w:val="24"/>
                <w:lang w:eastAsia="es-CO"/>
              </w:rPr>
              <w:t>Representante legal</w:t>
            </w:r>
          </w:p>
        </w:tc>
        <w:tc>
          <w:tcPr>
            <w:tcW w:w="0" w:type="auto"/>
            <w:hideMark/>
          </w:tcPr>
          <w:p w14:paraId="45884158" w14:textId="7546E72C" w:rsidR="00214EE3" w:rsidRPr="00214EE3" w:rsidRDefault="00214EE3" w:rsidP="00214EE3">
            <w:pPr>
              <w:spacing w:before="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s-CO"/>
              </w:rPr>
            </w:pPr>
            <w:r w:rsidRPr="00214EE3">
              <w:rPr>
                <w:rFonts w:ascii="Times New Roman" w:eastAsia="Times New Roman" w:hAnsi="Times New Roman" w:cs="Times New Roman"/>
                <w:szCs w:val="24"/>
                <w:lang w:eastAsia="es-CO"/>
              </w:rPr>
              <w:t>Greicy Tatiana Roqueme Ropero</w:t>
            </w:r>
          </w:p>
        </w:tc>
      </w:tr>
      <w:tr w:rsidR="00214EE3" w:rsidRPr="00214EE3" w14:paraId="600F0F9E" w14:textId="77777777" w:rsidTr="0084278E">
        <w:trPr>
          <w:cnfStyle w:val="000000100000" w:firstRow="0" w:lastRow="0" w:firstColumn="0" w:lastColumn="0" w:oddVBand="0" w:evenVBand="0" w:oddHBand="1" w:evenHBand="0" w:firstRowFirstColumn="0" w:firstRowLastColumn="0" w:lastRowFirstColumn="0" w:lastRowLastColumn="0"/>
          <w:trHeight w:val="587"/>
        </w:trPr>
        <w:tc>
          <w:tcPr>
            <w:cnfStyle w:val="001000000000" w:firstRow="0" w:lastRow="0" w:firstColumn="1" w:lastColumn="0" w:oddVBand="0" w:evenVBand="0" w:oddHBand="0" w:evenHBand="0" w:firstRowFirstColumn="0" w:firstRowLastColumn="0" w:lastRowFirstColumn="0" w:lastRowLastColumn="0"/>
            <w:tcW w:w="2970" w:type="dxa"/>
            <w:hideMark/>
          </w:tcPr>
          <w:p w14:paraId="02422A1B" w14:textId="77777777" w:rsidR="00214EE3" w:rsidRPr="00214EE3" w:rsidRDefault="00214EE3" w:rsidP="00214EE3">
            <w:pPr>
              <w:spacing w:before="0"/>
              <w:jc w:val="center"/>
              <w:rPr>
                <w:rFonts w:ascii="Times New Roman" w:eastAsia="Times New Roman" w:hAnsi="Times New Roman" w:cs="Times New Roman"/>
                <w:szCs w:val="24"/>
                <w:lang w:eastAsia="es-CO"/>
              </w:rPr>
            </w:pPr>
            <w:r w:rsidRPr="00214EE3">
              <w:rPr>
                <w:rFonts w:ascii="Times New Roman" w:eastAsia="Times New Roman" w:hAnsi="Times New Roman" w:cs="Times New Roman"/>
                <w:szCs w:val="24"/>
                <w:lang w:eastAsia="es-CO"/>
              </w:rPr>
              <w:t>Forma jurídica</w:t>
            </w:r>
          </w:p>
        </w:tc>
        <w:tc>
          <w:tcPr>
            <w:tcW w:w="0" w:type="auto"/>
            <w:hideMark/>
          </w:tcPr>
          <w:p w14:paraId="3F55F7C5" w14:textId="0DED5CCD" w:rsidR="00214EE3" w:rsidRPr="00214EE3" w:rsidRDefault="00214EE3" w:rsidP="00214EE3">
            <w:pPr>
              <w:spacing w:befor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lang w:eastAsia="es-CO"/>
              </w:rPr>
            </w:pPr>
            <w:r w:rsidRPr="00214EE3">
              <w:rPr>
                <w:rFonts w:ascii="Times New Roman" w:eastAsia="Times New Roman" w:hAnsi="Times New Roman" w:cs="Times New Roman"/>
                <w:szCs w:val="24"/>
                <w:lang w:eastAsia="es-CO"/>
              </w:rPr>
              <w:t>Entidad territorial de carácter público</w:t>
            </w:r>
            <w:r w:rsidR="00786C74">
              <w:rPr>
                <w:rFonts w:ascii="Times New Roman" w:eastAsia="Times New Roman" w:hAnsi="Times New Roman" w:cs="Times New Roman"/>
                <w:szCs w:val="24"/>
                <w:lang w:eastAsia="es-CO"/>
              </w:rPr>
              <w:t xml:space="preserve"> de cuarta categoría</w:t>
            </w:r>
          </w:p>
        </w:tc>
      </w:tr>
      <w:tr w:rsidR="00786C74" w:rsidRPr="00214EE3" w14:paraId="0A55DEDF" w14:textId="77777777" w:rsidTr="0084278E">
        <w:trPr>
          <w:trHeight w:val="634"/>
        </w:trPr>
        <w:tc>
          <w:tcPr>
            <w:cnfStyle w:val="001000000000" w:firstRow="0" w:lastRow="0" w:firstColumn="1" w:lastColumn="0" w:oddVBand="0" w:evenVBand="0" w:oddHBand="0" w:evenHBand="0" w:firstRowFirstColumn="0" w:firstRowLastColumn="0" w:lastRowFirstColumn="0" w:lastRowLastColumn="0"/>
            <w:tcW w:w="2970" w:type="dxa"/>
            <w:hideMark/>
          </w:tcPr>
          <w:p w14:paraId="3CD70314" w14:textId="3085ED6A" w:rsidR="00786C74" w:rsidRPr="00214EE3" w:rsidRDefault="00786C74" w:rsidP="00786C74">
            <w:pPr>
              <w:spacing w:before="0"/>
              <w:jc w:val="center"/>
              <w:rPr>
                <w:rFonts w:ascii="Times New Roman" w:eastAsia="Times New Roman" w:hAnsi="Times New Roman" w:cs="Times New Roman"/>
                <w:szCs w:val="24"/>
                <w:lang w:eastAsia="es-CO"/>
              </w:rPr>
            </w:pPr>
            <w:r>
              <w:rPr>
                <w:rFonts w:ascii="Times New Roman" w:eastAsia="Times New Roman" w:hAnsi="Times New Roman" w:cs="Times New Roman"/>
                <w:szCs w:val="24"/>
                <w:lang w:eastAsia="es-CO"/>
              </w:rPr>
              <w:t>NIT</w:t>
            </w:r>
          </w:p>
        </w:tc>
        <w:tc>
          <w:tcPr>
            <w:tcW w:w="0" w:type="auto"/>
            <w:hideMark/>
          </w:tcPr>
          <w:p w14:paraId="1F9DF893" w14:textId="0FAA5A61" w:rsidR="00786C74" w:rsidRPr="00214EE3" w:rsidRDefault="00786C74" w:rsidP="00786C74">
            <w:pPr>
              <w:spacing w:before="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s-CO"/>
              </w:rPr>
            </w:pPr>
            <w:r w:rsidRPr="00214EE3">
              <w:rPr>
                <w:rFonts w:ascii="Times New Roman" w:eastAsia="Times New Roman" w:hAnsi="Times New Roman" w:cs="Times New Roman"/>
                <w:szCs w:val="24"/>
                <w:lang w:eastAsia="es-CO"/>
              </w:rPr>
              <w:t>800096561-4</w:t>
            </w:r>
          </w:p>
        </w:tc>
      </w:tr>
      <w:tr w:rsidR="00214EE3" w:rsidRPr="00214EE3" w14:paraId="01BF4271" w14:textId="77777777" w:rsidTr="0084278E">
        <w:trPr>
          <w:cnfStyle w:val="000000100000" w:firstRow="0" w:lastRow="0" w:firstColumn="0" w:lastColumn="0" w:oddVBand="0" w:evenVBand="0" w:oddHBand="1" w:evenHBand="0" w:firstRowFirstColumn="0" w:firstRowLastColumn="0" w:lastRowFirstColumn="0" w:lastRowLastColumn="0"/>
          <w:trHeight w:val="1179"/>
        </w:trPr>
        <w:tc>
          <w:tcPr>
            <w:cnfStyle w:val="001000000000" w:firstRow="0" w:lastRow="0" w:firstColumn="1" w:lastColumn="0" w:oddVBand="0" w:evenVBand="0" w:oddHBand="0" w:evenHBand="0" w:firstRowFirstColumn="0" w:firstRowLastColumn="0" w:lastRowFirstColumn="0" w:lastRowLastColumn="0"/>
            <w:tcW w:w="2970" w:type="dxa"/>
            <w:hideMark/>
          </w:tcPr>
          <w:p w14:paraId="1B53BEB8" w14:textId="56B1E16E" w:rsidR="00214EE3" w:rsidRPr="00214EE3" w:rsidRDefault="00786C74" w:rsidP="00214EE3">
            <w:pPr>
              <w:spacing w:before="0"/>
              <w:jc w:val="center"/>
              <w:rPr>
                <w:rFonts w:ascii="Times New Roman" w:eastAsia="Times New Roman" w:hAnsi="Times New Roman" w:cs="Times New Roman"/>
                <w:szCs w:val="24"/>
                <w:lang w:eastAsia="es-CO"/>
              </w:rPr>
            </w:pPr>
            <w:r w:rsidRPr="00786C74">
              <w:rPr>
                <w:rFonts w:ascii="Times New Roman" w:eastAsia="Times New Roman" w:hAnsi="Times New Roman" w:cs="Times New Roman"/>
                <w:szCs w:val="24"/>
                <w:lang w:eastAsia="es-CO"/>
              </w:rPr>
              <w:t>Códigos CIIU</w:t>
            </w:r>
          </w:p>
        </w:tc>
        <w:tc>
          <w:tcPr>
            <w:tcW w:w="0" w:type="auto"/>
            <w:hideMark/>
          </w:tcPr>
          <w:p w14:paraId="2A22DEF3" w14:textId="77777777" w:rsidR="00786C74" w:rsidRDefault="00786C74" w:rsidP="00214EE3">
            <w:pPr>
              <w:spacing w:befor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lang w:eastAsia="es-CO"/>
              </w:rPr>
            </w:pPr>
            <w:r w:rsidRPr="00786C74">
              <w:rPr>
                <w:rFonts w:ascii="Times New Roman" w:eastAsia="Times New Roman" w:hAnsi="Times New Roman" w:cs="Times New Roman"/>
                <w:szCs w:val="24"/>
                <w:lang w:eastAsia="es-CO"/>
              </w:rPr>
              <w:t xml:space="preserve">8412 – Actividades ejecutivas de la administración pública; </w:t>
            </w:r>
          </w:p>
          <w:p w14:paraId="76C86B09" w14:textId="3CA9885F" w:rsidR="00214EE3" w:rsidRPr="00214EE3" w:rsidRDefault="00786C74" w:rsidP="00214EE3">
            <w:pPr>
              <w:spacing w:befor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lang w:eastAsia="es-CO"/>
              </w:rPr>
            </w:pPr>
            <w:r w:rsidRPr="00786C74">
              <w:rPr>
                <w:rFonts w:ascii="Times New Roman" w:eastAsia="Times New Roman" w:hAnsi="Times New Roman" w:cs="Times New Roman"/>
                <w:szCs w:val="24"/>
                <w:lang w:eastAsia="es-CO"/>
              </w:rPr>
              <w:t>8411 – Actividades legislativas de la administración pública</w:t>
            </w:r>
          </w:p>
        </w:tc>
      </w:tr>
      <w:tr w:rsidR="00214EE3" w:rsidRPr="00214EE3" w14:paraId="31689FF0" w14:textId="77777777" w:rsidTr="0084278E">
        <w:trPr>
          <w:trHeight w:val="587"/>
        </w:trPr>
        <w:tc>
          <w:tcPr>
            <w:cnfStyle w:val="001000000000" w:firstRow="0" w:lastRow="0" w:firstColumn="1" w:lastColumn="0" w:oddVBand="0" w:evenVBand="0" w:oddHBand="0" w:evenHBand="0" w:firstRowFirstColumn="0" w:firstRowLastColumn="0" w:lastRowFirstColumn="0" w:lastRowLastColumn="0"/>
            <w:tcW w:w="2970" w:type="dxa"/>
            <w:hideMark/>
          </w:tcPr>
          <w:p w14:paraId="21649A6E" w14:textId="3913D74C" w:rsidR="00214EE3" w:rsidRPr="00214EE3" w:rsidRDefault="00786C74" w:rsidP="00214EE3">
            <w:pPr>
              <w:spacing w:before="0"/>
              <w:jc w:val="center"/>
              <w:rPr>
                <w:rFonts w:ascii="Times New Roman" w:eastAsia="Times New Roman" w:hAnsi="Times New Roman" w:cs="Times New Roman"/>
                <w:szCs w:val="24"/>
                <w:lang w:eastAsia="es-CO"/>
              </w:rPr>
            </w:pPr>
            <w:r>
              <w:rPr>
                <w:rFonts w:ascii="Times New Roman" w:eastAsia="Times New Roman" w:hAnsi="Times New Roman" w:cs="Times New Roman"/>
                <w:szCs w:val="24"/>
                <w:lang w:eastAsia="es-CO"/>
              </w:rPr>
              <w:t>Correo</w:t>
            </w:r>
            <w:r w:rsidR="002657C8">
              <w:rPr>
                <w:rFonts w:ascii="Times New Roman" w:eastAsia="Times New Roman" w:hAnsi="Times New Roman" w:cs="Times New Roman"/>
                <w:szCs w:val="24"/>
                <w:lang w:eastAsia="es-CO"/>
              </w:rPr>
              <w:t xml:space="preserve"> institucional</w:t>
            </w:r>
          </w:p>
        </w:tc>
        <w:tc>
          <w:tcPr>
            <w:tcW w:w="0" w:type="auto"/>
            <w:hideMark/>
          </w:tcPr>
          <w:p w14:paraId="2B853C57" w14:textId="003121E9" w:rsidR="00214EE3" w:rsidRPr="00214EE3" w:rsidRDefault="002657C8" w:rsidP="00214EE3">
            <w:pPr>
              <w:spacing w:before="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s-CO"/>
              </w:rPr>
            </w:pPr>
            <w:r w:rsidRPr="002657C8">
              <w:rPr>
                <w:rFonts w:ascii="Times New Roman" w:eastAsia="Times New Roman" w:hAnsi="Times New Roman" w:cs="Times New Roman"/>
                <w:szCs w:val="24"/>
                <w:lang w:eastAsia="es-CO"/>
              </w:rPr>
              <w:t>contactenos@aguachica-cesar.gov.co</w:t>
            </w:r>
          </w:p>
        </w:tc>
      </w:tr>
      <w:tr w:rsidR="00214EE3" w:rsidRPr="00214EE3" w14:paraId="5E8ADEDA" w14:textId="77777777" w:rsidTr="0084278E">
        <w:trPr>
          <w:cnfStyle w:val="000000100000" w:firstRow="0" w:lastRow="0" w:firstColumn="0" w:lastColumn="0" w:oddVBand="0" w:evenVBand="0" w:oddHBand="1" w:evenHBand="0" w:firstRowFirstColumn="0" w:firstRowLastColumn="0" w:lastRowFirstColumn="0" w:lastRowLastColumn="0"/>
          <w:trHeight w:val="634"/>
        </w:trPr>
        <w:tc>
          <w:tcPr>
            <w:cnfStyle w:val="001000000000" w:firstRow="0" w:lastRow="0" w:firstColumn="1" w:lastColumn="0" w:oddVBand="0" w:evenVBand="0" w:oddHBand="0" w:evenHBand="0" w:firstRowFirstColumn="0" w:firstRowLastColumn="0" w:lastRowFirstColumn="0" w:lastRowLastColumn="0"/>
            <w:tcW w:w="2970" w:type="dxa"/>
            <w:hideMark/>
          </w:tcPr>
          <w:p w14:paraId="15CC74DC" w14:textId="2F15A6C9" w:rsidR="00214EE3" w:rsidRPr="00214EE3" w:rsidRDefault="002657C8" w:rsidP="00214EE3">
            <w:pPr>
              <w:spacing w:before="0"/>
              <w:jc w:val="center"/>
              <w:rPr>
                <w:rFonts w:ascii="Times New Roman" w:eastAsia="Times New Roman" w:hAnsi="Times New Roman" w:cs="Times New Roman"/>
                <w:szCs w:val="24"/>
                <w:lang w:eastAsia="es-CO"/>
              </w:rPr>
            </w:pPr>
            <w:r w:rsidRPr="002657C8">
              <w:rPr>
                <w:rFonts w:ascii="Times New Roman" w:eastAsia="Times New Roman" w:hAnsi="Times New Roman" w:cs="Times New Roman"/>
                <w:szCs w:val="24"/>
                <w:lang w:eastAsia="es-CO"/>
              </w:rPr>
              <w:t>Teléfono Conmutador</w:t>
            </w:r>
          </w:p>
        </w:tc>
        <w:tc>
          <w:tcPr>
            <w:tcW w:w="0" w:type="auto"/>
            <w:hideMark/>
          </w:tcPr>
          <w:p w14:paraId="5FABD803" w14:textId="707FA5E0" w:rsidR="00214EE3" w:rsidRPr="00214EE3" w:rsidRDefault="002657C8" w:rsidP="00214EE3">
            <w:pPr>
              <w:spacing w:befor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lang w:eastAsia="es-CO"/>
              </w:rPr>
            </w:pPr>
            <w:r w:rsidRPr="002657C8">
              <w:rPr>
                <w:rFonts w:ascii="Times New Roman" w:eastAsia="Times New Roman" w:hAnsi="Times New Roman" w:cs="Times New Roman"/>
                <w:szCs w:val="24"/>
                <w:lang w:eastAsia="es-CO"/>
              </w:rPr>
              <w:t>(+57) 6056478403</w:t>
            </w:r>
          </w:p>
        </w:tc>
      </w:tr>
    </w:tbl>
    <w:p w14:paraId="57F5EC03" w14:textId="403D6681" w:rsidR="00214EE3" w:rsidRDefault="00E01033" w:rsidP="00F27C36">
      <w:pPr>
        <w:spacing w:before="0" w:after="480"/>
        <w:rPr>
          <w:rFonts w:cs="Arial"/>
          <w:szCs w:val="24"/>
        </w:rPr>
      </w:pPr>
      <w:r w:rsidRPr="005267FC">
        <w:rPr>
          <w:rFonts w:cs="Arial"/>
          <w:b/>
          <w:bCs/>
          <w:szCs w:val="24"/>
        </w:rPr>
        <w:t>Fuente</w:t>
      </w:r>
      <w:r>
        <w:rPr>
          <w:rFonts w:cs="Arial"/>
          <w:szCs w:val="24"/>
        </w:rPr>
        <w:t>: elaboración propia.</w:t>
      </w:r>
    </w:p>
    <w:p w14:paraId="01410CBC" w14:textId="1A50C9C5" w:rsidR="009023BB" w:rsidRPr="005267FC" w:rsidRDefault="009023BB" w:rsidP="009023BB">
      <w:pPr>
        <w:pStyle w:val="Descripcin"/>
        <w:keepNext/>
        <w:rPr>
          <w:rFonts w:ascii="Arial" w:hAnsi="Arial" w:cs="Arial"/>
          <w:i w:val="0"/>
          <w:iCs w:val="0"/>
          <w:color w:val="auto"/>
          <w:sz w:val="24"/>
          <w:szCs w:val="24"/>
        </w:rPr>
      </w:pPr>
      <w:bookmarkStart w:id="6" w:name="_Toc231741486"/>
      <w:r w:rsidRPr="005267FC">
        <w:rPr>
          <w:rFonts w:ascii="Arial" w:hAnsi="Arial" w:cs="Arial"/>
          <w:b/>
          <w:bCs/>
          <w:i w:val="0"/>
          <w:iCs w:val="0"/>
          <w:color w:val="auto"/>
          <w:sz w:val="24"/>
          <w:szCs w:val="24"/>
        </w:rPr>
        <w:lastRenderedPageBreak/>
        <w:t xml:space="preserve">Figura  </w:t>
      </w:r>
      <w:r w:rsidR="00BF5CE2" w:rsidRPr="005267FC">
        <w:rPr>
          <w:rFonts w:ascii="Arial" w:hAnsi="Arial" w:cs="Arial"/>
          <w:b/>
          <w:bCs/>
          <w:i w:val="0"/>
          <w:iCs w:val="0"/>
          <w:color w:val="auto"/>
          <w:sz w:val="24"/>
          <w:szCs w:val="24"/>
        </w:rPr>
        <w:fldChar w:fldCharType="begin"/>
      </w:r>
      <w:r w:rsidR="00BF5CE2" w:rsidRPr="005267FC">
        <w:rPr>
          <w:rFonts w:ascii="Arial" w:hAnsi="Arial" w:cs="Arial"/>
          <w:b/>
          <w:bCs/>
          <w:i w:val="0"/>
          <w:iCs w:val="0"/>
          <w:color w:val="auto"/>
          <w:sz w:val="24"/>
          <w:szCs w:val="24"/>
        </w:rPr>
        <w:instrText xml:space="preserve"> SEQ Figura_ \* ARABIC </w:instrText>
      </w:r>
      <w:r w:rsidR="00BF5CE2" w:rsidRPr="005267FC">
        <w:rPr>
          <w:rFonts w:ascii="Arial" w:hAnsi="Arial" w:cs="Arial"/>
          <w:b/>
          <w:bCs/>
          <w:i w:val="0"/>
          <w:iCs w:val="0"/>
          <w:color w:val="auto"/>
          <w:sz w:val="24"/>
          <w:szCs w:val="24"/>
        </w:rPr>
        <w:fldChar w:fldCharType="separate"/>
      </w:r>
      <w:r w:rsidR="008D76B2">
        <w:rPr>
          <w:rFonts w:ascii="Arial" w:hAnsi="Arial" w:cs="Arial"/>
          <w:b/>
          <w:bCs/>
          <w:i w:val="0"/>
          <w:iCs w:val="0"/>
          <w:noProof/>
          <w:color w:val="auto"/>
          <w:sz w:val="24"/>
          <w:szCs w:val="24"/>
        </w:rPr>
        <w:t>1</w:t>
      </w:r>
      <w:r w:rsidR="00BF5CE2" w:rsidRPr="005267FC">
        <w:rPr>
          <w:rFonts w:ascii="Arial" w:hAnsi="Arial" w:cs="Arial"/>
          <w:b/>
          <w:bCs/>
          <w:i w:val="0"/>
          <w:iCs w:val="0"/>
          <w:noProof/>
          <w:color w:val="auto"/>
          <w:sz w:val="24"/>
          <w:szCs w:val="24"/>
        </w:rPr>
        <w:fldChar w:fldCharType="end"/>
      </w:r>
      <w:r w:rsidRPr="005267FC">
        <w:rPr>
          <w:rFonts w:ascii="Arial" w:hAnsi="Arial" w:cs="Arial"/>
          <w:i w:val="0"/>
          <w:iCs w:val="0"/>
          <w:color w:val="auto"/>
          <w:sz w:val="24"/>
          <w:szCs w:val="24"/>
        </w:rPr>
        <w:t>. Ubicación de la Alcaldía de Aguachica</w:t>
      </w:r>
      <w:bookmarkEnd w:id="6"/>
    </w:p>
    <w:p w14:paraId="34B06A4D" w14:textId="11C99B02" w:rsidR="0084278E" w:rsidRDefault="009A0017" w:rsidP="005267FC">
      <w:pPr>
        <w:spacing w:after="480"/>
        <w:rPr>
          <w:rFonts w:cs="Arial"/>
          <w:szCs w:val="24"/>
        </w:rPr>
      </w:pPr>
      <w:r w:rsidRPr="00BA6B85">
        <w:rPr>
          <w:rFonts w:ascii="Times New Roman" w:hAnsi="Times New Roman" w:cs="Times New Roman"/>
          <w:noProof/>
          <w:szCs w:val="24"/>
          <w:lang w:eastAsia="es-CO"/>
        </w:rPr>
        <w:drawing>
          <wp:inline distT="0" distB="0" distL="0" distR="0" wp14:anchorId="0443BADC" wp14:editId="35644BB6">
            <wp:extent cx="5527589" cy="3245485"/>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1914" t="8699" r="1541" b="4312"/>
                    <a:stretch/>
                  </pic:blipFill>
                  <pic:spPr bwMode="auto">
                    <a:xfrm>
                      <a:off x="0" y="0"/>
                      <a:ext cx="5552535" cy="3260132"/>
                    </a:xfrm>
                    <a:prstGeom prst="rect">
                      <a:avLst/>
                    </a:prstGeom>
                    <a:ln>
                      <a:noFill/>
                    </a:ln>
                    <a:extLst>
                      <a:ext uri="{53640926-AAD7-44D8-BBD7-CCE9431645EC}">
                        <a14:shadowObscured xmlns:a14="http://schemas.microsoft.com/office/drawing/2010/main"/>
                      </a:ext>
                    </a:extLst>
                  </pic:spPr>
                </pic:pic>
              </a:graphicData>
            </a:graphic>
          </wp:inline>
        </w:drawing>
      </w:r>
    </w:p>
    <w:p w14:paraId="719EE80C" w14:textId="76F24E4A" w:rsidR="00E01033" w:rsidRPr="00214EE3" w:rsidRDefault="00E01033" w:rsidP="005267FC">
      <w:pPr>
        <w:spacing w:before="0" w:after="480"/>
        <w:rPr>
          <w:rFonts w:cs="Arial"/>
          <w:szCs w:val="24"/>
        </w:rPr>
      </w:pPr>
      <w:r w:rsidRPr="005267FC">
        <w:rPr>
          <w:rFonts w:cs="Arial"/>
          <w:b/>
          <w:bCs/>
          <w:szCs w:val="24"/>
        </w:rPr>
        <w:t>Fuente</w:t>
      </w:r>
      <w:r>
        <w:rPr>
          <w:rFonts w:cs="Arial"/>
          <w:szCs w:val="24"/>
        </w:rPr>
        <w:t xml:space="preserve">: </w:t>
      </w:r>
      <w:r w:rsidRPr="00E01033">
        <w:rPr>
          <w:rFonts w:cs="Arial"/>
          <w:szCs w:val="24"/>
        </w:rPr>
        <w:t>obtenida de Google Maps</w:t>
      </w:r>
      <w:r>
        <w:rPr>
          <w:rFonts w:cs="Arial"/>
          <w:szCs w:val="24"/>
        </w:rPr>
        <w:t>.</w:t>
      </w:r>
    </w:p>
    <w:p w14:paraId="77BA33B8" w14:textId="1E106B77" w:rsidR="00106035" w:rsidRPr="00106035" w:rsidRDefault="009F2A8C" w:rsidP="0030735D">
      <w:pPr>
        <w:pStyle w:val="Ttulo2"/>
      </w:pPr>
      <w:bookmarkStart w:id="7" w:name="_Toc231741406"/>
      <w:r>
        <w:t>1.2</w:t>
      </w:r>
      <w:r w:rsidR="00AC11C8">
        <w:t>.</w:t>
      </w:r>
      <w:r>
        <w:t xml:space="preserve">  </w:t>
      </w:r>
      <w:r w:rsidR="00106035" w:rsidRPr="00106035">
        <w:t>MISIÓN</w:t>
      </w:r>
      <w:bookmarkEnd w:id="7"/>
    </w:p>
    <w:p w14:paraId="5773A02C" w14:textId="106C112D" w:rsidR="00214EE3" w:rsidRPr="00214EE3" w:rsidRDefault="00214EE3" w:rsidP="00214EE3">
      <w:pPr>
        <w:spacing w:line="480" w:lineRule="auto"/>
        <w:rPr>
          <w:rFonts w:cs="Arial"/>
          <w:szCs w:val="24"/>
          <w:lang w:val="es-MX"/>
        </w:rPr>
      </w:pPr>
      <w:r w:rsidRPr="00214EE3">
        <w:rPr>
          <w:rFonts w:cs="Arial"/>
          <w:szCs w:val="24"/>
          <w:lang w:val="es-MX"/>
        </w:rPr>
        <w:t>La misión de la Alcaldía Municipal de Aguachica es:</w:t>
      </w:r>
    </w:p>
    <w:p w14:paraId="3D5F0AD6" w14:textId="26B9A376" w:rsidR="00106035" w:rsidRPr="00106035" w:rsidRDefault="00FF6F10" w:rsidP="00214EE3">
      <w:pPr>
        <w:rPr>
          <w:rFonts w:cs="Arial"/>
          <w:szCs w:val="24"/>
          <w:lang w:val="es-MX"/>
        </w:rPr>
      </w:pPr>
      <w:r>
        <w:rPr>
          <w:rFonts w:cs="Arial"/>
          <w:szCs w:val="24"/>
          <w:lang w:val="es-MX"/>
        </w:rPr>
        <w:tab/>
      </w:r>
      <w:r w:rsidR="00214EE3" w:rsidRPr="00214EE3">
        <w:rPr>
          <w:rFonts w:cs="Arial"/>
          <w:szCs w:val="24"/>
          <w:lang w:val="es-MX"/>
        </w:rPr>
        <w:t xml:space="preserve">“Mejorar la prestación de servicios públicos como mecanismo de Desarrollo </w:t>
      </w:r>
      <w:r>
        <w:rPr>
          <w:rFonts w:cs="Arial"/>
          <w:szCs w:val="24"/>
          <w:lang w:val="es-MX"/>
        </w:rPr>
        <w:tab/>
      </w:r>
      <w:r w:rsidR="00214EE3" w:rsidRPr="00214EE3">
        <w:rPr>
          <w:rFonts w:cs="Arial"/>
          <w:szCs w:val="24"/>
          <w:lang w:val="es-MX"/>
        </w:rPr>
        <w:t xml:space="preserve">Humano Integral y Local, promoción y protección de Derechos Fundamentales </w:t>
      </w:r>
      <w:r w:rsidR="00F6770C">
        <w:rPr>
          <w:rFonts w:cs="Arial"/>
          <w:szCs w:val="24"/>
          <w:lang w:val="es-MX"/>
        </w:rPr>
        <w:tab/>
      </w:r>
      <w:r w:rsidR="00214EE3" w:rsidRPr="00214EE3">
        <w:rPr>
          <w:rFonts w:cs="Arial"/>
          <w:szCs w:val="24"/>
          <w:lang w:val="es-MX"/>
        </w:rPr>
        <w:t>individuales, colectivos, territoriales y ambientales, con miras a unificar</w:t>
      </w:r>
      <w:r w:rsidR="00F6770C">
        <w:rPr>
          <w:rFonts w:cs="Arial"/>
          <w:szCs w:val="24"/>
          <w:lang w:val="es-MX"/>
        </w:rPr>
        <w:t xml:space="preserve"> </w:t>
      </w:r>
      <w:r w:rsidR="00214EE3" w:rsidRPr="00214EE3">
        <w:rPr>
          <w:rFonts w:cs="Arial"/>
          <w:szCs w:val="24"/>
          <w:lang w:val="es-MX"/>
        </w:rPr>
        <w:t xml:space="preserve">el interés </w:t>
      </w:r>
      <w:r w:rsidR="00F6770C">
        <w:rPr>
          <w:rFonts w:cs="Arial"/>
          <w:szCs w:val="24"/>
          <w:lang w:val="es-MX"/>
        </w:rPr>
        <w:tab/>
      </w:r>
      <w:r w:rsidR="00214EE3" w:rsidRPr="00214EE3">
        <w:rPr>
          <w:rFonts w:cs="Arial"/>
          <w:szCs w:val="24"/>
          <w:lang w:val="es-MX"/>
        </w:rPr>
        <w:t xml:space="preserve">común que profesa el gobierno comunitario y la transformación del Municipio de </w:t>
      </w:r>
      <w:r w:rsidR="00F6770C">
        <w:rPr>
          <w:rFonts w:cs="Arial"/>
          <w:szCs w:val="24"/>
          <w:lang w:val="es-MX"/>
        </w:rPr>
        <w:tab/>
      </w:r>
      <w:r w:rsidR="00214EE3" w:rsidRPr="00214EE3">
        <w:rPr>
          <w:rFonts w:cs="Arial"/>
          <w:szCs w:val="24"/>
          <w:lang w:val="es-MX"/>
        </w:rPr>
        <w:t xml:space="preserve">Aguachica en Ciudad Región, desde la orientación de la inversión, la asignación </w:t>
      </w:r>
      <w:r w:rsidR="00F6770C">
        <w:rPr>
          <w:rFonts w:cs="Arial"/>
          <w:szCs w:val="24"/>
          <w:lang w:val="es-MX"/>
        </w:rPr>
        <w:tab/>
      </w:r>
      <w:r w:rsidR="00214EE3" w:rsidRPr="00214EE3">
        <w:rPr>
          <w:rFonts w:cs="Arial"/>
          <w:szCs w:val="24"/>
          <w:lang w:val="es-MX"/>
        </w:rPr>
        <w:t xml:space="preserve">de recursos de manera </w:t>
      </w:r>
      <w:r w:rsidR="00F6770C" w:rsidRPr="00214EE3">
        <w:rPr>
          <w:rFonts w:cs="Arial"/>
          <w:szCs w:val="24"/>
          <w:lang w:val="es-MX"/>
        </w:rPr>
        <w:t>transparente</w:t>
      </w:r>
      <w:r w:rsidR="00214EE3" w:rsidRPr="00214EE3">
        <w:rPr>
          <w:rFonts w:cs="Arial"/>
          <w:szCs w:val="24"/>
          <w:lang w:val="es-MX"/>
        </w:rPr>
        <w:t xml:space="preserve"> y la construcción de Paz”</w:t>
      </w:r>
      <w:r>
        <w:rPr>
          <w:rFonts w:cs="Arial"/>
          <w:szCs w:val="24"/>
          <w:lang w:val="es-MX"/>
        </w:rPr>
        <w:t xml:space="preserve"> </w:t>
      </w:r>
      <w:r w:rsidRPr="00FF6F10">
        <w:rPr>
          <w:rFonts w:cs="Arial"/>
          <w:szCs w:val="24"/>
          <w:lang w:val="es-MX"/>
        </w:rPr>
        <w:t>(</w:t>
      </w:r>
      <w:r w:rsidR="004C07C2" w:rsidRPr="004C07C2">
        <w:rPr>
          <w:rFonts w:cs="Arial"/>
          <w:szCs w:val="24"/>
          <w:lang w:val="es-MX"/>
        </w:rPr>
        <w:t xml:space="preserve">Alcaldía de </w:t>
      </w:r>
      <w:r w:rsidR="00F6770C">
        <w:rPr>
          <w:rFonts w:cs="Arial"/>
          <w:szCs w:val="24"/>
          <w:lang w:val="es-MX"/>
        </w:rPr>
        <w:tab/>
      </w:r>
      <w:r w:rsidR="004C07C2" w:rsidRPr="004C07C2">
        <w:rPr>
          <w:rFonts w:cs="Arial"/>
          <w:szCs w:val="24"/>
          <w:lang w:val="es-MX"/>
        </w:rPr>
        <w:t>Aguachica Cesar</w:t>
      </w:r>
      <w:r w:rsidRPr="00FF6F10">
        <w:rPr>
          <w:rFonts w:cs="Arial"/>
          <w:szCs w:val="24"/>
          <w:lang w:val="es-MX"/>
        </w:rPr>
        <w:t>, 2022).</w:t>
      </w:r>
    </w:p>
    <w:p w14:paraId="4A5C90F9" w14:textId="5C328310" w:rsidR="00345677" w:rsidRDefault="00627381" w:rsidP="00FF6F10">
      <w:pPr>
        <w:spacing w:before="480" w:after="480"/>
        <w:rPr>
          <w:rFonts w:cs="Arial"/>
          <w:szCs w:val="24"/>
          <w:lang w:val="es-MX"/>
        </w:rPr>
      </w:pPr>
      <w:r w:rsidRPr="00627381">
        <w:rPr>
          <w:rFonts w:cs="Arial"/>
          <w:szCs w:val="24"/>
          <w:lang w:val="es-MX"/>
        </w:rPr>
        <w:t xml:space="preserve">La misión presentada refleja adecuadamente el carácter público y social de la administración municipal, al resaltar aspectos fundamentales como la prestación de servicios públicos, la promoción del desarrollo humano integral, la protección de los derechos fundamentales y la construcción de paz. Además, e encuentran alineados con las funciones constitucionales y legales de las entidades territoriales en Colombia, </w:t>
      </w:r>
      <w:r w:rsidRPr="00627381">
        <w:rPr>
          <w:rFonts w:cs="Arial"/>
          <w:szCs w:val="24"/>
          <w:lang w:val="es-MX"/>
        </w:rPr>
        <w:lastRenderedPageBreak/>
        <w:t>especialmente en lo relacionado con la gestión del bienestar de la comunidad y la administración eficiente de los recursos públicos.</w:t>
      </w:r>
    </w:p>
    <w:p w14:paraId="3FC284AD" w14:textId="76F76528" w:rsidR="00106035" w:rsidRPr="00106035" w:rsidRDefault="009F2A8C" w:rsidP="0030735D">
      <w:pPr>
        <w:pStyle w:val="Ttulo2"/>
      </w:pPr>
      <w:bookmarkStart w:id="8" w:name="_Toc231741407"/>
      <w:r>
        <w:t>1.3</w:t>
      </w:r>
      <w:r w:rsidR="00AC11C8">
        <w:t>.</w:t>
      </w:r>
      <w:r>
        <w:t xml:space="preserve">  </w:t>
      </w:r>
      <w:r w:rsidR="00106035" w:rsidRPr="00106035">
        <w:t>VISIÓN</w:t>
      </w:r>
      <w:bookmarkEnd w:id="8"/>
    </w:p>
    <w:p w14:paraId="21071210" w14:textId="6C573B59" w:rsidR="00AB7F6C" w:rsidRPr="00AB7F6C" w:rsidRDefault="00AB7F6C" w:rsidP="00AB7F6C">
      <w:pPr>
        <w:rPr>
          <w:rFonts w:cs="Arial"/>
          <w:szCs w:val="24"/>
          <w:lang w:val="es-MX"/>
        </w:rPr>
      </w:pPr>
      <w:r w:rsidRPr="00AB7F6C">
        <w:rPr>
          <w:rFonts w:cs="Arial"/>
          <w:szCs w:val="24"/>
          <w:lang w:val="es-MX"/>
        </w:rPr>
        <w:t>La visión de la Alcaldía Municipal de Aguachica establece lo siguiente:</w:t>
      </w:r>
    </w:p>
    <w:p w14:paraId="2468B598" w14:textId="7970096C" w:rsidR="00106035" w:rsidRDefault="00FF6F10" w:rsidP="00AB7F6C">
      <w:pPr>
        <w:spacing w:before="480"/>
        <w:rPr>
          <w:rFonts w:cs="Arial"/>
          <w:szCs w:val="24"/>
          <w:lang w:val="es-MX"/>
        </w:rPr>
      </w:pPr>
      <w:r>
        <w:rPr>
          <w:rFonts w:cs="Arial"/>
          <w:szCs w:val="24"/>
          <w:lang w:val="es-MX"/>
        </w:rPr>
        <w:tab/>
      </w:r>
      <w:r w:rsidR="00AB7F6C" w:rsidRPr="00AB7F6C">
        <w:rPr>
          <w:rFonts w:cs="Arial"/>
          <w:szCs w:val="24"/>
          <w:lang w:val="es-MX"/>
        </w:rPr>
        <w:t xml:space="preserve">“Aguachica en el año 2032, será reconocida a nivel Departamental, Nacional e </w:t>
      </w:r>
      <w:r w:rsidR="009A3D52">
        <w:rPr>
          <w:rFonts w:cs="Arial"/>
          <w:szCs w:val="24"/>
          <w:lang w:val="es-MX"/>
        </w:rPr>
        <w:tab/>
      </w:r>
      <w:r w:rsidR="00AB7F6C" w:rsidRPr="00AB7F6C">
        <w:rPr>
          <w:rFonts w:cs="Arial"/>
          <w:szCs w:val="24"/>
          <w:lang w:val="es-MX"/>
        </w:rPr>
        <w:t xml:space="preserve">internacional, como Ciudad Región constructora de Paz territorial y poblacional, </w:t>
      </w:r>
      <w:r w:rsidR="009A3D52">
        <w:rPr>
          <w:rFonts w:cs="Arial"/>
          <w:szCs w:val="24"/>
          <w:lang w:val="es-MX"/>
        </w:rPr>
        <w:tab/>
      </w:r>
      <w:r w:rsidR="00AB7F6C" w:rsidRPr="00AB7F6C">
        <w:rPr>
          <w:rFonts w:cs="Arial"/>
          <w:szCs w:val="24"/>
          <w:lang w:val="es-MX"/>
        </w:rPr>
        <w:t xml:space="preserve">en el marco del respeto por los lineamientos exigidos por el Estado en cuanto a </w:t>
      </w:r>
      <w:r w:rsidR="009A3D52">
        <w:rPr>
          <w:rFonts w:cs="Arial"/>
          <w:szCs w:val="24"/>
          <w:lang w:val="es-MX"/>
        </w:rPr>
        <w:tab/>
      </w:r>
      <w:r w:rsidR="00AB7F6C" w:rsidRPr="00AB7F6C">
        <w:rPr>
          <w:rFonts w:cs="Arial"/>
          <w:szCs w:val="24"/>
          <w:lang w:val="es-MX"/>
        </w:rPr>
        <w:t>desarrollo humano integral, derechos fundamentales, Ordenamiento Territorial</w:t>
      </w:r>
      <w:r w:rsidR="009A3D52">
        <w:rPr>
          <w:rFonts w:cs="Arial"/>
          <w:szCs w:val="24"/>
          <w:lang w:val="es-MX"/>
        </w:rPr>
        <w:t xml:space="preserve"> </w:t>
      </w:r>
      <w:r w:rsidR="009A3D52">
        <w:rPr>
          <w:rFonts w:cs="Arial"/>
          <w:szCs w:val="24"/>
          <w:lang w:val="es-MX"/>
        </w:rPr>
        <w:tab/>
      </w:r>
      <w:r w:rsidR="00AB7F6C" w:rsidRPr="00AB7F6C">
        <w:rPr>
          <w:rFonts w:cs="Arial"/>
          <w:szCs w:val="24"/>
          <w:lang w:val="es-MX"/>
        </w:rPr>
        <w:t>para el desarrollo local, prestación de servicios públicos, proyección con</w:t>
      </w:r>
      <w:r w:rsidR="009A3D52">
        <w:rPr>
          <w:rFonts w:cs="Arial"/>
          <w:szCs w:val="24"/>
          <w:lang w:val="es-MX"/>
        </w:rPr>
        <w:t xml:space="preserve"> </w:t>
      </w:r>
      <w:r w:rsidR="009A3D52">
        <w:rPr>
          <w:rFonts w:cs="Arial"/>
          <w:szCs w:val="24"/>
          <w:lang w:val="es-MX"/>
        </w:rPr>
        <w:tab/>
      </w:r>
      <w:r w:rsidR="00AB7F6C" w:rsidRPr="00AB7F6C">
        <w:rPr>
          <w:rFonts w:cs="Arial"/>
          <w:szCs w:val="24"/>
          <w:lang w:val="es-MX"/>
        </w:rPr>
        <w:t>emprendimiento y competitividad, procesos eficientes y transparentes y</w:t>
      </w:r>
      <w:r w:rsidR="009A3D52">
        <w:rPr>
          <w:rFonts w:cs="Arial"/>
          <w:szCs w:val="24"/>
          <w:lang w:val="es-MX"/>
        </w:rPr>
        <w:t xml:space="preserve"> </w:t>
      </w:r>
      <w:r w:rsidR="009A3D52">
        <w:rPr>
          <w:rFonts w:cs="Arial"/>
          <w:szCs w:val="24"/>
          <w:lang w:val="es-MX"/>
        </w:rPr>
        <w:tab/>
      </w:r>
      <w:r w:rsidR="00AB7F6C" w:rsidRPr="00AB7F6C">
        <w:rPr>
          <w:rFonts w:cs="Arial"/>
          <w:szCs w:val="24"/>
          <w:lang w:val="es-MX"/>
        </w:rPr>
        <w:t xml:space="preserve">generación de bienestar a través de la </w:t>
      </w:r>
      <w:r>
        <w:rPr>
          <w:rFonts w:cs="Arial"/>
          <w:szCs w:val="24"/>
          <w:lang w:val="es-MX"/>
        </w:rPr>
        <w:tab/>
      </w:r>
      <w:r w:rsidR="00AB7F6C" w:rsidRPr="00AB7F6C">
        <w:rPr>
          <w:rFonts w:cs="Arial"/>
          <w:szCs w:val="24"/>
          <w:lang w:val="es-MX"/>
        </w:rPr>
        <w:t xml:space="preserve">Participación ciudadana y el </w:t>
      </w:r>
      <w:r w:rsidR="009A3D52">
        <w:rPr>
          <w:rFonts w:cs="Arial"/>
          <w:szCs w:val="24"/>
          <w:lang w:val="es-MX"/>
        </w:rPr>
        <w:t xml:space="preserve"> </w:t>
      </w:r>
      <w:r w:rsidR="009A3D52">
        <w:rPr>
          <w:rFonts w:cs="Arial"/>
          <w:szCs w:val="24"/>
          <w:lang w:val="es-MX"/>
        </w:rPr>
        <w:tab/>
      </w:r>
      <w:r w:rsidR="00AB7F6C" w:rsidRPr="00AB7F6C">
        <w:rPr>
          <w:rFonts w:cs="Arial"/>
          <w:szCs w:val="24"/>
          <w:lang w:val="es-MX"/>
        </w:rPr>
        <w:t>mejoramiento de las condiciones de vida de los Aguachiquenses”</w:t>
      </w:r>
      <w:r w:rsidR="00723486" w:rsidRPr="00723486">
        <w:t xml:space="preserve"> </w:t>
      </w:r>
      <w:r w:rsidR="00723486" w:rsidRPr="00723486">
        <w:rPr>
          <w:rFonts w:cs="Arial"/>
          <w:szCs w:val="24"/>
          <w:lang w:val="es-MX"/>
        </w:rPr>
        <w:t>(</w:t>
      </w:r>
      <w:r w:rsidR="004C07C2" w:rsidRPr="004C07C2">
        <w:rPr>
          <w:rFonts w:cs="Arial"/>
          <w:szCs w:val="24"/>
          <w:lang w:val="es-MX"/>
        </w:rPr>
        <w:t>Alcaldía</w:t>
      </w:r>
      <w:r w:rsidR="009A3D52">
        <w:rPr>
          <w:rFonts w:cs="Arial"/>
          <w:szCs w:val="24"/>
          <w:lang w:val="es-MX"/>
        </w:rPr>
        <w:t xml:space="preserve"> </w:t>
      </w:r>
      <w:r w:rsidR="009A3D52">
        <w:rPr>
          <w:rFonts w:cs="Arial"/>
          <w:szCs w:val="24"/>
          <w:lang w:val="es-MX"/>
        </w:rPr>
        <w:tab/>
      </w:r>
      <w:r w:rsidR="004C07C2" w:rsidRPr="004C07C2">
        <w:rPr>
          <w:rFonts w:cs="Arial"/>
          <w:szCs w:val="24"/>
          <w:lang w:val="es-MX"/>
        </w:rPr>
        <w:t>de Aguachica Cesar</w:t>
      </w:r>
      <w:r w:rsidR="00723486" w:rsidRPr="00723486">
        <w:rPr>
          <w:rFonts w:cs="Arial"/>
          <w:szCs w:val="24"/>
          <w:lang w:val="es-MX"/>
        </w:rPr>
        <w:t>, 2022).</w:t>
      </w:r>
    </w:p>
    <w:p w14:paraId="1130F785" w14:textId="116B6818" w:rsidR="00AB7F6C" w:rsidRDefault="00AB7F6C" w:rsidP="00C024B4">
      <w:pPr>
        <w:spacing w:before="480" w:after="480"/>
        <w:rPr>
          <w:rFonts w:cs="Arial"/>
          <w:szCs w:val="24"/>
          <w:lang w:val="es-MX"/>
        </w:rPr>
      </w:pPr>
      <w:r w:rsidRPr="00AB7F6C">
        <w:rPr>
          <w:rFonts w:cs="Arial"/>
          <w:szCs w:val="24"/>
          <w:lang w:val="es-MX"/>
        </w:rPr>
        <w:t>La visión institucional plantea una proyección de largo plazo en la que el municipio de Aguachica busca consolidarse como una “Ciudad Región” reconocida por su desarrollo, la construcción de paz y el bienestar de sus habitantes. Asimismo, incorpora elementos importantes como el desarrollo humano integral, el ordenamiento territorial, la competitividad y la participación ciudadana, lo cual se encuentra en coherencia con los objetivos de desarrollo local.</w:t>
      </w:r>
    </w:p>
    <w:p w14:paraId="0CECBC4F" w14:textId="0BF0A0D4" w:rsidR="00F37781" w:rsidRPr="00F37781" w:rsidRDefault="009F2A8C" w:rsidP="0030735D">
      <w:pPr>
        <w:pStyle w:val="Ttulo2"/>
      </w:pPr>
      <w:bookmarkStart w:id="9" w:name="_Toc231741408"/>
      <w:r>
        <w:t>1.4</w:t>
      </w:r>
      <w:r w:rsidR="00AC11C8">
        <w:t>.</w:t>
      </w:r>
      <w:r>
        <w:t xml:space="preserve">  </w:t>
      </w:r>
      <w:r w:rsidR="00106035" w:rsidRPr="00106035">
        <w:t>POLÍTICAS</w:t>
      </w:r>
      <w:bookmarkEnd w:id="9"/>
    </w:p>
    <w:p w14:paraId="170EBFBD" w14:textId="77777777" w:rsidR="00ED7EBB" w:rsidRPr="00ED7EBB" w:rsidRDefault="00ED7EBB" w:rsidP="00ED7EBB">
      <w:pPr>
        <w:spacing w:after="480"/>
        <w:rPr>
          <w:rFonts w:cs="Arial"/>
          <w:szCs w:val="24"/>
          <w:lang w:val="es-MX"/>
        </w:rPr>
      </w:pPr>
      <w:r w:rsidRPr="00ED7EBB">
        <w:rPr>
          <w:rFonts w:cs="Arial"/>
          <w:szCs w:val="24"/>
          <w:lang w:val="es-MX"/>
        </w:rPr>
        <w:t>Las políticas institucionales que orientan el funcionamiento de la Alcaldía Municipal de Aguachica son: transparencia y acceso a la información pública, responsabilidad fiscal y gestión financiera, atención al ciudadano, gestión del talento humano, y eficiencia en el uso de los recursos públicos. Estos lineamientos, aunque enunciados formalmente, solo generan impacto real cuando se traducen en prácticas operativas verificables acompañadas de mecanismos de seguimiento.</w:t>
      </w:r>
    </w:p>
    <w:p w14:paraId="2BDE611F" w14:textId="77777777" w:rsidR="00ED7EBB" w:rsidRPr="00ED7EBB" w:rsidRDefault="00ED7EBB" w:rsidP="00ED7EBB">
      <w:pPr>
        <w:spacing w:after="480"/>
        <w:rPr>
          <w:rFonts w:cs="Arial"/>
          <w:szCs w:val="24"/>
          <w:lang w:val="es-MX"/>
        </w:rPr>
      </w:pPr>
      <w:r w:rsidRPr="00ED7EBB">
        <w:rPr>
          <w:rFonts w:cs="Arial"/>
          <w:szCs w:val="24"/>
          <w:lang w:val="es-MX"/>
        </w:rPr>
        <w:t xml:space="preserve">La política de transparencia busca garantizar el acceso ciudadano a la información institucional y fortalecer la rendición de cuentas. La responsabilidad fiscal orienta el manejo eficiente del presupuesto bajo criterios de equilibrio y sostenibilidad. La atención al ciudadano establece estándares de calidad, oportunidad y respeto en los servicios. La gestión del talento humano promueve el desarrollo profesional de los servidores mediante capacitación y bienestar laboral. Finalmente, la eficiencia en el uso de los </w:t>
      </w:r>
      <w:r w:rsidRPr="00ED7EBB">
        <w:rPr>
          <w:rFonts w:cs="Arial"/>
          <w:szCs w:val="24"/>
          <w:lang w:val="es-MX"/>
        </w:rPr>
        <w:lastRenderedPageBreak/>
        <w:t>recursos busca optimizar la administración de los medios financieros, materiales y humanos de la entidad.</w:t>
      </w:r>
    </w:p>
    <w:p w14:paraId="20034445" w14:textId="0D40A33A" w:rsidR="00ED7EBB" w:rsidRDefault="00ED7EBB" w:rsidP="00ED7EBB">
      <w:pPr>
        <w:spacing w:after="480"/>
        <w:rPr>
          <w:rFonts w:cs="Arial"/>
          <w:szCs w:val="24"/>
          <w:lang w:val="es-MX"/>
        </w:rPr>
      </w:pPr>
      <w:r w:rsidRPr="00ED7EBB">
        <w:rPr>
          <w:rFonts w:cs="Arial"/>
          <w:szCs w:val="24"/>
          <w:lang w:val="es-MX"/>
        </w:rPr>
        <w:t>En conjunto, estas políticas configuran un marco de actuación coherente con los principios de la administración pública territorial, aunque su efectividad depende de que cuenten con indicadores de seguimiento y procesos de evaluación periódica.</w:t>
      </w:r>
    </w:p>
    <w:p w14:paraId="3FF9DF13" w14:textId="32CD31EC" w:rsidR="00106035" w:rsidRPr="00106035" w:rsidRDefault="009F2A8C" w:rsidP="0030735D">
      <w:pPr>
        <w:pStyle w:val="Ttulo2"/>
      </w:pPr>
      <w:bookmarkStart w:id="10" w:name="_Toc231741409"/>
      <w:r>
        <w:t>1.5</w:t>
      </w:r>
      <w:r w:rsidR="00AC11C8">
        <w:t>.</w:t>
      </w:r>
      <w:r>
        <w:t xml:space="preserve">  </w:t>
      </w:r>
      <w:r w:rsidR="00106035" w:rsidRPr="00106035">
        <w:t>VALORES</w:t>
      </w:r>
      <w:bookmarkEnd w:id="10"/>
    </w:p>
    <w:p w14:paraId="18D6D818" w14:textId="77777777" w:rsidR="002C2A80" w:rsidRDefault="00CE0208" w:rsidP="00782CA1">
      <w:pPr>
        <w:spacing w:after="480"/>
        <w:rPr>
          <w:rFonts w:cs="Arial"/>
          <w:szCs w:val="24"/>
          <w:lang w:val="es-MX"/>
        </w:rPr>
      </w:pPr>
      <w:r w:rsidRPr="00CE0208">
        <w:rPr>
          <w:rFonts w:cs="Arial"/>
          <w:szCs w:val="24"/>
          <w:lang w:val="es-MX"/>
        </w:rPr>
        <w:t xml:space="preserve">Los valores institucionales constituyen principios éticos que orientan el comportamiento de los servidores públicos en el ejercicio de sus funciones y en la relación con la ciudadanía. </w:t>
      </w:r>
    </w:p>
    <w:p w14:paraId="22D926E1" w14:textId="7A39DCC1" w:rsidR="00CE0208" w:rsidRDefault="00CE0208" w:rsidP="00782CA1">
      <w:pPr>
        <w:spacing w:after="480"/>
        <w:rPr>
          <w:rFonts w:cs="Arial"/>
          <w:szCs w:val="24"/>
          <w:lang w:val="es-MX"/>
        </w:rPr>
      </w:pPr>
      <w:r w:rsidRPr="00CE0208">
        <w:rPr>
          <w:rFonts w:cs="Arial"/>
          <w:szCs w:val="24"/>
          <w:lang w:val="es-MX"/>
        </w:rPr>
        <w:t>En el caso de la Alcaldía Municipal de Aguachica, estos valores se encuentran establecidos a partir de la adopción del Código de Integridad del Servicio Público, el cual fue incorporado formalmente a la entidad mediante la Resolución No. 217 de 2023. Dicho código, expedido originalmente por el Departamento Administrativo de la Función Pública, establece los principios y valores que deben orientar la conducta ética de quienes ejercen funciones en el sector público.</w:t>
      </w:r>
    </w:p>
    <w:p w14:paraId="13A00233" w14:textId="2B12872C" w:rsidR="00CB55E0" w:rsidRPr="000916BE" w:rsidRDefault="00CB55E0" w:rsidP="000916BE">
      <w:pPr>
        <w:rPr>
          <w:rFonts w:cstheme="majorBidi"/>
          <w:szCs w:val="24"/>
          <w:lang w:val="es-MX"/>
        </w:rPr>
      </w:pPr>
      <w:bookmarkStart w:id="11" w:name="_Toc231741410"/>
      <w:r w:rsidRPr="00FF3A0D">
        <w:rPr>
          <w:rStyle w:val="Ttulo3Car"/>
        </w:rPr>
        <w:t>1.5.1 H</w:t>
      </w:r>
      <w:r w:rsidR="005E58B3">
        <w:rPr>
          <w:rStyle w:val="Ttulo3Car"/>
        </w:rPr>
        <w:t>onestidad</w:t>
      </w:r>
      <w:r w:rsidRPr="00FF3A0D">
        <w:rPr>
          <w:rStyle w:val="Ttulo3Car"/>
        </w:rPr>
        <w:t>.</w:t>
      </w:r>
      <w:bookmarkEnd w:id="11"/>
      <w:r>
        <w:rPr>
          <w:lang w:val="es-MX"/>
        </w:rPr>
        <w:t xml:space="preserve">  </w:t>
      </w:r>
      <w:r w:rsidRPr="00FF3A0D">
        <w:t>L</w:t>
      </w:r>
      <w:r w:rsidRPr="00FF3A0D">
        <w:rPr>
          <w:lang w:val="es-MX"/>
        </w:rPr>
        <w:t>a honestidad se fundamenta en el actuar conforme a la verdad, la transparencia y la rectitud en el ejercicio de las funciones públicas. Este valor implica que los servidores públicos deben orientar su conducta hacia el interés general, evitando cualquier tipo de actuación que favorezca intereses particulares o genere conflictos éticos en la gestión administrativa.</w:t>
      </w:r>
      <w:r w:rsidRPr="00CB55E0">
        <w:rPr>
          <w:rFonts w:cs="Arial"/>
          <w:szCs w:val="24"/>
          <w:lang w:val="es-MX"/>
        </w:rPr>
        <w:t xml:space="preserve"> Su aplicación permite fortalecer la confianza ciudadana en la administración pública, al garantizar que las decisiones se adopten bajo criterios de integridad y responsabilidad (Resolución 217, 2023).</w:t>
      </w:r>
    </w:p>
    <w:p w14:paraId="0B23447B" w14:textId="1C3D2004" w:rsidR="00CB55E0" w:rsidRDefault="00CB55E0" w:rsidP="00CB55E0">
      <w:pPr>
        <w:spacing w:before="480"/>
        <w:rPr>
          <w:rFonts w:cs="Arial"/>
          <w:szCs w:val="24"/>
          <w:lang w:val="es-MX"/>
        </w:rPr>
      </w:pPr>
      <w:bookmarkStart w:id="12" w:name="_Toc231741411"/>
      <w:r w:rsidRPr="00CB55E0">
        <w:rPr>
          <w:rStyle w:val="Ttulo3Car"/>
        </w:rPr>
        <w:t xml:space="preserve">1.5.2 </w:t>
      </w:r>
      <w:r w:rsidRPr="00CB55E0">
        <w:rPr>
          <w:rStyle w:val="Ttulo3Car"/>
          <w:lang w:val="es-MX"/>
        </w:rPr>
        <w:t>R</w:t>
      </w:r>
      <w:r w:rsidR="005E58B3">
        <w:rPr>
          <w:rStyle w:val="Ttulo3Car"/>
          <w:lang w:val="es-MX"/>
        </w:rPr>
        <w:t>espeto</w:t>
      </w:r>
      <w:r w:rsidRPr="00CB55E0">
        <w:rPr>
          <w:rStyle w:val="Ttulo3Car"/>
        </w:rPr>
        <w:t>.</w:t>
      </w:r>
      <w:bookmarkEnd w:id="12"/>
      <w:r>
        <w:rPr>
          <w:rFonts w:cs="Arial"/>
          <w:szCs w:val="24"/>
          <w:lang w:val="es-MX"/>
        </w:rPr>
        <w:t xml:space="preserve">  </w:t>
      </w:r>
      <w:r w:rsidRPr="00CB55E0">
        <w:rPr>
          <w:rFonts w:cs="Arial"/>
          <w:szCs w:val="24"/>
          <w:lang w:val="es-MX"/>
        </w:rPr>
        <w:t>El respeto se refiere al reconocimiento del valor y la dignidad de todas las personas, sin distinción alguna por razones sociales, económicas, culturales o de cualquier otra índole. Este valor implica que la interacción entre servidores públicos y ciudadanos debe estar basada en el trato digno, la consideración y la equidad.</w:t>
      </w:r>
      <w:r w:rsidR="000916BE">
        <w:rPr>
          <w:rFonts w:cs="Arial"/>
          <w:szCs w:val="24"/>
          <w:lang w:val="es-MX"/>
        </w:rPr>
        <w:t xml:space="preserve"> </w:t>
      </w:r>
      <w:r w:rsidRPr="00CB55E0">
        <w:rPr>
          <w:rFonts w:cs="Arial"/>
          <w:szCs w:val="24"/>
          <w:lang w:val="es-MX"/>
        </w:rPr>
        <w:t>Su implementación contribuye a garantizar la igualdad en el acceso a los servicios públicos y a fortalecer la convivencia social (Resolución 217, 2023).</w:t>
      </w:r>
    </w:p>
    <w:p w14:paraId="2F51EBCB" w14:textId="0F713E90" w:rsidR="00CB55E0" w:rsidRDefault="00CB55E0" w:rsidP="00CB55E0">
      <w:pPr>
        <w:spacing w:before="480"/>
        <w:rPr>
          <w:rFonts w:cs="Arial"/>
          <w:szCs w:val="24"/>
          <w:lang w:val="es-MX"/>
        </w:rPr>
      </w:pPr>
      <w:bookmarkStart w:id="13" w:name="_Toc231741412"/>
      <w:r w:rsidRPr="0027113C">
        <w:rPr>
          <w:rStyle w:val="Ttulo3Car"/>
        </w:rPr>
        <w:t xml:space="preserve">1.5.3 </w:t>
      </w:r>
      <w:r w:rsidRPr="0027113C">
        <w:rPr>
          <w:rStyle w:val="Ttulo3Car"/>
          <w:lang w:val="es-MX"/>
        </w:rPr>
        <w:t>C</w:t>
      </w:r>
      <w:r w:rsidR="005E58B3">
        <w:rPr>
          <w:rStyle w:val="Ttulo3Car"/>
          <w:lang w:val="es-MX"/>
        </w:rPr>
        <w:t>ompromiso</w:t>
      </w:r>
      <w:r w:rsidRPr="0027113C">
        <w:rPr>
          <w:rStyle w:val="Ttulo3Car"/>
        </w:rPr>
        <w:t>.</w:t>
      </w:r>
      <w:bookmarkEnd w:id="13"/>
      <w:r>
        <w:rPr>
          <w:rFonts w:cs="Arial"/>
          <w:szCs w:val="24"/>
          <w:lang w:val="es-MX"/>
        </w:rPr>
        <w:t xml:space="preserve">  </w:t>
      </w:r>
      <w:r w:rsidRPr="00CB55E0">
        <w:rPr>
          <w:rFonts w:cs="Arial"/>
          <w:szCs w:val="24"/>
          <w:lang w:val="es-MX"/>
        </w:rPr>
        <w:t xml:space="preserve">El compromiso se relaciona con la responsabilidad que asumen los servidores públicos frente a la ciudadanía, entendiendo que su labor está orientada al cumplimiento de fines colectivos y al bienestar general. Este valor implica una disposición permanente para atender las necesidades de la comunidad, actuando con </w:t>
      </w:r>
      <w:r w:rsidRPr="00CB55E0">
        <w:rPr>
          <w:rFonts w:cs="Arial"/>
          <w:szCs w:val="24"/>
          <w:lang w:val="es-MX"/>
        </w:rPr>
        <w:lastRenderedPageBreak/>
        <w:t>responsabilidad y sentido de pertenencia hacia la institución.</w:t>
      </w:r>
      <w:r w:rsidR="000916BE">
        <w:rPr>
          <w:rFonts w:cs="Arial"/>
          <w:szCs w:val="24"/>
          <w:lang w:val="es-MX"/>
        </w:rPr>
        <w:t xml:space="preserve"> </w:t>
      </w:r>
      <w:r w:rsidRPr="00CB55E0">
        <w:rPr>
          <w:rFonts w:cs="Arial"/>
          <w:szCs w:val="24"/>
          <w:lang w:val="es-MX"/>
        </w:rPr>
        <w:t>Su desarrollo permite mejorar la calidad del servicio prestado por la administración municipal y fortalecer la relación entre el Estado y la ciudadanía (Resolución 217, 2023).</w:t>
      </w:r>
    </w:p>
    <w:p w14:paraId="5F5AC23F" w14:textId="15B01F47" w:rsidR="0027113C" w:rsidRDefault="0027113C" w:rsidP="0027113C">
      <w:pPr>
        <w:spacing w:before="480"/>
        <w:rPr>
          <w:rFonts w:cs="Arial"/>
          <w:szCs w:val="24"/>
          <w:lang w:val="es-MX"/>
        </w:rPr>
      </w:pPr>
      <w:bookmarkStart w:id="14" w:name="_Toc231741413"/>
      <w:r w:rsidRPr="0027113C">
        <w:rPr>
          <w:rStyle w:val="Ttulo3Car"/>
        </w:rPr>
        <w:t xml:space="preserve">1.5.4 </w:t>
      </w:r>
      <w:r w:rsidRPr="0027113C">
        <w:rPr>
          <w:rStyle w:val="Ttulo3Car"/>
          <w:lang w:val="es-MX"/>
        </w:rPr>
        <w:t>D</w:t>
      </w:r>
      <w:r w:rsidR="005E58B3">
        <w:rPr>
          <w:rStyle w:val="Ttulo3Car"/>
          <w:lang w:val="es-MX"/>
        </w:rPr>
        <w:t>iligencia</w:t>
      </w:r>
      <w:r w:rsidRPr="0027113C">
        <w:rPr>
          <w:rStyle w:val="Ttulo3Car"/>
        </w:rPr>
        <w:t>.</w:t>
      </w:r>
      <w:bookmarkEnd w:id="14"/>
      <w:r>
        <w:rPr>
          <w:rFonts w:cs="Arial"/>
          <w:szCs w:val="24"/>
          <w:lang w:val="es-MX"/>
        </w:rPr>
        <w:t xml:space="preserve">  </w:t>
      </w:r>
      <w:r w:rsidRPr="0027113C">
        <w:rPr>
          <w:rFonts w:cs="Arial"/>
          <w:szCs w:val="24"/>
          <w:lang w:val="es-MX"/>
        </w:rPr>
        <w:t>La diligencia hace referencia al cumplimiento oportuno, eficiente y responsable de las funciones asignadas a los servidores públicos. Este valor implica actuar con prontitud, atención y eficiencia en el desarrollo de las actividades laborales, garantizando el uso adecuado de los recursos públicos.</w:t>
      </w:r>
      <w:r w:rsidR="000916BE">
        <w:rPr>
          <w:rFonts w:cs="Arial"/>
          <w:szCs w:val="24"/>
          <w:lang w:val="es-MX"/>
        </w:rPr>
        <w:t xml:space="preserve"> </w:t>
      </w:r>
      <w:r w:rsidRPr="0027113C">
        <w:rPr>
          <w:rFonts w:cs="Arial"/>
          <w:szCs w:val="24"/>
          <w:lang w:val="es-MX"/>
        </w:rPr>
        <w:t xml:space="preserve">En el ámbito de la administración municipal, la diligencia se convierte en un factor clave para el logro de los objetivos institucionales, ya que </w:t>
      </w:r>
      <w:r w:rsidR="00B35276">
        <w:rPr>
          <w:rFonts w:cs="Arial"/>
          <w:szCs w:val="24"/>
          <w:lang w:val="es-MX"/>
        </w:rPr>
        <w:t>su</w:t>
      </w:r>
      <w:r w:rsidRPr="0027113C">
        <w:rPr>
          <w:rFonts w:cs="Arial"/>
          <w:szCs w:val="24"/>
          <w:lang w:val="es-MX"/>
        </w:rPr>
        <w:t xml:space="preserve"> aplicación contribuye a evitar retrasos, errores administrativos y uso ineficiente de los recursos del Estado (Resolución 217, 2023).</w:t>
      </w:r>
    </w:p>
    <w:p w14:paraId="7E352FAE" w14:textId="1E21C9D3" w:rsidR="002C2A80" w:rsidRDefault="00FF3A0D" w:rsidP="00782CA1">
      <w:pPr>
        <w:spacing w:before="480" w:after="360"/>
        <w:rPr>
          <w:rFonts w:cs="Arial"/>
          <w:szCs w:val="24"/>
          <w:lang w:val="es-MX"/>
        </w:rPr>
      </w:pPr>
      <w:bookmarkStart w:id="15" w:name="_Toc231741414"/>
      <w:r w:rsidRPr="001010D2">
        <w:rPr>
          <w:rStyle w:val="Ttulo3Car"/>
        </w:rPr>
        <w:t xml:space="preserve">1.5.5 </w:t>
      </w:r>
      <w:r w:rsidRPr="001010D2">
        <w:rPr>
          <w:rStyle w:val="Ttulo3Car"/>
          <w:lang w:val="es-MX"/>
        </w:rPr>
        <w:t>J</w:t>
      </w:r>
      <w:r w:rsidR="005E58B3">
        <w:rPr>
          <w:rStyle w:val="Ttulo3Car"/>
          <w:lang w:val="es-MX"/>
        </w:rPr>
        <w:t>usticia</w:t>
      </w:r>
      <w:r w:rsidRPr="001010D2">
        <w:rPr>
          <w:rStyle w:val="Ttulo3Car"/>
        </w:rPr>
        <w:t>.</w:t>
      </w:r>
      <w:bookmarkEnd w:id="15"/>
      <w:r>
        <w:rPr>
          <w:rFonts w:cs="Arial"/>
          <w:szCs w:val="24"/>
          <w:lang w:val="es-MX"/>
        </w:rPr>
        <w:t xml:space="preserve">  </w:t>
      </w:r>
      <w:r w:rsidRPr="00FF3A0D">
        <w:rPr>
          <w:rFonts w:cs="Arial"/>
          <w:szCs w:val="24"/>
          <w:lang w:val="es-MX"/>
        </w:rPr>
        <w:t>La justicia se orienta a la toma de decisiones imparciales, basadas en criterios de equidad, igualdad y respeto por los derechos de todas las personas. Este valor implica actuar sin discriminación y sin favorecer intereses particulares, garantizando un trato equitativo a todos los ciudadanos.</w:t>
      </w:r>
      <w:r w:rsidR="001256C9">
        <w:rPr>
          <w:rFonts w:cs="Arial"/>
          <w:szCs w:val="24"/>
          <w:lang w:val="es-MX"/>
        </w:rPr>
        <w:t xml:space="preserve"> </w:t>
      </w:r>
      <w:r w:rsidRPr="00FF3A0D">
        <w:rPr>
          <w:rFonts w:cs="Arial"/>
          <w:szCs w:val="24"/>
          <w:lang w:val="es-MX"/>
        </w:rPr>
        <w:t>Su aplicación asegura que las actuaciones de la entidad se desarrollen bajo principios de objetividad y transparencia, contribuyendo al bienestar colectivo (Resolución 217, 2023).</w:t>
      </w:r>
    </w:p>
    <w:p w14:paraId="01225E24" w14:textId="2CFAC58E" w:rsidR="009023BB" w:rsidRPr="00022E9C" w:rsidRDefault="009023BB" w:rsidP="009023BB">
      <w:pPr>
        <w:pStyle w:val="Descripcin"/>
        <w:keepNext/>
        <w:rPr>
          <w:rFonts w:ascii="Arial" w:hAnsi="Arial" w:cs="Arial"/>
          <w:i w:val="0"/>
          <w:iCs w:val="0"/>
          <w:color w:val="auto"/>
          <w:sz w:val="24"/>
          <w:szCs w:val="24"/>
        </w:rPr>
      </w:pPr>
      <w:bookmarkStart w:id="16" w:name="_Toc231741480"/>
      <w:r w:rsidRPr="00022E9C">
        <w:rPr>
          <w:rFonts w:ascii="Arial" w:hAnsi="Arial" w:cs="Arial"/>
          <w:b/>
          <w:bCs/>
          <w:i w:val="0"/>
          <w:iCs w:val="0"/>
          <w:color w:val="auto"/>
          <w:sz w:val="24"/>
          <w:szCs w:val="24"/>
        </w:rPr>
        <w:t xml:space="preserve">Tabla </w:t>
      </w:r>
      <w:r w:rsidR="00591DB5" w:rsidRPr="00022E9C">
        <w:rPr>
          <w:rFonts w:ascii="Arial" w:hAnsi="Arial" w:cs="Arial"/>
          <w:b/>
          <w:bCs/>
          <w:i w:val="0"/>
          <w:iCs w:val="0"/>
          <w:color w:val="auto"/>
          <w:sz w:val="24"/>
          <w:szCs w:val="24"/>
        </w:rPr>
        <w:fldChar w:fldCharType="begin"/>
      </w:r>
      <w:r w:rsidR="00591DB5" w:rsidRPr="00022E9C">
        <w:rPr>
          <w:rFonts w:ascii="Arial" w:hAnsi="Arial" w:cs="Arial"/>
          <w:b/>
          <w:bCs/>
          <w:i w:val="0"/>
          <w:iCs w:val="0"/>
          <w:color w:val="auto"/>
          <w:sz w:val="24"/>
          <w:szCs w:val="24"/>
        </w:rPr>
        <w:instrText xml:space="preserve"> SEQ Tabla \* ARABIC </w:instrText>
      </w:r>
      <w:r w:rsidR="00591DB5" w:rsidRPr="00022E9C">
        <w:rPr>
          <w:rFonts w:ascii="Arial" w:hAnsi="Arial" w:cs="Arial"/>
          <w:b/>
          <w:bCs/>
          <w:i w:val="0"/>
          <w:iCs w:val="0"/>
          <w:color w:val="auto"/>
          <w:sz w:val="24"/>
          <w:szCs w:val="24"/>
        </w:rPr>
        <w:fldChar w:fldCharType="separate"/>
      </w:r>
      <w:r w:rsidR="002B0D85">
        <w:rPr>
          <w:rFonts w:ascii="Arial" w:hAnsi="Arial" w:cs="Arial"/>
          <w:b/>
          <w:bCs/>
          <w:i w:val="0"/>
          <w:iCs w:val="0"/>
          <w:noProof/>
          <w:color w:val="auto"/>
          <w:sz w:val="24"/>
          <w:szCs w:val="24"/>
        </w:rPr>
        <w:t>2</w:t>
      </w:r>
      <w:r w:rsidR="00591DB5" w:rsidRPr="00022E9C">
        <w:rPr>
          <w:rFonts w:ascii="Arial" w:hAnsi="Arial" w:cs="Arial"/>
          <w:b/>
          <w:bCs/>
          <w:i w:val="0"/>
          <w:iCs w:val="0"/>
          <w:noProof/>
          <w:color w:val="auto"/>
          <w:sz w:val="24"/>
          <w:szCs w:val="24"/>
        </w:rPr>
        <w:fldChar w:fldCharType="end"/>
      </w:r>
      <w:r w:rsidRPr="00022E9C">
        <w:rPr>
          <w:rFonts w:ascii="Arial" w:hAnsi="Arial" w:cs="Arial"/>
          <w:i w:val="0"/>
          <w:iCs w:val="0"/>
          <w:color w:val="auto"/>
          <w:sz w:val="24"/>
          <w:szCs w:val="24"/>
        </w:rPr>
        <w:t>. Valores institucionales de la Alcaldía de Aguachica</w:t>
      </w:r>
      <w:bookmarkEnd w:id="16"/>
    </w:p>
    <w:tbl>
      <w:tblPr>
        <w:tblStyle w:val="Tablaconcuadrcula4-nfasis6"/>
        <w:tblW w:w="0" w:type="auto"/>
        <w:tblInd w:w="-856" w:type="dxa"/>
        <w:tblLook w:val="04A0" w:firstRow="1" w:lastRow="0" w:firstColumn="1" w:lastColumn="0" w:noHBand="0" w:noVBand="1"/>
      </w:tblPr>
      <w:tblGrid>
        <w:gridCol w:w="1866"/>
        <w:gridCol w:w="8385"/>
      </w:tblGrid>
      <w:tr w:rsidR="00CE0208" w:rsidRPr="00214EE3" w14:paraId="2F82189E" w14:textId="77777777" w:rsidTr="005C1A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57" w:type="dxa"/>
            <w:gridSpan w:val="2"/>
            <w:hideMark/>
          </w:tcPr>
          <w:p w14:paraId="0049EFD3" w14:textId="1CCE0EE1" w:rsidR="00CE0208" w:rsidRPr="00214EE3" w:rsidRDefault="00CE0208" w:rsidP="00EF5A55">
            <w:pPr>
              <w:spacing w:before="0"/>
              <w:jc w:val="center"/>
              <w:rPr>
                <w:rFonts w:ascii="Times New Roman" w:eastAsia="Times New Roman" w:hAnsi="Times New Roman" w:cs="Times New Roman"/>
                <w:szCs w:val="24"/>
                <w:lang w:eastAsia="es-CO"/>
              </w:rPr>
            </w:pPr>
            <w:r>
              <w:rPr>
                <w:rFonts w:ascii="Times New Roman" w:eastAsia="Times New Roman" w:hAnsi="Times New Roman" w:cs="Times New Roman"/>
                <w:szCs w:val="24"/>
                <w:lang w:eastAsia="es-CO"/>
              </w:rPr>
              <w:t>Valores</w:t>
            </w:r>
          </w:p>
        </w:tc>
      </w:tr>
      <w:tr w:rsidR="008B1DA1" w:rsidRPr="00214EE3" w14:paraId="724C528D" w14:textId="77777777" w:rsidTr="00EF5A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2" w:type="dxa"/>
            <w:hideMark/>
          </w:tcPr>
          <w:p w14:paraId="2CF72A43" w14:textId="3FB65A35" w:rsidR="00CE0208" w:rsidRPr="00214EE3" w:rsidRDefault="00CE0208" w:rsidP="00EF5A55">
            <w:pPr>
              <w:spacing w:before="0"/>
              <w:jc w:val="center"/>
              <w:rPr>
                <w:rFonts w:ascii="Times New Roman" w:eastAsia="Times New Roman" w:hAnsi="Times New Roman" w:cs="Times New Roman"/>
                <w:szCs w:val="24"/>
                <w:lang w:eastAsia="es-CO"/>
              </w:rPr>
            </w:pPr>
            <w:r>
              <w:rPr>
                <w:rFonts w:ascii="Times New Roman" w:eastAsia="Times New Roman" w:hAnsi="Times New Roman" w:cs="Times New Roman"/>
                <w:szCs w:val="24"/>
                <w:lang w:eastAsia="es-CO"/>
              </w:rPr>
              <w:t>Honestidad</w:t>
            </w:r>
          </w:p>
        </w:tc>
        <w:tc>
          <w:tcPr>
            <w:tcW w:w="0" w:type="auto"/>
            <w:hideMark/>
          </w:tcPr>
          <w:p w14:paraId="211D0B6F" w14:textId="7E28E359" w:rsidR="00CE0208" w:rsidRPr="00214EE3" w:rsidRDefault="00CE0208" w:rsidP="00CE0208">
            <w:pPr>
              <w:spacing w:befor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lang w:eastAsia="es-CO"/>
              </w:rPr>
            </w:pPr>
            <w:r w:rsidRPr="00CE0208">
              <w:rPr>
                <w:rFonts w:ascii="Times New Roman" w:eastAsia="Times New Roman" w:hAnsi="Times New Roman" w:cs="Times New Roman"/>
                <w:szCs w:val="24"/>
                <w:lang w:eastAsia="es-CO"/>
              </w:rPr>
              <w:t>Actuó siempre con fundamento en la verdad, cumpliendo mis deberes con</w:t>
            </w:r>
            <w:r>
              <w:rPr>
                <w:rFonts w:ascii="Times New Roman" w:eastAsia="Times New Roman" w:hAnsi="Times New Roman" w:cs="Times New Roman"/>
                <w:szCs w:val="24"/>
                <w:lang w:eastAsia="es-CO"/>
              </w:rPr>
              <w:t xml:space="preserve"> </w:t>
            </w:r>
            <w:r w:rsidRPr="00CE0208">
              <w:rPr>
                <w:rFonts w:ascii="Times New Roman" w:eastAsia="Times New Roman" w:hAnsi="Times New Roman" w:cs="Times New Roman"/>
                <w:szCs w:val="24"/>
                <w:lang w:eastAsia="es-CO"/>
              </w:rPr>
              <w:t>transparencia</w:t>
            </w:r>
            <w:r>
              <w:rPr>
                <w:rFonts w:ascii="Times New Roman" w:eastAsia="Times New Roman" w:hAnsi="Times New Roman" w:cs="Times New Roman"/>
                <w:szCs w:val="24"/>
                <w:lang w:eastAsia="es-CO"/>
              </w:rPr>
              <w:t xml:space="preserve"> </w:t>
            </w:r>
            <w:r w:rsidRPr="00CE0208">
              <w:rPr>
                <w:rFonts w:ascii="Times New Roman" w:eastAsia="Times New Roman" w:hAnsi="Times New Roman" w:cs="Times New Roman"/>
                <w:szCs w:val="24"/>
                <w:lang w:eastAsia="es-CO"/>
              </w:rPr>
              <w:t>y rectitud, y siempre favoreciendo el interés general (Resolución 217, 2023)</w:t>
            </w:r>
            <w:r>
              <w:rPr>
                <w:rFonts w:ascii="Times New Roman" w:eastAsia="Times New Roman" w:hAnsi="Times New Roman" w:cs="Times New Roman"/>
                <w:szCs w:val="24"/>
                <w:lang w:eastAsia="es-CO"/>
              </w:rPr>
              <w:t>.</w:t>
            </w:r>
          </w:p>
        </w:tc>
      </w:tr>
      <w:tr w:rsidR="008B1DA1" w:rsidRPr="00214EE3" w14:paraId="51F0A598" w14:textId="77777777" w:rsidTr="00EF5A55">
        <w:tc>
          <w:tcPr>
            <w:cnfStyle w:val="001000000000" w:firstRow="0" w:lastRow="0" w:firstColumn="1" w:lastColumn="0" w:oddVBand="0" w:evenVBand="0" w:oddHBand="0" w:evenHBand="0" w:firstRowFirstColumn="0" w:firstRowLastColumn="0" w:lastRowFirstColumn="0" w:lastRowLastColumn="0"/>
            <w:tcW w:w="2762" w:type="dxa"/>
            <w:hideMark/>
          </w:tcPr>
          <w:p w14:paraId="7507D205" w14:textId="3D367F9C" w:rsidR="00CE0208" w:rsidRPr="00214EE3" w:rsidRDefault="00CE0208" w:rsidP="00EF5A55">
            <w:pPr>
              <w:spacing w:before="0"/>
              <w:jc w:val="center"/>
              <w:rPr>
                <w:rFonts w:ascii="Times New Roman" w:eastAsia="Times New Roman" w:hAnsi="Times New Roman" w:cs="Times New Roman"/>
                <w:szCs w:val="24"/>
                <w:lang w:eastAsia="es-CO"/>
              </w:rPr>
            </w:pPr>
            <w:r>
              <w:rPr>
                <w:rFonts w:ascii="Times New Roman" w:eastAsia="Times New Roman" w:hAnsi="Times New Roman" w:cs="Times New Roman"/>
                <w:szCs w:val="24"/>
                <w:lang w:eastAsia="es-CO"/>
              </w:rPr>
              <w:t>Respeto</w:t>
            </w:r>
          </w:p>
        </w:tc>
        <w:tc>
          <w:tcPr>
            <w:tcW w:w="0" w:type="auto"/>
            <w:hideMark/>
          </w:tcPr>
          <w:p w14:paraId="4811121C" w14:textId="6DFE8FEE" w:rsidR="00CE0208" w:rsidRPr="00214EE3" w:rsidRDefault="00CE0208" w:rsidP="00CE0208">
            <w:pPr>
              <w:spacing w:before="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s-CO"/>
              </w:rPr>
            </w:pPr>
            <w:r w:rsidRPr="00CE0208">
              <w:rPr>
                <w:rFonts w:ascii="Times New Roman" w:eastAsia="Times New Roman" w:hAnsi="Times New Roman" w:cs="Times New Roman"/>
                <w:szCs w:val="24"/>
                <w:lang w:eastAsia="es-CO"/>
              </w:rPr>
              <w:t>Reconozco, valoro y trato de manera digna a todas las personas, con sus</w:t>
            </w:r>
            <w:r>
              <w:rPr>
                <w:rFonts w:ascii="Times New Roman" w:eastAsia="Times New Roman" w:hAnsi="Times New Roman" w:cs="Times New Roman"/>
                <w:szCs w:val="24"/>
                <w:lang w:eastAsia="es-CO"/>
              </w:rPr>
              <w:t xml:space="preserve"> </w:t>
            </w:r>
            <w:r w:rsidRPr="00CE0208">
              <w:rPr>
                <w:rFonts w:ascii="Times New Roman" w:eastAsia="Times New Roman" w:hAnsi="Times New Roman" w:cs="Times New Roman"/>
                <w:szCs w:val="24"/>
                <w:lang w:eastAsia="es-CO"/>
              </w:rPr>
              <w:t>virtudes y defectos,</w:t>
            </w:r>
            <w:r>
              <w:rPr>
                <w:rFonts w:ascii="Times New Roman" w:eastAsia="Times New Roman" w:hAnsi="Times New Roman" w:cs="Times New Roman"/>
                <w:szCs w:val="24"/>
                <w:lang w:eastAsia="es-CO"/>
              </w:rPr>
              <w:t xml:space="preserve"> </w:t>
            </w:r>
            <w:r w:rsidRPr="00CE0208">
              <w:rPr>
                <w:rFonts w:ascii="Times New Roman" w:eastAsia="Times New Roman" w:hAnsi="Times New Roman" w:cs="Times New Roman"/>
                <w:szCs w:val="24"/>
                <w:lang w:eastAsia="es-CO"/>
              </w:rPr>
              <w:t>sin importar su labor, su procedencia, títulos o cualquier otra condición</w:t>
            </w:r>
            <w:r>
              <w:rPr>
                <w:rFonts w:ascii="Times New Roman" w:eastAsia="Times New Roman" w:hAnsi="Times New Roman" w:cs="Times New Roman"/>
                <w:szCs w:val="24"/>
                <w:lang w:eastAsia="es-CO"/>
              </w:rPr>
              <w:t xml:space="preserve"> </w:t>
            </w:r>
            <w:r w:rsidRPr="00CE0208">
              <w:rPr>
                <w:rFonts w:ascii="Times New Roman" w:eastAsia="Times New Roman" w:hAnsi="Times New Roman" w:cs="Times New Roman"/>
                <w:szCs w:val="24"/>
                <w:lang w:eastAsia="es-CO"/>
              </w:rPr>
              <w:t>(Resolución 217, 2023).</w:t>
            </w:r>
          </w:p>
        </w:tc>
      </w:tr>
      <w:tr w:rsidR="008B1DA1" w:rsidRPr="00214EE3" w14:paraId="5B8CABD5" w14:textId="77777777" w:rsidTr="00EF5A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2" w:type="dxa"/>
            <w:hideMark/>
          </w:tcPr>
          <w:p w14:paraId="180DA7DD" w14:textId="7DF713B7" w:rsidR="00CE0208" w:rsidRPr="00214EE3" w:rsidRDefault="00CE0208" w:rsidP="00EF5A55">
            <w:pPr>
              <w:spacing w:before="0"/>
              <w:jc w:val="center"/>
              <w:rPr>
                <w:rFonts w:ascii="Times New Roman" w:eastAsia="Times New Roman" w:hAnsi="Times New Roman" w:cs="Times New Roman"/>
                <w:szCs w:val="24"/>
                <w:lang w:eastAsia="es-CO"/>
              </w:rPr>
            </w:pPr>
            <w:r>
              <w:rPr>
                <w:rFonts w:ascii="Times New Roman" w:eastAsia="Times New Roman" w:hAnsi="Times New Roman" w:cs="Times New Roman"/>
                <w:szCs w:val="24"/>
                <w:lang w:eastAsia="es-CO"/>
              </w:rPr>
              <w:t>Compromiso</w:t>
            </w:r>
          </w:p>
        </w:tc>
        <w:tc>
          <w:tcPr>
            <w:tcW w:w="0" w:type="auto"/>
            <w:hideMark/>
          </w:tcPr>
          <w:p w14:paraId="5EED957C" w14:textId="0AE26445" w:rsidR="00CE0208" w:rsidRPr="00214EE3" w:rsidRDefault="00CE0208" w:rsidP="00CE0208">
            <w:pPr>
              <w:spacing w:befor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lang w:eastAsia="es-CO"/>
              </w:rPr>
            </w:pPr>
            <w:r w:rsidRPr="00CE0208">
              <w:rPr>
                <w:rFonts w:ascii="Times New Roman" w:eastAsia="Times New Roman" w:hAnsi="Times New Roman" w:cs="Times New Roman"/>
                <w:szCs w:val="24"/>
                <w:lang w:eastAsia="es-CO"/>
              </w:rPr>
              <w:t>Soy consciente de la importancia de mi rol como servidor público y estoy en</w:t>
            </w:r>
            <w:r>
              <w:rPr>
                <w:rFonts w:ascii="Times New Roman" w:eastAsia="Times New Roman" w:hAnsi="Times New Roman" w:cs="Times New Roman"/>
                <w:szCs w:val="24"/>
                <w:lang w:eastAsia="es-CO"/>
              </w:rPr>
              <w:t xml:space="preserve"> </w:t>
            </w:r>
            <w:r w:rsidRPr="00CE0208">
              <w:rPr>
                <w:rFonts w:ascii="Times New Roman" w:eastAsia="Times New Roman" w:hAnsi="Times New Roman" w:cs="Times New Roman"/>
                <w:szCs w:val="24"/>
                <w:lang w:eastAsia="es-CO"/>
              </w:rPr>
              <w:t>disposición</w:t>
            </w:r>
            <w:r>
              <w:rPr>
                <w:rFonts w:ascii="Times New Roman" w:eastAsia="Times New Roman" w:hAnsi="Times New Roman" w:cs="Times New Roman"/>
                <w:szCs w:val="24"/>
                <w:lang w:eastAsia="es-CO"/>
              </w:rPr>
              <w:t xml:space="preserve"> </w:t>
            </w:r>
            <w:r w:rsidRPr="00CE0208">
              <w:rPr>
                <w:rFonts w:ascii="Times New Roman" w:eastAsia="Times New Roman" w:hAnsi="Times New Roman" w:cs="Times New Roman"/>
                <w:szCs w:val="24"/>
                <w:lang w:eastAsia="es-CO"/>
              </w:rPr>
              <w:t>permanente para comprender y resolver las necesidades de las personas con</w:t>
            </w:r>
            <w:r>
              <w:rPr>
                <w:rFonts w:ascii="Times New Roman" w:eastAsia="Times New Roman" w:hAnsi="Times New Roman" w:cs="Times New Roman"/>
                <w:szCs w:val="24"/>
                <w:lang w:eastAsia="es-CO"/>
              </w:rPr>
              <w:t xml:space="preserve"> </w:t>
            </w:r>
            <w:r w:rsidRPr="00CE0208">
              <w:rPr>
                <w:rFonts w:ascii="Times New Roman" w:eastAsia="Times New Roman" w:hAnsi="Times New Roman" w:cs="Times New Roman"/>
                <w:szCs w:val="24"/>
                <w:lang w:eastAsia="es-CO"/>
              </w:rPr>
              <w:t>las que me relaciono en</w:t>
            </w:r>
            <w:r>
              <w:rPr>
                <w:rFonts w:ascii="Times New Roman" w:eastAsia="Times New Roman" w:hAnsi="Times New Roman" w:cs="Times New Roman"/>
                <w:szCs w:val="24"/>
                <w:lang w:eastAsia="es-CO"/>
              </w:rPr>
              <w:t xml:space="preserve"> </w:t>
            </w:r>
            <w:r w:rsidRPr="00CE0208">
              <w:rPr>
                <w:rFonts w:ascii="Times New Roman" w:eastAsia="Times New Roman" w:hAnsi="Times New Roman" w:cs="Times New Roman"/>
                <w:szCs w:val="24"/>
                <w:lang w:eastAsia="es-CO"/>
              </w:rPr>
              <w:t>mis labores cotidiana, buscando siempre mejorar su bienestar</w:t>
            </w:r>
            <w:r>
              <w:rPr>
                <w:rFonts w:ascii="Times New Roman" w:eastAsia="Times New Roman" w:hAnsi="Times New Roman" w:cs="Times New Roman"/>
                <w:szCs w:val="24"/>
                <w:lang w:eastAsia="es-CO"/>
              </w:rPr>
              <w:t xml:space="preserve"> </w:t>
            </w:r>
            <w:r w:rsidRPr="00CE0208">
              <w:rPr>
                <w:rFonts w:ascii="Times New Roman" w:eastAsia="Times New Roman" w:hAnsi="Times New Roman" w:cs="Times New Roman"/>
                <w:szCs w:val="24"/>
                <w:lang w:eastAsia="es-CO"/>
              </w:rPr>
              <w:t>(Resolución 217, 2023).</w:t>
            </w:r>
          </w:p>
        </w:tc>
      </w:tr>
      <w:tr w:rsidR="008B1DA1" w:rsidRPr="00214EE3" w14:paraId="7A9F3EAA" w14:textId="77777777" w:rsidTr="00EF5A55">
        <w:tc>
          <w:tcPr>
            <w:cnfStyle w:val="001000000000" w:firstRow="0" w:lastRow="0" w:firstColumn="1" w:lastColumn="0" w:oddVBand="0" w:evenVBand="0" w:oddHBand="0" w:evenHBand="0" w:firstRowFirstColumn="0" w:firstRowLastColumn="0" w:lastRowFirstColumn="0" w:lastRowLastColumn="0"/>
            <w:tcW w:w="2762" w:type="dxa"/>
            <w:hideMark/>
          </w:tcPr>
          <w:p w14:paraId="3EA8F8E6" w14:textId="7B265932" w:rsidR="00CE0208" w:rsidRPr="00214EE3" w:rsidRDefault="00CE0208" w:rsidP="00EF5A55">
            <w:pPr>
              <w:spacing w:before="0"/>
              <w:jc w:val="center"/>
              <w:rPr>
                <w:rFonts w:ascii="Times New Roman" w:eastAsia="Times New Roman" w:hAnsi="Times New Roman" w:cs="Times New Roman"/>
                <w:szCs w:val="24"/>
                <w:lang w:eastAsia="es-CO"/>
              </w:rPr>
            </w:pPr>
            <w:r>
              <w:rPr>
                <w:rFonts w:ascii="Times New Roman" w:eastAsia="Times New Roman" w:hAnsi="Times New Roman" w:cs="Times New Roman"/>
                <w:szCs w:val="24"/>
                <w:lang w:eastAsia="es-CO"/>
              </w:rPr>
              <w:t>Diligencia</w:t>
            </w:r>
          </w:p>
        </w:tc>
        <w:tc>
          <w:tcPr>
            <w:tcW w:w="0" w:type="auto"/>
            <w:hideMark/>
          </w:tcPr>
          <w:p w14:paraId="73616652" w14:textId="59901037" w:rsidR="00CE0208" w:rsidRPr="00214EE3" w:rsidRDefault="00CE0208" w:rsidP="00EF5A55">
            <w:pPr>
              <w:spacing w:before="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s-CO"/>
              </w:rPr>
            </w:pPr>
            <w:r w:rsidRPr="00CE0208">
              <w:rPr>
                <w:rFonts w:ascii="Times New Roman" w:eastAsia="Times New Roman" w:hAnsi="Times New Roman" w:cs="Times New Roman"/>
                <w:szCs w:val="24"/>
                <w:lang w:eastAsia="es-CO"/>
              </w:rPr>
              <w:t>Cumplo con los deberes, funciones y responsabilidades asignadas a mi cargo de la mejor manera posible, con atención, prontitud y eficiencia, para así optimizar el uso de los recursos del Estado</w:t>
            </w:r>
            <w:r>
              <w:rPr>
                <w:rFonts w:ascii="Times New Roman" w:eastAsia="Times New Roman" w:hAnsi="Times New Roman" w:cs="Times New Roman"/>
                <w:szCs w:val="24"/>
                <w:lang w:eastAsia="es-CO"/>
              </w:rPr>
              <w:t xml:space="preserve"> </w:t>
            </w:r>
            <w:r w:rsidRPr="00CE0208">
              <w:rPr>
                <w:rFonts w:ascii="Times New Roman" w:eastAsia="Times New Roman" w:hAnsi="Times New Roman" w:cs="Times New Roman"/>
                <w:szCs w:val="24"/>
                <w:lang w:eastAsia="es-CO"/>
              </w:rPr>
              <w:t>(Resolución 217, 2023).</w:t>
            </w:r>
          </w:p>
        </w:tc>
      </w:tr>
      <w:tr w:rsidR="008B1DA1" w:rsidRPr="00214EE3" w14:paraId="58C8B670" w14:textId="77777777" w:rsidTr="00EF5A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2" w:type="dxa"/>
            <w:hideMark/>
          </w:tcPr>
          <w:p w14:paraId="4A33E8BB" w14:textId="130612DD" w:rsidR="00CE0208" w:rsidRPr="00214EE3" w:rsidRDefault="00CE0208" w:rsidP="00EF5A55">
            <w:pPr>
              <w:spacing w:before="0"/>
              <w:jc w:val="center"/>
              <w:rPr>
                <w:rFonts w:ascii="Times New Roman" w:eastAsia="Times New Roman" w:hAnsi="Times New Roman" w:cs="Times New Roman"/>
                <w:szCs w:val="24"/>
                <w:lang w:eastAsia="es-CO"/>
              </w:rPr>
            </w:pPr>
            <w:r>
              <w:rPr>
                <w:rFonts w:ascii="Times New Roman" w:eastAsia="Times New Roman" w:hAnsi="Times New Roman" w:cs="Times New Roman"/>
                <w:szCs w:val="24"/>
                <w:lang w:eastAsia="es-CO"/>
              </w:rPr>
              <w:t>Justicia</w:t>
            </w:r>
          </w:p>
        </w:tc>
        <w:tc>
          <w:tcPr>
            <w:tcW w:w="0" w:type="auto"/>
            <w:hideMark/>
          </w:tcPr>
          <w:p w14:paraId="39E9C8CA" w14:textId="6142428C" w:rsidR="00CE0208" w:rsidRPr="00214EE3" w:rsidRDefault="00CE0208" w:rsidP="00EF5A55">
            <w:pPr>
              <w:spacing w:before="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lang w:eastAsia="es-CO"/>
              </w:rPr>
            </w:pPr>
            <w:r w:rsidRPr="00CE0208">
              <w:rPr>
                <w:rFonts w:ascii="Times New Roman" w:eastAsia="Times New Roman" w:hAnsi="Times New Roman" w:cs="Times New Roman"/>
                <w:szCs w:val="24"/>
                <w:lang w:eastAsia="es-CO"/>
              </w:rPr>
              <w:t>Actuó con imparcialidad garantizando los derechos de las personas, con equidad, igualdad y sin discriminación</w:t>
            </w:r>
            <w:r>
              <w:rPr>
                <w:rFonts w:ascii="Times New Roman" w:eastAsia="Times New Roman" w:hAnsi="Times New Roman" w:cs="Times New Roman"/>
                <w:szCs w:val="24"/>
                <w:lang w:eastAsia="es-CO"/>
              </w:rPr>
              <w:t xml:space="preserve"> </w:t>
            </w:r>
            <w:r w:rsidRPr="00CE0208">
              <w:rPr>
                <w:rFonts w:ascii="Times New Roman" w:eastAsia="Times New Roman" w:hAnsi="Times New Roman" w:cs="Times New Roman"/>
                <w:szCs w:val="24"/>
                <w:lang w:eastAsia="es-CO"/>
              </w:rPr>
              <w:t>(Resolución 217, 2023).</w:t>
            </w:r>
          </w:p>
        </w:tc>
      </w:tr>
    </w:tbl>
    <w:p w14:paraId="288BEDA5" w14:textId="1D8DA978" w:rsidR="00E96D1E" w:rsidRDefault="009023BB" w:rsidP="000E3EB4">
      <w:pPr>
        <w:spacing w:before="0"/>
        <w:rPr>
          <w:rFonts w:cs="Arial"/>
          <w:szCs w:val="24"/>
          <w:lang w:val="es-MX"/>
        </w:rPr>
      </w:pPr>
      <w:r w:rsidRPr="000E3EB4">
        <w:rPr>
          <w:rFonts w:cs="Arial"/>
          <w:b/>
          <w:bCs/>
          <w:szCs w:val="24"/>
          <w:lang w:val="es-MX"/>
        </w:rPr>
        <w:t>Fuente</w:t>
      </w:r>
      <w:r>
        <w:rPr>
          <w:rFonts w:cs="Arial"/>
          <w:szCs w:val="24"/>
          <w:lang w:val="es-MX"/>
        </w:rPr>
        <w:t>: elaboración propia.</w:t>
      </w:r>
    </w:p>
    <w:p w14:paraId="1F3B996B" w14:textId="77777777" w:rsidR="008B1DA1" w:rsidRPr="00BA6B85" w:rsidRDefault="008B1DA1" w:rsidP="0030735D">
      <w:pPr>
        <w:pStyle w:val="Ttulo2"/>
        <w:sectPr w:rsidR="008B1DA1" w:rsidRPr="00BA6B85" w:rsidSect="008B1DA1">
          <w:footerReference w:type="default" r:id="rId9"/>
          <w:headerReference w:type="first" r:id="rId10"/>
          <w:pgSz w:w="12240" w:h="15840"/>
          <w:pgMar w:top="1701" w:right="1134" w:bottom="1701" w:left="1701" w:header="709" w:footer="709" w:gutter="0"/>
          <w:cols w:space="708"/>
          <w:titlePg/>
          <w:docGrid w:linePitch="360"/>
        </w:sectPr>
      </w:pPr>
    </w:p>
    <w:p w14:paraId="4C79735D" w14:textId="32A25B15" w:rsidR="008B1DA1" w:rsidRPr="009F6F7A" w:rsidRDefault="00BB1BB0" w:rsidP="009F6F7A">
      <w:pPr>
        <w:pStyle w:val="Ttulo2"/>
      </w:pPr>
      <w:bookmarkStart w:id="17" w:name="_Toc231741415"/>
      <w:r>
        <w:rPr>
          <w:noProof/>
        </w:rPr>
        <w:lastRenderedPageBreak/>
        <mc:AlternateContent>
          <mc:Choice Requires="wps">
            <w:drawing>
              <wp:anchor distT="0" distB="0" distL="114300" distR="114300" simplePos="0" relativeHeight="251716608" behindDoc="0" locked="0" layoutInCell="1" allowOverlap="1" wp14:anchorId="4E6DB404" wp14:editId="1EE46A27">
                <wp:simplePos x="0" y="0"/>
                <wp:positionH relativeFrom="margin">
                  <wp:align>left</wp:align>
                </wp:positionH>
                <wp:positionV relativeFrom="paragraph">
                  <wp:posOffset>406107</wp:posOffset>
                </wp:positionV>
                <wp:extent cx="2785403" cy="171145"/>
                <wp:effectExtent l="0" t="0" r="0" b="635"/>
                <wp:wrapNone/>
                <wp:docPr id="119961627" name="Cuadro de texto 1"/>
                <wp:cNvGraphicFramePr/>
                <a:graphic xmlns:a="http://schemas.openxmlformats.org/drawingml/2006/main">
                  <a:graphicData uri="http://schemas.microsoft.com/office/word/2010/wordprocessingShape">
                    <wps:wsp>
                      <wps:cNvSpPr txBox="1"/>
                      <wps:spPr>
                        <a:xfrm>
                          <a:off x="0" y="0"/>
                          <a:ext cx="2785403" cy="171145"/>
                        </a:xfrm>
                        <a:prstGeom prst="rect">
                          <a:avLst/>
                        </a:prstGeom>
                        <a:solidFill>
                          <a:prstClr val="white"/>
                        </a:solidFill>
                        <a:ln>
                          <a:noFill/>
                        </a:ln>
                      </wps:spPr>
                      <wps:txbx>
                        <w:txbxContent>
                          <w:p w14:paraId="2F5867FD" w14:textId="6652F802" w:rsidR="00914A83" w:rsidRPr="000A0148" w:rsidRDefault="00914A83" w:rsidP="00914A83">
                            <w:pPr>
                              <w:pStyle w:val="Descripcin"/>
                              <w:rPr>
                                <w:rFonts w:ascii="Arial" w:hAnsi="Arial" w:cs="Arial"/>
                                <w:i w:val="0"/>
                                <w:iCs w:val="0"/>
                                <w:noProof/>
                                <w:color w:val="auto"/>
                                <w:sz w:val="24"/>
                                <w:szCs w:val="24"/>
                                <w:u w:val="single"/>
                              </w:rPr>
                            </w:pPr>
                            <w:bookmarkStart w:id="18" w:name="_Toc231741487"/>
                            <w:r w:rsidRPr="000A0148">
                              <w:rPr>
                                <w:rFonts w:ascii="Arial" w:hAnsi="Arial" w:cs="Arial"/>
                                <w:b/>
                                <w:bCs/>
                                <w:i w:val="0"/>
                                <w:iCs w:val="0"/>
                                <w:color w:val="auto"/>
                                <w:sz w:val="24"/>
                                <w:szCs w:val="24"/>
                              </w:rPr>
                              <w:t xml:space="preserve">Figura  </w:t>
                            </w:r>
                            <w:r w:rsidR="00BF5CE2" w:rsidRPr="000A0148">
                              <w:rPr>
                                <w:rFonts w:ascii="Arial" w:hAnsi="Arial" w:cs="Arial"/>
                                <w:b/>
                                <w:bCs/>
                                <w:i w:val="0"/>
                                <w:iCs w:val="0"/>
                                <w:color w:val="auto"/>
                                <w:sz w:val="24"/>
                                <w:szCs w:val="24"/>
                              </w:rPr>
                              <w:fldChar w:fldCharType="begin"/>
                            </w:r>
                            <w:r w:rsidR="00BF5CE2" w:rsidRPr="000A0148">
                              <w:rPr>
                                <w:rFonts w:ascii="Arial" w:hAnsi="Arial" w:cs="Arial"/>
                                <w:b/>
                                <w:bCs/>
                                <w:i w:val="0"/>
                                <w:iCs w:val="0"/>
                                <w:color w:val="auto"/>
                                <w:sz w:val="24"/>
                                <w:szCs w:val="24"/>
                              </w:rPr>
                              <w:instrText xml:space="preserve"> SEQ Figura_ \* ARABIC </w:instrText>
                            </w:r>
                            <w:r w:rsidR="00BF5CE2" w:rsidRPr="000A0148">
                              <w:rPr>
                                <w:rFonts w:ascii="Arial" w:hAnsi="Arial" w:cs="Arial"/>
                                <w:b/>
                                <w:bCs/>
                                <w:i w:val="0"/>
                                <w:iCs w:val="0"/>
                                <w:color w:val="auto"/>
                                <w:sz w:val="24"/>
                                <w:szCs w:val="24"/>
                              </w:rPr>
                              <w:fldChar w:fldCharType="separate"/>
                            </w:r>
                            <w:r w:rsidR="008D76B2">
                              <w:rPr>
                                <w:rFonts w:ascii="Arial" w:hAnsi="Arial" w:cs="Arial"/>
                                <w:b/>
                                <w:bCs/>
                                <w:i w:val="0"/>
                                <w:iCs w:val="0"/>
                                <w:noProof/>
                                <w:color w:val="auto"/>
                                <w:sz w:val="24"/>
                                <w:szCs w:val="24"/>
                              </w:rPr>
                              <w:t>2</w:t>
                            </w:r>
                            <w:r w:rsidR="00BF5CE2" w:rsidRPr="000A0148">
                              <w:rPr>
                                <w:rFonts w:ascii="Arial" w:hAnsi="Arial" w:cs="Arial"/>
                                <w:b/>
                                <w:bCs/>
                                <w:i w:val="0"/>
                                <w:iCs w:val="0"/>
                                <w:noProof/>
                                <w:color w:val="auto"/>
                                <w:sz w:val="24"/>
                                <w:szCs w:val="24"/>
                              </w:rPr>
                              <w:fldChar w:fldCharType="end"/>
                            </w:r>
                            <w:r w:rsidRPr="000A0148">
                              <w:rPr>
                                <w:rFonts w:ascii="Arial" w:hAnsi="Arial" w:cs="Arial"/>
                                <w:i w:val="0"/>
                                <w:iCs w:val="0"/>
                                <w:color w:val="auto"/>
                                <w:sz w:val="24"/>
                                <w:szCs w:val="24"/>
                              </w:rPr>
                              <w:t>. Organigrama de la Alcaldía de Aguachica</w:t>
                            </w:r>
                            <w:bookmarkEnd w:id="1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E6DB404" id="_x0000_t202" coordsize="21600,21600" o:spt="202" path="m,l,21600r21600,l21600,xe">
                <v:stroke joinstyle="miter"/>
                <v:path gradientshapeok="t" o:connecttype="rect"/>
              </v:shapetype>
              <v:shape id="Cuadro de texto 1" o:spid="_x0000_s1026" type="#_x0000_t202" style="position:absolute;margin-left:0;margin-top:32pt;width:219.3pt;height:13.5pt;z-index:2517166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" stroked="f">
                <v:textbox inset="0,0,0,0">
                  <w:txbxContent>
                    <w:p w14:paraId="2F5867FD" w14:textId="6652F802" w:rsidR="00914A83" w:rsidRPr="000A0148" w:rsidRDefault="00914A83" w:rsidP="00914A83">
                      <w:pPr>
                        <w:pStyle w:val="Descripcin"/>
                        <w:rPr>
                          <w:rFonts w:ascii="Arial" w:hAnsi="Arial" w:cs="Arial"/>
                          <w:i w:val="0"/>
                          <w:iCs w:val="0"/>
                          <w:noProof/>
                          <w:color w:val="auto"/>
                          <w:sz w:val="24"/>
                          <w:szCs w:val="24"/>
                          <w:u w:val="single"/>
                        </w:rPr>
                      </w:pPr>
                      <w:bookmarkStart w:id="19" w:name="_Toc231741487"/>
                      <w:r w:rsidRPr="000A0148">
                        <w:rPr>
                          <w:rFonts w:ascii="Arial" w:hAnsi="Arial" w:cs="Arial"/>
                          <w:b/>
                          <w:bCs/>
                          <w:i w:val="0"/>
                          <w:iCs w:val="0"/>
                          <w:color w:val="auto"/>
                          <w:sz w:val="24"/>
                          <w:szCs w:val="24"/>
                        </w:rPr>
                        <w:t xml:space="preserve">Figura  </w:t>
                      </w:r>
                      <w:r w:rsidR="00BF5CE2" w:rsidRPr="000A0148">
                        <w:rPr>
                          <w:rFonts w:ascii="Arial" w:hAnsi="Arial" w:cs="Arial"/>
                          <w:b/>
                          <w:bCs/>
                          <w:i w:val="0"/>
                          <w:iCs w:val="0"/>
                          <w:color w:val="auto"/>
                          <w:sz w:val="24"/>
                          <w:szCs w:val="24"/>
                        </w:rPr>
                        <w:fldChar w:fldCharType="begin"/>
                      </w:r>
                      <w:r w:rsidR="00BF5CE2" w:rsidRPr="000A0148">
                        <w:rPr>
                          <w:rFonts w:ascii="Arial" w:hAnsi="Arial" w:cs="Arial"/>
                          <w:b/>
                          <w:bCs/>
                          <w:i w:val="0"/>
                          <w:iCs w:val="0"/>
                          <w:color w:val="auto"/>
                          <w:sz w:val="24"/>
                          <w:szCs w:val="24"/>
                        </w:rPr>
                        <w:instrText xml:space="preserve"> SEQ Figura_ \* ARABIC </w:instrText>
                      </w:r>
                      <w:r w:rsidR="00BF5CE2" w:rsidRPr="000A0148">
                        <w:rPr>
                          <w:rFonts w:ascii="Arial" w:hAnsi="Arial" w:cs="Arial"/>
                          <w:b/>
                          <w:bCs/>
                          <w:i w:val="0"/>
                          <w:iCs w:val="0"/>
                          <w:color w:val="auto"/>
                          <w:sz w:val="24"/>
                          <w:szCs w:val="24"/>
                        </w:rPr>
                        <w:fldChar w:fldCharType="separate"/>
                      </w:r>
                      <w:r w:rsidR="008D76B2">
                        <w:rPr>
                          <w:rFonts w:ascii="Arial" w:hAnsi="Arial" w:cs="Arial"/>
                          <w:b/>
                          <w:bCs/>
                          <w:i w:val="0"/>
                          <w:iCs w:val="0"/>
                          <w:noProof/>
                          <w:color w:val="auto"/>
                          <w:sz w:val="24"/>
                          <w:szCs w:val="24"/>
                        </w:rPr>
                        <w:t>2</w:t>
                      </w:r>
                      <w:r w:rsidR="00BF5CE2" w:rsidRPr="000A0148">
                        <w:rPr>
                          <w:rFonts w:ascii="Arial" w:hAnsi="Arial" w:cs="Arial"/>
                          <w:b/>
                          <w:bCs/>
                          <w:i w:val="0"/>
                          <w:iCs w:val="0"/>
                          <w:noProof/>
                          <w:color w:val="auto"/>
                          <w:sz w:val="24"/>
                          <w:szCs w:val="24"/>
                        </w:rPr>
                        <w:fldChar w:fldCharType="end"/>
                      </w:r>
                      <w:r w:rsidRPr="000A0148">
                        <w:rPr>
                          <w:rFonts w:ascii="Arial" w:hAnsi="Arial" w:cs="Arial"/>
                          <w:i w:val="0"/>
                          <w:iCs w:val="0"/>
                          <w:color w:val="auto"/>
                          <w:sz w:val="24"/>
                          <w:szCs w:val="24"/>
                        </w:rPr>
                        <w:t>. Organigrama de la Alcaldía de Aguachica</w:t>
                      </w:r>
                      <w:bookmarkEnd w:id="19"/>
                    </w:p>
                  </w:txbxContent>
                </v:textbox>
                <w10:wrap anchorx="margin"/>
              </v:shape>
            </w:pict>
          </mc:Fallback>
        </mc:AlternateContent>
      </w:r>
      <w:r w:rsidR="00F2267F">
        <w:t>1.6</w:t>
      </w:r>
      <w:r w:rsidR="00AC11C8">
        <w:t>.</w:t>
      </w:r>
      <w:r w:rsidR="00F2267F">
        <w:t xml:space="preserve">  </w:t>
      </w:r>
      <w:r w:rsidR="00F2267F" w:rsidRPr="00106035">
        <w:t>ORGANIGRAMA</w:t>
      </w:r>
      <w:bookmarkEnd w:id="17"/>
      <w:r w:rsidR="00F2267F" w:rsidRPr="00106035">
        <w:t xml:space="preserve"> </w:t>
      </w:r>
      <w:r w:rsidR="009F6F7A">
        <w:tab/>
      </w:r>
      <w:r w:rsidR="009F6F7A">
        <w:tab/>
      </w:r>
    </w:p>
    <w:p w14:paraId="2F3F1506" w14:textId="198CF7FE" w:rsidR="008B1DA1" w:rsidRDefault="00BB1BB0" w:rsidP="00BB1BB0">
      <w:pPr>
        <w:rPr>
          <w:rFonts w:ascii="Times New Roman" w:hAnsi="Times New Roman" w:cs="Times New Roman"/>
          <w:szCs w:val="24"/>
        </w:rPr>
      </w:pPr>
      <w:r>
        <w:rPr>
          <w:rFonts w:ascii="Times New Roman" w:hAnsi="Times New Roman" w:cs="Times New Roman"/>
          <w:noProof/>
          <w:szCs w:val="24"/>
        </w:rPr>
        <w:drawing>
          <wp:anchor distT="0" distB="0" distL="114300" distR="114300" simplePos="0" relativeHeight="251717632" behindDoc="0" locked="0" layoutInCell="1" allowOverlap="1" wp14:anchorId="3D1BE7CB" wp14:editId="17261389">
            <wp:simplePos x="0" y="0"/>
            <wp:positionH relativeFrom="margin">
              <wp:posOffset>299720</wp:posOffset>
            </wp:positionH>
            <wp:positionV relativeFrom="paragraph">
              <wp:posOffset>188595</wp:posOffset>
            </wp:positionV>
            <wp:extent cx="7431405" cy="4781550"/>
            <wp:effectExtent l="0" t="0" r="0" b="0"/>
            <wp:wrapNone/>
            <wp:docPr id="535704074"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b="3486"/>
                    <a:stretch>
                      <a:fillRect/>
                    </a:stretch>
                  </pic:blipFill>
                  <pic:spPr bwMode="auto">
                    <a:xfrm>
                      <a:off x="0" y="0"/>
                      <a:ext cx="7432158" cy="4782034"/>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63409D8" w14:textId="77777777" w:rsidR="00BB1BB0" w:rsidRDefault="00BB1BB0" w:rsidP="00BB1BB0">
      <w:pPr>
        <w:rPr>
          <w:rFonts w:ascii="Times New Roman" w:hAnsi="Times New Roman" w:cs="Times New Roman"/>
          <w:szCs w:val="24"/>
        </w:rPr>
      </w:pPr>
    </w:p>
    <w:p w14:paraId="5158F13E" w14:textId="77777777" w:rsidR="00BB1BB0" w:rsidRDefault="00BB1BB0" w:rsidP="00BB1BB0">
      <w:pPr>
        <w:rPr>
          <w:rFonts w:ascii="Times New Roman" w:hAnsi="Times New Roman" w:cs="Times New Roman"/>
          <w:szCs w:val="24"/>
        </w:rPr>
      </w:pPr>
    </w:p>
    <w:p w14:paraId="1290B659" w14:textId="77777777" w:rsidR="00BB1BB0" w:rsidRDefault="00BB1BB0" w:rsidP="00BB1BB0">
      <w:pPr>
        <w:rPr>
          <w:rFonts w:ascii="Times New Roman" w:hAnsi="Times New Roman" w:cs="Times New Roman"/>
          <w:szCs w:val="24"/>
        </w:rPr>
      </w:pPr>
    </w:p>
    <w:p w14:paraId="08103E0D" w14:textId="77777777" w:rsidR="00BB1BB0" w:rsidRDefault="00BB1BB0" w:rsidP="00BB1BB0">
      <w:pPr>
        <w:rPr>
          <w:rFonts w:ascii="Times New Roman" w:hAnsi="Times New Roman" w:cs="Times New Roman"/>
          <w:szCs w:val="24"/>
        </w:rPr>
      </w:pPr>
    </w:p>
    <w:p w14:paraId="31E782D0" w14:textId="77777777" w:rsidR="00BB1BB0" w:rsidRDefault="00BB1BB0" w:rsidP="00BB1BB0">
      <w:pPr>
        <w:rPr>
          <w:rFonts w:ascii="Times New Roman" w:hAnsi="Times New Roman" w:cs="Times New Roman"/>
          <w:szCs w:val="24"/>
        </w:rPr>
      </w:pPr>
    </w:p>
    <w:p w14:paraId="16081899" w14:textId="77777777" w:rsidR="00BB1BB0" w:rsidRDefault="00BB1BB0" w:rsidP="00BB1BB0">
      <w:pPr>
        <w:rPr>
          <w:rFonts w:ascii="Times New Roman" w:hAnsi="Times New Roman" w:cs="Times New Roman"/>
          <w:szCs w:val="24"/>
        </w:rPr>
      </w:pPr>
    </w:p>
    <w:p w14:paraId="726EBE49" w14:textId="77777777" w:rsidR="00BB1BB0" w:rsidRDefault="00BB1BB0" w:rsidP="00BB1BB0">
      <w:pPr>
        <w:rPr>
          <w:rFonts w:ascii="Times New Roman" w:hAnsi="Times New Roman" w:cs="Times New Roman"/>
          <w:szCs w:val="24"/>
        </w:rPr>
      </w:pPr>
    </w:p>
    <w:p w14:paraId="5D242F6B" w14:textId="77777777" w:rsidR="00BB1BB0" w:rsidRDefault="00BB1BB0" w:rsidP="00BB1BB0">
      <w:pPr>
        <w:rPr>
          <w:rFonts w:ascii="Times New Roman" w:hAnsi="Times New Roman" w:cs="Times New Roman"/>
          <w:szCs w:val="24"/>
        </w:rPr>
      </w:pPr>
    </w:p>
    <w:p w14:paraId="2A6A54F8" w14:textId="77777777" w:rsidR="00BB1BB0" w:rsidRDefault="00BB1BB0" w:rsidP="00BB1BB0">
      <w:pPr>
        <w:rPr>
          <w:rFonts w:ascii="Times New Roman" w:hAnsi="Times New Roman" w:cs="Times New Roman"/>
          <w:szCs w:val="24"/>
        </w:rPr>
      </w:pPr>
    </w:p>
    <w:p w14:paraId="5DE40052" w14:textId="77777777" w:rsidR="00BB1BB0" w:rsidRDefault="00BB1BB0" w:rsidP="00BB1BB0">
      <w:pPr>
        <w:rPr>
          <w:rFonts w:ascii="Times New Roman" w:hAnsi="Times New Roman" w:cs="Times New Roman"/>
          <w:szCs w:val="24"/>
        </w:rPr>
      </w:pPr>
    </w:p>
    <w:p w14:paraId="3BAA7B95" w14:textId="77777777" w:rsidR="00BB1BB0" w:rsidRDefault="00BB1BB0" w:rsidP="00BB1BB0">
      <w:pPr>
        <w:rPr>
          <w:rFonts w:ascii="Times New Roman" w:hAnsi="Times New Roman" w:cs="Times New Roman"/>
          <w:szCs w:val="24"/>
        </w:rPr>
      </w:pPr>
    </w:p>
    <w:p w14:paraId="28A49B09" w14:textId="77777777" w:rsidR="00BB1BB0" w:rsidRDefault="00BB1BB0" w:rsidP="00BB1BB0">
      <w:pPr>
        <w:rPr>
          <w:rFonts w:ascii="Times New Roman" w:hAnsi="Times New Roman" w:cs="Times New Roman"/>
          <w:szCs w:val="24"/>
        </w:rPr>
      </w:pPr>
    </w:p>
    <w:p w14:paraId="1F6F9E3C" w14:textId="77777777" w:rsidR="00BB1BB0" w:rsidRDefault="00BB1BB0" w:rsidP="00BB1BB0">
      <w:pPr>
        <w:rPr>
          <w:rFonts w:ascii="Times New Roman" w:hAnsi="Times New Roman" w:cs="Times New Roman"/>
          <w:szCs w:val="24"/>
        </w:rPr>
      </w:pPr>
    </w:p>
    <w:p w14:paraId="2450B58A" w14:textId="724769E4" w:rsidR="00BB1BB0" w:rsidRDefault="00BB1BB0" w:rsidP="00BB1BB0">
      <w:pPr>
        <w:rPr>
          <w:rFonts w:ascii="Times New Roman" w:hAnsi="Times New Roman" w:cs="Times New Roman"/>
          <w:szCs w:val="24"/>
        </w:rPr>
      </w:pPr>
    </w:p>
    <w:p w14:paraId="1A2AA005" w14:textId="5B79D638" w:rsidR="00BB1BB0" w:rsidRPr="000A0148" w:rsidRDefault="000A0148" w:rsidP="00BB1BB0">
      <w:pPr>
        <w:rPr>
          <w:rFonts w:cs="Arial"/>
          <w:szCs w:val="24"/>
        </w:rPr>
      </w:pPr>
      <w:r w:rsidRPr="000A0148">
        <w:rPr>
          <w:rFonts w:cs="Arial"/>
          <w:b/>
          <w:bCs/>
          <w:szCs w:val="24"/>
        </w:rPr>
        <w:t>Fuente</w:t>
      </w:r>
      <w:r>
        <w:rPr>
          <w:rFonts w:cs="Arial"/>
          <w:szCs w:val="24"/>
        </w:rPr>
        <w:t>:</w:t>
      </w:r>
      <w:r w:rsidR="00BB1BB0" w:rsidRPr="000A0148">
        <w:rPr>
          <w:rFonts w:cs="Arial"/>
          <w:szCs w:val="24"/>
        </w:rPr>
        <w:t xml:space="preserve"> Elaboración propia</w:t>
      </w:r>
      <w:r w:rsidR="00177A81">
        <w:rPr>
          <w:rFonts w:cs="Arial"/>
          <w:szCs w:val="24"/>
        </w:rPr>
        <w:t>.</w:t>
      </w:r>
      <w:r w:rsidR="00BB1BB0" w:rsidRPr="000A0148">
        <w:rPr>
          <w:rFonts w:cs="Arial"/>
          <w:szCs w:val="24"/>
        </w:rPr>
        <w:t xml:space="preserve"> </w:t>
      </w:r>
    </w:p>
    <w:p w14:paraId="085AE3D8" w14:textId="1A6FBDAF" w:rsidR="00BB1BB0" w:rsidRPr="00BA6B85" w:rsidRDefault="00BB1BB0" w:rsidP="00BB1BB0">
      <w:pPr>
        <w:rPr>
          <w:rFonts w:ascii="Times New Roman" w:hAnsi="Times New Roman" w:cs="Times New Roman"/>
          <w:szCs w:val="24"/>
        </w:rPr>
        <w:sectPr w:rsidR="00BB1BB0" w:rsidRPr="00BA6B85" w:rsidSect="00BB1BB0">
          <w:pgSz w:w="15840" w:h="12240" w:orient="landscape"/>
          <w:pgMar w:top="1701" w:right="1418" w:bottom="567" w:left="1418" w:header="709" w:footer="709" w:gutter="0"/>
          <w:cols w:space="708"/>
          <w:docGrid w:linePitch="360"/>
        </w:sectPr>
      </w:pPr>
    </w:p>
    <w:p w14:paraId="59EAF05A" w14:textId="04BD344A" w:rsidR="00EE0192" w:rsidRDefault="00EE0192" w:rsidP="00EE0192">
      <w:r>
        <w:lastRenderedPageBreak/>
        <w:t>La Alcaldía Municipal de Aguachica presenta una estructura organizacional de tipo jerárquico y centralizado, en la que el Despacho del alcalde ocupa el nivel superior de autoridad. De él dependen las secretarías, unidades y entes descentralizados que componen el aparato administrativo municipal, entre los que se destacan la Secretaría de Hacienda, la Secretaría de Educación, la Secretaría de Gobierno, la Gerencia de Planeación y la Dirección de Tránsito, además de entidades adscritas como el Hospital Local, ESPA, Fonvisocial e IMDREC.</w:t>
      </w:r>
    </w:p>
    <w:p w14:paraId="2EA73D52" w14:textId="76EFFC5A" w:rsidR="00EE0192" w:rsidRDefault="00EE0192" w:rsidP="00782CA1">
      <w:pPr>
        <w:spacing w:before="480" w:after="480"/>
      </w:pPr>
      <w:r>
        <w:t>Esta estructura permite una clara delimitación de funciones y líneas de autoridad, pero también puede generar cuellos de botella en la toma de decisiones técnicas. Para el área de presupuesto, la articulación con la Secretaría de Hacienda es especialmente relevante, dado que los actos presupuestales requieren validación en varios niveles jerárquicos</w:t>
      </w:r>
    </w:p>
    <w:p w14:paraId="5E61C3BC" w14:textId="60C505E3" w:rsidR="00EB17B4" w:rsidRPr="00EB17B4" w:rsidRDefault="00F2267F" w:rsidP="0030735D">
      <w:pPr>
        <w:pStyle w:val="Ttulo2"/>
      </w:pPr>
      <w:bookmarkStart w:id="20" w:name="_Toc231741416"/>
      <w:r>
        <w:t>1.7</w:t>
      </w:r>
      <w:r w:rsidR="00AC11C8">
        <w:t>.</w:t>
      </w:r>
      <w:r>
        <w:t xml:space="preserve"> </w:t>
      </w:r>
      <w:r w:rsidR="00106035" w:rsidRPr="00106035">
        <w:t>ÁREA ESPECÍFICA DE LA PRÁCTICA</w:t>
      </w:r>
      <w:bookmarkEnd w:id="20"/>
    </w:p>
    <w:p w14:paraId="3B5515F4" w14:textId="77777777" w:rsidR="00EB17B4" w:rsidRPr="00EB17B4" w:rsidRDefault="00EB17B4" w:rsidP="00EB17B4">
      <w:pPr>
        <w:spacing w:before="360"/>
        <w:rPr>
          <w:rFonts w:cs="Arial"/>
          <w:szCs w:val="24"/>
          <w:lang w:val="es-MX"/>
        </w:rPr>
      </w:pPr>
      <w:r w:rsidRPr="00EB17B4">
        <w:rPr>
          <w:rFonts w:cs="Arial"/>
          <w:szCs w:val="24"/>
          <w:lang w:val="es-MX"/>
        </w:rPr>
        <w:t>El desarrollo de la práctica profesional tuvo lugar en la oficina de Presupuesto, dependencia vinculada a la Secretaría de Hacienda y responsable de la programación, ejecución y control del presupuesto municipal. La supervisión estuvo a cargo de la profesional Liliana del Carmen Pinto Leal, quien coordina los procesos de gestión presupuestal y análisis fiscal. El equipo de trabajo lo integran además una asistente administrativa y cinco estudiantes en práctica de los programas de Economía y Administración de Empresas de la Universidad Popular del Cesar, seccional Aguachica.</w:t>
      </w:r>
    </w:p>
    <w:p w14:paraId="4A380DBA" w14:textId="77777777" w:rsidR="00EB17B4" w:rsidRPr="00EB17B4" w:rsidRDefault="00EB17B4" w:rsidP="00EB17B4">
      <w:pPr>
        <w:spacing w:before="480"/>
        <w:rPr>
          <w:rFonts w:cs="Arial"/>
          <w:szCs w:val="24"/>
          <w:lang w:val="es-MX"/>
        </w:rPr>
      </w:pPr>
      <w:r w:rsidRPr="00EB17B4">
        <w:rPr>
          <w:rFonts w:cs="Arial"/>
          <w:szCs w:val="24"/>
          <w:lang w:val="es-MX"/>
        </w:rPr>
        <w:t>Las funciones asignadas durante la práctica incluyeron el apoyo en la actualización del Marco Fiscal de Mediano Plazo 2026-2035, el análisis de pasivos exigibles y el servicio de la deuda pública, el estudio de la cartera municipal, la participación en la gestión de plataformas institucionales como Suite Neptuno, y el apoyo en la elaboración de CDP, RP y documentos para la rendición de cuentas.</w:t>
      </w:r>
    </w:p>
    <w:p w14:paraId="63737B79" w14:textId="77777777" w:rsidR="00EB17B4" w:rsidRPr="00EB17B4" w:rsidRDefault="00EB17B4" w:rsidP="00EB17B4">
      <w:pPr>
        <w:spacing w:before="480"/>
        <w:rPr>
          <w:rFonts w:cs="Arial"/>
          <w:szCs w:val="24"/>
          <w:lang w:val="es-MX"/>
        </w:rPr>
      </w:pPr>
      <w:r w:rsidRPr="00EB17B4">
        <w:rPr>
          <w:rFonts w:cs="Arial"/>
          <w:szCs w:val="24"/>
          <w:lang w:val="es-MX"/>
        </w:rPr>
        <w:t>El horario de trabajo correspondió a cuarenta (40) horas semanales, distribuidas de lunes a jueves en jornada de 8:00 a.m. a 12:00 m. y de 2:00 p.m. a 6:00 p.m., y los viernes de 8:00 a.m. a 12:00 m. y de 1:00 p.m. a 4:00 p.m.</w:t>
      </w:r>
    </w:p>
    <w:p w14:paraId="5DFA4C76" w14:textId="1E727AFC" w:rsidR="00EB17B4" w:rsidRDefault="00EB17B4" w:rsidP="00EB17B4">
      <w:pPr>
        <w:spacing w:before="480"/>
        <w:rPr>
          <w:rFonts w:cs="Arial"/>
          <w:szCs w:val="24"/>
          <w:lang w:val="es-MX"/>
        </w:rPr>
      </w:pPr>
      <w:r w:rsidRPr="00EB17B4">
        <w:rPr>
          <w:rFonts w:cs="Arial"/>
          <w:szCs w:val="24"/>
          <w:lang w:val="es-MX"/>
        </w:rPr>
        <w:t>Desde una perspectiva analítica, el área cumple un rol estratégico dentro de la administración municipal. Sin embargo, las condiciones observadas evidencian limitaciones operativas que representan oportunidades de mejora, aspecto que se profundiza en el diagnóstico del capítulo siguiente.</w:t>
      </w:r>
    </w:p>
    <w:p w14:paraId="5A57B693" w14:textId="5552DED2" w:rsidR="007E2172" w:rsidRPr="00F70F7B" w:rsidRDefault="00231258" w:rsidP="00F70F7B">
      <w:pPr>
        <w:pStyle w:val="Ttulo1"/>
        <w:rPr>
          <w:lang w:val="es-MX"/>
        </w:rPr>
      </w:pPr>
      <w:bookmarkStart w:id="21" w:name="_Toc231741417"/>
      <w:r>
        <w:rPr>
          <w:lang w:val="es-MX"/>
        </w:rPr>
        <w:lastRenderedPageBreak/>
        <w:t>CAPÍTULO II</w:t>
      </w:r>
      <w:bookmarkEnd w:id="21"/>
    </w:p>
    <w:p w14:paraId="643BC310" w14:textId="0E472C95" w:rsidR="00F70F7B" w:rsidRPr="00F70F7B" w:rsidRDefault="00F70F7B" w:rsidP="00F70F7B">
      <w:pPr>
        <w:pStyle w:val="Ttulo1"/>
        <w:rPr>
          <w:lang w:val="es-MX"/>
        </w:rPr>
      </w:pPr>
      <w:bookmarkStart w:id="22" w:name="_Toc231741418"/>
      <w:r w:rsidRPr="00F70F7B">
        <w:rPr>
          <w:lang w:val="es-MX"/>
        </w:rPr>
        <w:t>2.</w:t>
      </w:r>
      <w:r>
        <w:rPr>
          <w:lang w:val="es-MX"/>
        </w:rPr>
        <w:t xml:space="preserve">  </w:t>
      </w:r>
      <w:r w:rsidRPr="00F70F7B">
        <w:rPr>
          <w:lang w:val="es-MX"/>
        </w:rPr>
        <w:t>ACTIVIDADES ESPECÍFICAS DE LA PRÁCTICA PROFESIONAL</w:t>
      </w:r>
      <w:bookmarkEnd w:id="22"/>
    </w:p>
    <w:p w14:paraId="5FE71406" w14:textId="44C7516E" w:rsidR="00F70F7B" w:rsidRPr="00F70F7B" w:rsidRDefault="00BA7C6A" w:rsidP="00BA7C6A">
      <w:pPr>
        <w:spacing w:after="480"/>
        <w:rPr>
          <w:rFonts w:cs="Arial"/>
          <w:szCs w:val="24"/>
          <w:lang w:val="es-MX"/>
        </w:rPr>
      </w:pPr>
      <w:r w:rsidRPr="00BA7C6A">
        <w:rPr>
          <w:rFonts w:cs="Arial"/>
          <w:szCs w:val="24"/>
          <w:lang w:val="es-MX"/>
        </w:rPr>
        <w:t>El desarrollo de la práctica profesional en la Alcaldía Municipal de Aguachica estuvo enfocado en la actualización del Marco Fiscal de Mediano Plazo, a partir del trabajo con información financiera del municipio y el apoyo en procesos propios del área de presupuesto. En este capítulo se presentan las actividades específicas realizadas, así como los elementos que permiten entender su desarrollo, incluyendo el diagnóstico del área, la justificación del trabajo, los objetivos planteados y el plan de actividades.</w:t>
      </w:r>
    </w:p>
    <w:p w14:paraId="5FF4519D" w14:textId="77761F42" w:rsidR="007E2172" w:rsidRDefault="00F70F7B" w:rsidP="0030735D">
      <w:pPr>
        <w:pStyle w:val="Ttulo2"/>
      </w:pPr>
      <w:bookmarkStart w:id="23" w:name="_Toc231741419"/>
      <w:r w:rsidRPr="00F70F7B">
        <w:t>2.1</w:t>
      </w:r>
      <w:r w:rsidR="00AC11C8">
        <w:t>.</w:t>
      </w:r>
      <w:r>
        <w:t xml:space="preserve"> </w:t>
      </w:r>
      <w:r w:rsidRPr="00F70F7B">
        <w:t>NOMBRE DEL TRABAJO</w:t>
      </w:r>
      <w:bookmarkEnd w:id="23"/>
    </w:p>
    <w:p w14:paraId="61E39593" w14:textId="77777777" w:rsidR="005E77A4" w:rsidRDefault="005E77A4" w:rsidP="005E77A4">
      <w:pPr>
        <w:rPr>
          <w:lang w:val="es-MX"/>
        </w:rPr>
      </w:pPr>
      <w:r w:rsidRPr="005E77A4">
        <w:rPr>
          <w:lang w:val="es-MX"/>
        </w:rPr>
        <w:t>Durante el desarrollo de la práctica profesional en el área de Presupuesto de la Alcaldía Municipal de Aguachica, las actividades realizadas se orientaron al análisis fiscal y al manejo de información financiera del municipio, particularmente en relación con los instrumentos de planeación de mediano plazo. En este contexto, el trabajo desarrollado se denomina:</w:t>
      </w:r>
      <w:r>
        <w:rPr>
          <w:lang w:val="es-MX"/>
        </w:rPr>
        <w:t xml:space="preserve"> </w:t>
      </w:r>
    </w:p>
    <w:p w14:paraId="28AECC63" w14:textId="1392776F" w:rsidR="005E77A4" w:rsidRDefault="001D42A8" w:rsidP="00381229">
      <w:pPr>
        <w:spacing w:before="480" w:after="480"/>
        <w:rPr>
          <w:rFonts w:cs="Arial"/>
          <w:szCs w:val="24"/>
          <w:lang w:val="es-MX"/>
        </w:rPr>
      </w:pPr>
      <w:r>
        <w:rPr>
          <w:rFonts w:cs="Arial"/>
          <w:szCs w:val="24"/>
          <w:lang w:val="es-MX"/>
        </w:rPr>
        <w:t>“</w:t>
      </w:r>
      <w:r w:rsidR="007B26DC" w:rsidRPr="007B26DC">
        <w:rPr>
          <w:rFonts w:cs="Arial"/>
          <w:szCs w:val="24"/>
          <w:lang w:val="es-MX"/>
        </w:rPr>
        <w:t>Diseño de estrategias de fortalecimiento presupuestal y modernización fiscal para la actualización del Marco Fiscal de Mediano Plazo del municipio de Aguachica</w:t>
      </w:r>
      <w:r>
        <w:rPr>
          <w:rFonts w:cs="Arial"/>
          <w:szCs w:val="24"/>
          <w:lang w:val="es-MX"/>
        </w:rPr>
        <w:t>”</w:t>
      </w:r>
      <w:r w:rsidR="005E77A4">
        <w:rPr>
          <w:rFonts w:cs="Arial"/>
          <w:szCs w:val="24"/>
          <w:lang w:val="es-MX"/>
        </w:rPr>
        <w:t>.</w:t>
      </w:r>
    </w:p>
    <w:p w14:paraId="5B6825B5" w14:textId="099A13C7" w:rsidR="007E2172" w:rsidRDefault="00F70F7B" w:rsidP="0030735D">
      <w:pPr>
        <w:pStyle w:val="Ttulo2"/>
      </w:pPr>
      <w:bookmarkStart w:id="24" w:name="_Toc231741420"/>
      <w:r>
        <w:t>2.2</w:t>
      </w:r>
      <w:r w:rsidR="00AC11C8">
        <w:t>.</w:t>
      </w:r>
      <w:r>
        <w:t xml:space="preserve"> DIAGNÓSTICO</w:t>
      </w:r>
      <w:bookmarkEnd w:id="24"/>
      <w:r>
        <w:t xml:space="preserve"> </w:t>
      </w:r>
    </w:p>
    <w:p w14:paraId="6EAC889A" w14:textId="427189C0" w:rsidR="00425420" w:rsidRDefault="00425420" w:rsidP="00425420">
      <w:pPr>
        <w:rPr>
          <w:rFonts w:cs="Arial"/>
          <w:szCs w:val="24"/>
          <w:lang w:val="es-MX"/>
        </w:rPr>
      </w:pPr>
      <w:r w:rsidRPr="00425420">
        <w:rPr>
          <w:rFonts w:cs="Arial"/>
          <w:szCs w:val="24"/>
          <w:lang w:val="es-MX"/>
        </w:rPr>
        <w:t>El diagnóstico del área de Presupuesto se elaboró mediante observación directa durante el periodo de práctica, registrando condiciones objetivas sobre el equipo de trabajo, los recursos disponibles y los procesos en operación. Los hallazgos se organizan en los componentes que se describen a continuación.</w:t>
      </w:r>
    </w:p>
    <w:p w14:paraId="13F33A41" w14:textId="4DAFD2EC" w:rsidR="00425420" w:rsidRDefault="003C5E78" w:rsidP="003E2DD7">
      <w:pPr>
        <w:spacing w:before="480"/>
        <w:rPr>
          <w:rFonts w:cs="Arial"/>
          <w:szCs w:val="24"/>
          <w:lang w:val="es-MX"/>
        </w:rPr>
      </w:pPr>
      <w:bookmarkStart w:id="25" w:name="_Toc231741421"/>
      <w:r w:rsidRPr="00B52EBE">
        <w:rPr>
          <w:rStyle w:val="Ttulo3Car"/>
        </w:rPr>
        <w:t>2.2.1 F</w:t>
      </w:r>
      <w:r w:rsidRPr="00B52EBE">
        <w:rPr>
          <w:rStyle w:val="Ttulo3Car"/>
          <w:lang w:val="es-MX"/>
        </w:rPr>
        <w:t>uncionamiento administrativo</w:t>
      </w:r>
      <w:bookmarkEnd w:id="25"/>
      <w:r w:rsidR="00B52EBE">
        <w:rPr>
          <w:rFonts w:cs="Arial"/>
          <w:szCs w:val="24"/>
          <w:lang w:val="es-MX"/>
        </w:rPr>
        <w:t xml:space="preserve">.  </w:t>
      </w:r>
      <w:r w:rsidR="00425420" w:rsidRPr="00425420">
        <w:rPr>
          <w:rFonts w:cs="Arial"/>
          <w:szCs w:val="24"/>
          <w:lang w:val="es-MX"/>
        </w:rPr>
        <w:t>El área cuenta con un equipo reducido: una profesional universitaria que coordina los procesos, una asistente administrativa y cinco estudiantes en práctica. La validación de los actos presupuestales</w:t>
      </w:r>
      <w:r w:rsidR="00425420">
        <w:rPr>
          <w:rFonts w:cs="Arial"/>
          <w:szCs w:val="24"/>
          <w:lang w:val="es-MX"/>
        </w:rPr>
        <w:t xml:space="preserve"> como </w:t>
      </w:r>
      <w:r w:rsidR="00425420" w:rsidRPr="00425420">
        <w:rPr>
          <w:rFonts w:cs="Arial"/>
          <w:szCs w:val="24"/>
          <w:lang w:val="es-MX"/>
        </w:rPr>
        <w:t xml:space="preserve">CDP, RP y modificaciones requiere la firma del secretario de Hacienda y del alcalde encargado, lo que genera múltiples niveles de aprobación para procesos de alta frecuencia. Aunque esta estructura garantiza el cumplimiento normativo, puede ralentizar la ejecución operativa en períodos de alta demanda. La carga de trabajo se distribuye de manera colaborativa, lo que permite dar salida continua a </w:t>
      </w:r>
      <w:r w:rsidR="00425420" w:rsidRPr="00425420">
        <w:rPr>
          <w:rFonts w:cs="Arial"/>
          <w:szCs w:val="24"/>
          <w:lang w:val="es-MX"/>
        </w:rPr>
        <w:lastRenderedPageBreak/>
        <w:t>los requerimientos, aunque esta dinámica informal puede generar inconsistencias en la asignación de responsabilidades.</w:t>
      </w:r>
    </w:p>
    <w:p w14:paraId="6326FF60" w14:textId="400A06DA" w:rsidR="00425420" w:rsidRDefault="003C5E78" w:rsidP="00425420">
      <w:pPr>
        <w:spacing w:before="480"/>
        <w:rPr>
          <w:rFonts w:cs="Arial"/>
          <w:szCs w:val="24"/>
          <w:lang w:val="es-MX"/>
        </w:rPr>
      </w:pPr>
      <w:bookmarkStart w:id="26" w:name="_Toc231741422"/>
      <w:r w:rsidRPr="00B52EBE">
        <w:rPr>
          <w:rStyle w:val="Ttulo3Car"/>
        </w:rPr>
        <w:t>2.2.2 Actividades realizadas en el área</w:t>
      </w:r>
      <w:r w:rsidR="00B52EBE" w:rsidRPr="00B52EBE">
        <w:rPr>
          <w:rStyle w:val="Ttulo3Car"/>
        </w:rPr>
        <w:t>.</w:t>
      </w:r>
      <w:bookmarkEnd w:id="26"/>
      <w:r w:rsidR="00B52EBE">
        <w:rPr>
          <w:rFonts w:cs="Arial"/>
          <w:szCs w:val="24"/>
          <w:lang w:val="es-MX"/>
        </w:rPr>
        <w:t xml:space="preserve">  </w:t>
      </w:r>
      <w:r w:rsidR="00425420" w:rsidRPr="00425420">
        <w:rPr>
          <w:rFonts w:cs="Arial"/>
          <w:szCs w:val="24"/>
          <w:lang w:val="es-MX"/>
        </w:rPr>
        <w:t>Las actividades principales comprenden la elaboración y trámite de CDP y RP, la gestión de modificaciones presupuestales, la elaboración de informes para plataformas nacionales como el MIPG, el manejo del sistema Suite Neptuno y el apoyo en la construcción de documentos fiscales. Cada una de estas actividades demanda precisión técnica, dado que errores en la gestión presupuestal tienen implicaciones legales y financieras directas para el municipio.</w:t>
      </w:r>
    </w:p>
    <w:p w14:paraId="48BCB73E" w14:textId="74DA961B" w:rsidR="009A314F" w:rsidRDefault="003C5E78" w:rsidP="00B636D1">
      <w:pPr>
        <w:spacing w:before="480"/>
        <w:rPr>
          <w:rFonts w:cs="Arial"/>
          <w:szCs w:val="24"/>
          <w:lang w:val="es-MX"/>
        </w:rPr>
      </w:pPr>
      <w:bookmarkStart w:id="27" w:name="_Toc231741423"/>
      <w:r w:rsidRPr="00B52EBE">
        <w:rPr>
          <w:rStyle w:val="Ttulo3Car"/>
        </w:rPr>
        <w:t>2.2.3 Coordinación de las actividades</w:t>
      </w:r>
      <w:r w:rsidR="00B52EBE" w:rsidRPr="00B52EBE">
        <w:rPr>
          <w:rStyle w:val="Ttulo3Car"/>
        </w:rPr>
        <w:t>.</w:t>
      </w:r>
      <w:bookmarkEnd w:id="27"/>
      <w:r w:rsidR="00B52EBE">
        <w:rPr>
          <w:rFonts w:cs="Arial"/>
          <w:szCs w:val="24"/>
          <w:lang w:val="es-MX"/>
        </w:rPr>
        <w:t xml:space="preserve">  </w:t>
      </w:r>
      <w:r w:rsidR="009A314F" w:rsidRPr="009A314F">
        <w:rPr>
          <w:rFonts w:cs="Arial"/>
          <w:szCs w:val="24"/>
          <w:lang w:val="es-MX"/>
        </w:rPr>
        <w:t>La coordinación opera bajo un esquema flexible que combina funciones definidas con apoyo mutuo según las necesidades del momento. Cuando se presentan picos de trabajo, el equipo redistribuye tareas para mantener los plazos. Si bien esto favorece la respuesta ágil, también evidencia la ausencia de una estructura operativa formalmente documentada, lo que puede derivar en dependencia excesiva de dinámicas informales.</w:t>
      </w:r>
    </w:p>
    <w:p w14:paraId="24DDC5DC" w14:textId="1D1AFE51" w:rsidR="00960389" w:rsidRDefault="003C5E78" w:rsidP="00B636D1">
      <w:pPr>
        <w:spacing w:before="480"/>
        <w:rPr>
          <w:rFonts w:cs="Arial"/>
          <w:szCs w:val="24"/>
          <w:lang w:val="es-MX"/>
        </w:rPr>
      </w:pPr>
      <w:bookmarkStart w:id="28" w:name="_Toc231741424"/>
      <w:r w:rsidRPr="00B52EBE">
        <w:rPr>
          <w:rStyle w:val="Ttulo3Car"/>
        </w:rPr>
        <w:t>2.2.4 Infraestructura</w:t>
      </w:r>
      <w:r w:rsidR="00B52EBE" w:rsidRPr="00B52EBE">
        <w:rPr>
          <w:rStyle w:val="Ttulo3Car"/>
        </w:rPr>
        <w:t>.</w:t>
      </w:r>
      <w:bookmarkEnd w:id="28"/>
      <w:r w:rsidR="00B52EBE">
        <w:rPr>
          <w:rFonts w:cs="Arial"/>
          <w:szCs w:val="24"/>
          <w:lang w:val="es-MX"/>
        </w:rPr>
        <w:t xml:space="preserve">  </w:t>
      </w:r>
      <w:r w:rsidR="00960389" w:rsidRPr="00960389">
        <w:rPr>
          <w:rFonts w:cs="Arial"/>
          <w:szCs w:val="24"/>
          <w:lang w:val="es-MX"/>
        </w:rPr>
        <w:t>La oficina no cuenta con un espacio físico amplio ni claramente delimitado por funciones. La profesional tiene un puesto individual, la asistente comparte espacio con otro integrante, y los practicantes trabajan en una mesa compartida sin condiciones ergonómicas adecuadas. Esta configuración favorece la comunicación directa, pero limita la concentración y el rendimiento en actividades analíticas de largo aliento.</w:t>
      </w:r>
    </w:p>
    <w:p w14:paraId="6BED2C2A" w14:textId="35A0FF1A" w:rsidR="00960389" w:rsidRDefault="003C5E78" w:rsidP="00B636D1">
      <w:pPr>
        <w:spacing w:before="480"/>
        <w:rPr>
          <w:rFonts w:cs="Arial"/>
          <w:szCs w:val="24"/>
          <w:lang w:val="es-MX"/>
        </w:rPr>
      </w:pPr>
      <w:bookmarkStart w:id="29" w:name="_Toc231741425"/>
      <w:r w:rsidRPr="00FD424B">
        <w:rPr>
          <w:rStyle w:val="Ttulo3Car"/>
        </w:rPr>
        <w:t xml:space="preserve">2.2.5 </w:t>
      </w:r>
      <w:r w:rsidR="00A1223D">
        <w:rPr>
          <w:rStyle w:val="Ttulo3Car"/>
        </w:rPr>
        <w:t>Recursos tecnológicos</w:t>
      </w:r>
      <w:r w:rsidR="00FD424B" w:rsidRPr="00FD424B">
        <w:rPr>
          <w:rStyle w:val="Ttulo3Car"/>
        </w:rPr>
        <w:t>.</w:t>
      </w:r>
      <w:bookmarkEnd w:id="29"/>
      <w:r w:rsidR="00FD424B">
        <w:rPr>
          <w:rFonts w:cs="Arial"/>
          <w:szCs w:val="24"/>
          <w:lang w:val="es-MX"/>
        </w:rPr>
        <w:t xml:space="preserve">  </w:t>
      </w:r>
      <w:r w:rsidR="00960389" w:rsidRPr="00960389">
        <w:rPr>
          <w:rFonts w:cs="Arial"/>
          <w:szCs w:val="24"/>
          <w:lang w:val="es-MX"/>
        </w:rPr>
        <w:t>La profesional y la asistente disponen de equipos de cómputo institucionales; los practicantes dependen de sus equipos personales. El sistema de información principal es Suite Neptuno, herramienta con limitaciones de velocidad y actualización tecnológica. El acceso a herramientas ofimáticas institucionales es restringido para parte del equipo, y la conexión a internet tiene filtros que limitan el acceso a ciertas plataformas externas.</w:t>
      </w:r>
    </w:p>
    <w:p w14:paraId="1A2CBB78" w14:textId="0828C6BF" w:rsidR="00960389" w:rsidRDefault="003C5E78" w:rsidP="003E2DD7">
      <w:pPr>
        <w:spacing w:before="480"/>
        <w:rPr>
          <w:rFonts w:cs="Arial"/>
          <w:szCs w:val="24"/>
          <w:lang w:val="es-MX"/>
        </w:rPr>
      </w:pPr>
      <w:bookmarkStart w:id="30" w:name="_Toc231741426"/>
      <w:r w:rsidRPr="00FD424B">
        <w:rPr>
          <w:rStyle w:val="Ttulo3Car"/>
        </w:rPr>
        <w:t xml:space="preserve">2.2.6 </w:t>
      </w:r>
      <w:r w:rsidR="00FD424B" w:rsidRPr="00FD424B">
        <w:rPr>
          <w:rStyle w:val="Ttulo3Car"/>
        </w:rPr>
        <w:t>Procesos.</w:t>
      </w:r>
      <w:bookmarkEnd w:id="30"/>
      <w:r w:rsidR="00FD424B">
        <w:rPr>
          <w:rFonts w:cs="Arial"/>
          <w:szCs w:val="24"/>
          <w:lang w:val="es-MX"/>
        </w:rPr>
        <w:t xml:space="preserve">  </w:t>
      </w:r>
      <w:r w:rsidR="0082304C">
        <w:rPr>
          <w:rFonts w:cs="Arial"/>
          <w:szCs w:val="24"/>
          <w:lang w:val="es-MX"/>
        </w:rPr>
        <w:t xml:space="preserve">La </w:t>
      </w:r>
      <w:r w:rsidR="00960389" w:rsidRPr="00960389">
        <w:rPr>
          <w:rFonts w:cs="Arial"/>
          <w:szCs w:val="24"/>
          <w:lang w:val="es-MX"/>
        </w:rPr>
        <w:t>expedición de CDP, RP y modificaciones presupuestales siguen flujos estructurados de hecho, pero no están documentados en manuales formales. Su ejecución depende del conocimiento práctico acumulado por la profesional encargada y de la transmisión informal a los nuevos integrantes. Esta situación genera riesgos de inconsistencia ante cambios en el personal y dificulta la transferencia de conocimiento.</w:t>
      </w:r>
    </w:p>
    <w:p w14:paraId="659F2084" w14:textId="700ADF23" w:rsidR="007A67B2" w:rsidRDefault="001F509F" w:rsidP="001F509F">
      <w:pPr>
        <w:spacing w:before="480"/>
        <w:rPr>
          <w:rFonts w:cs="Arial"/>
          <w:szCs w:val="24"/>
          <w:lang w:val="es-MX"/>
        </w:rPr>
      </w:pPr>
      <w:bookmarkStart w:id="31" w:name="_Toc231741427"/>
      <w:r w:rsidRPr="00135DDF">
        <w:rPr>
          <w:rStyle w:val="Ttulo3Car"/>
        </w:rPr>
        <w:lastRenderedPageBreak/>
        <w:t xml:space="preserve">2.2.7 </w:t>
      </w:r>
      <w:r w:rsidR="00135DDF" w:rsidRPr="00135DDF">
        <w:rPr>
          <w:rStyle w:val="Ttulo3Car"/>
        </w:rPr>
        <w:t>Equipamiento.</w:t>
      </w:r>
      <w:bookmarkEnd w:id="31"/>
      <w:r w:rsidR="00135DDF">
        <w:rPr>
          <w:rFonts w:cs="Arial"/>
          <w:szCs w:val="24"/>
          <w:lang w:val="es-MX"/>
        </w:rPr>
        <w:t xml:space="preserve">  </w:t>
      </w:r>
      <w:r w:rsidR="007A67B2" w:rsidRPr="007A67B2">
        <w:rPr>
          <w:rFonts w:cs="Arial"/>
          <w:szCs w:val="24"/>
          <w:lang w:val="es-MX"/>
        </w:rPr>
        <w:t>El área dispone de mobiliario básico (escritorios, sillas, archivadores y estanterías) suficiente para las actividades administrativas. El manejo documental sigue siendo predominantemente físico, con impresión, organización y archivo manual de soportes presupuestales. Aunque esto garantiza respaldo tangible, implica ineficiencias frente a alternativas digitales más ágiles y seguras.</w:t>
      </w:r>
    </w:p>
    <w:p w14:paraId="2AAEB6E2" w14:textId="27DB10EB" w:rsidR="003035FE" w:rsidRDefault="001F509F" w:rsidP="00135DDF">
      <w:pPr>
        <w:spacing w:before="480"/>
        <w:rPr>
          <w:rFonts w:cs="Arial"/>
          <w:szCs w:val="24"/>
          <w:lang w:val="es-MX"/>
        </w:rPr>
      </w:pPr>
      <w:bookmarkStart w:id="32" w:name="_Toc231741428"/>
      <w:r w:rsidRPr="00135DDF">
        <w:rPr>
          <w:rStyle w:val="Ttulo3Car"/>
        </w:rPr>
        <w:t xml:space="preserve">2.2.8 </w:t>
      </w:r>
      <w:r w:rsidR="00135DDF" w:rsidRPr="00135DDF">
        <w:rPr>
          <w:rStyle w:val="Ttulo3Car"/>
        </w:rPr>
        <w:t>M</w:t>
      </w:r>
      <w:r w:rsidRPr="00135DDF">
        <w:rPr>
          <w:rStyle w:val="Ttulo3Car"/>
          <w:lang w:val="es-MX"/>
        </w:rPr>
        <w:t>atriz DOFA como resultado del análisi</w:t>
      </w:r>
      <w:r w:rsidR="00135DDF" w:rsidRPr="00135DDF">
        <w:rPr>
          <w:rStyle w:val="Ttulo3Car"/>
        </w:rPr>
        <w:t>s.</w:t>
      </w:r>
      <w:bookmarkEnd w:id="32"/>
      <w:r w:rsidR="00135DDF">
        <w:rPr>
          <w:rFonts w:cs="Arial"/>
          <w:szCs w:val="24"/>
          <w:lang w:val="es-MX"/>
        </w:rPr>
        <w:t xml:space="preserve">  </w:t>
      </w:r>
      <w:r w:rsidR="003035FE" w:rsidRPr="003035FE">
        <w:rPr>
          <w:rFonts w:cs="Arial"/>
          <w:szCs w:val="24"/>
          <w:lang w:val="es-MX"/>
        </w:rPr>
        <w:t xml:space="preserve">La matriz DOFA que se presenta a continuación </w:t>
      </w:r>
      <w:r w:rsidR="003035FE">
        <w:rPr>
          <w:rFonts w:cs="Arial"/>
          <w:szCs w:val="24"/>
          <w:lang w:val="es-MX"/>
        </w:rPr>
        <w:t xml:space="preserve">es </w:t>
      </w:r>
      <w:r w:rsidR="003035FE" w:rsidRPr="003035FE">
        <w:rPr>
          <w:rFonts w:cs="Arial"/>
          <w:szCs w:val="24"/>
          <w:lang w:val="es-MX"/>
        </w:rPr>
        <w:t xml:space="preserve">la síntesis del análisis desarrollado previamente sobre las condiciones del área de Presupuesto, en términos de personal, funcionamiento administrativo, actividades, coordinación, infraestructura, tecnología, procesos y equipamiento. </w:t>
      </w:r>
    </w:p>
    <w:p w14:paraId="3DA6D455" w14:textId="30D45312" w:rsidR="007719E7" w:rsidRDefault="003035FE" w:rsidP="003035FE">
      <w:pPr>
        <w:spacing w:before="480"/>
        <w:rPr>
          <w:rFonts w:cs="Arial"/>
          <w:szCs w:val="24"/>
          <w:lang w:val="es-MX"/>
        </w:rPr>
      </w:pPr>
      <w:r>
        <w:rPr>
          <w:rFonts w:cs="Arial"/>
          <w:szCs w:val="24"/>
          <w:lang w:val="es-MX"/>
        </w:rPr>
        <w:t>C</w:t>
      </w:r>
      <w:r w:rsidRPr="003035FE">
        <w:rPr>
          <w:rFonts w:cs="Arial"/>
          <w:szCs w:val="24"/>
          <w:lang w:val="es-MX"/>
        </w:rPr>
        <w:t>ada uno de los factores identificados como fortalezas, debilidades, oportunidades y amenazas se deriva directamente de la información expuesta, permitiendo consolidar de manera estructurada los principales aspectos que inciden en el desempeño del área y facilitando una comprensión integral de su situación actual.</w:t>
      </w:r>
    </w:p>
    <w:p w14:paraId="5F7BDBD0" w14:textId="0230F1EE" w:rsidR="00B36F01" w:rsidRPr="00E16F49" w:rsidRDefault="00BF5CE2" w:rsidP="007719E7">
      <w:pPr>
        <w:pStyle w:val="Descripcin"/>
        <w:keepNext/>
        <w:rPr>
          <w:rFonts w:ascii="Arial" w:hAnsi="Arial" w:cs="Arial"/>
          <w:i w:val="0"/>
          <w:iCs w:val="0"/>
          <w:color w:val="auto"/>
          <w:sz w:val="24"/>
          <w:szCs w:val="24"/>
        </w:rPr>
      </w:pPr>
      <w:bookmarkStart w:id="33" w:name="_Toc231741488"/>
      <w:r w:rsidRPr="00E16F49">
        <w:rPr>
          <w:rFonts w:ascii="Arial" w:hAnsi="Arial" w:cs="Arial"/>
          <w:b/>
          <w:bCs/>
          <w:i w:val="0"/>
          <w:iCs w:val="0"/>
          <w:color w:val="auto"/>
          <w:sz w:val="24"/>
          <w:szCs w:val="24"/>
        </w:rPr>
        <w:t xml:space="preserve">Figura  </w:t>
      </w:r>
      <w:r w:rsidRPr="00E16F49">
        <w:rPr>
          <w:rFonts w:ascii="Arial" w:hAnsi="Arial" w:cs="Arial"/>
          <w:b/>
          <w:bCs/>
          <w:i w:val="0"/>
          <w:iCs w:val="0"/>
          <w:color w:val="auto"/>
          <w:sz w:val="24"/>
          <w:szCs w:val="24"/>
        </w:rPr>
        <w:fldChar w:fldCharType="begin"/>
      </w:r>
      <w:r w:rsidRPr="00E16F49">
        <w:rPr>
          <w:rFonts w:ascii="Arial" w:hAnsi="Arial" w:cs="Arial"/>
          <w:b/>
          <w:bCs/>
          <w:i w:val="0"/>
          <w:iCs w:val="0"/>
          <w:color w:val="auto"/>
          <w:sz w:val="24"/>
          <w:szCs w:val="24"/>
        </w:rPr>
        <w:instrText xml:space="preserve"> SEQ Figura_ \* ARABIC </w:instrText>
      </w:r>
      <w:r w:rsidRPr="00E16F49">
        <w:rPr>
          <w:rFonts w:ascii="Arial" w:hAnsi="Arial" w:cs="Arial"/>
          <w:b/>
          <w:bCs/>
          <w:i w:val="0"/>
          <w:iCs w:val="0"/>
          <w:color w:val="auto"/>
          <w:sz w:val="24"/>
          <w:szCs w:val="24"/>
        </w:rPr>
        <w:fldChar w:fldCharType="separate"/>
      </w:r>
      <w:r w:rsidR="008D76B2">
        <w:rPr>
          <w:rFonts w:ascii="Arial" w:hAnsi="Arial" w:cs="Arial"/>
          <w:b/>
          <w:bCs/>
          <w:i w:val="0"/>
          <w:iCs w:val="0"/>
          <w:noProof/>
          <w:color w:val="auto"/>
          <w:sz w:val="24"/>
          <w:szCs w:val="24"/>
        </w:rPr>
        <w:t>3</w:t>
      </w:r>
      <w:r w:rsidRPr="00E16F49">
        <w:rPr>
          <w:rFonts w:ascii="Arial" w:hAnsi="Arial" w:cs="Arial"/>
          <w:b/>
          <w:bCs/>
          <w:i w:val="0"/>
          <w:iCs w:val="0"/>
          <w:noProof/>
          <w:color w:val="auto"/>
          <w:sz w:val="24"/>
          <w:szCs w:val="24"/>
        </w:rPr>
        <w:fldChar w:fldCharType="end"/>
      </w:r>
      <w:r w:rsidRPr="00E16F49">
        <w:rPr>
          <w:rFonts w:ascii="Arial" w:hAnsi="Arial" w:cs="Arial"/>
          <w:i w:val="0"/>
          <w:iCs w:val="0"/>
          <w:color w:val="auto"/>
          <w:sz w:val="24"/>
          <w:szCs w:val="24"/>
        </w:rPr>
        <w:t>. Matriz DOFA del área de Presupuesto</w:t>
      </w:r>
      <w:bookmarkEnd w:id="33"/>
    </w:p>
    <w:tbl>
      <w:tblPr>
        <w:tblW w:w="5132" w:type="pct"/>
        <w:tblCellMar>
          <w:left w:w="70" w:type="dxa"/>
          <w:right w:w="70" w:type="dxa"/>
        </w:tblCellMar>
        <w:tblLook w:val="04A0" w:firstRow="1" w:lastRow="0" w:firstColumn="1" w:lastColumn="0" w:noHBand="0" w:noVBand="1"/>
      </w:tblPr>
      <w:tblGrid>
        <w:gridCol w:w="562"/>
        <w:gridCol w:w="151"/>
        <w:gridCol w:w="361"/>
        <w:gridCol w:w="3613"/>
        <w:gridCol w:w="370"/>
        <w:gridCol w:w="361"/>
        <w:gridCol w:w="3655"/>
      </w:tblGrid>
      <w:tr w:rsidR="00B36F01" w:rsidRPr="00E16F49" w14:paraId="4F4A2502" w14:textId="77777777" w:rsidTr="002B0091">
        <w:trPr>
          <w:trHeight w:val="579"/>
        </w:trPr>
        <w:tc>
          <w:tcPr>
            <w:tcW w:w="309" w:type="pct"/>
            <w:tcBorders>
              <w:top w:val="nil"/>
              <w:left w:val="nil"/>
              <w:bottom w:val="nil"/>
              <w:right w:val="nil"/>
            </w:tcBorders>
            <w:noWrap/>
            <w:vAlign w:val="center"/>
            <w:hideMark/>
          </w:tcPr>
          <w:p w14:paraId="2DAC98C0" w14:textId="77777777" w:rsidR="00B36F01" w:rsidRPr="00E16F49" w:rsidRDefault="00B36F01" w:rsidP="0062724C">
            <w:pPr>
              <w:spacing w:before="0" w:after="0"/>
              <w:rPr>
                <w:rFonts w:eastAsia="Times New Roman" w:cs="Arial"/>
                <w:szCs w:val="24"/>
                <w:lang w:eastAsia="es-CO"/>
              </w:rPr>
            </w:pPr>
          </w:p>
        </w:tc>
        <w:tc>
          <w:tcPr>
            <w:tcW w:w="83" w:type="pct"/>
            <w:tcBorders>
              <w:top w:val="nil"/>
              <w:left w:val="nil"/>
              <w:bottom w:val="nil"/>
              <w:right w:val="nil"/>
            </w:tcBorders>
            <w:noWrap/>
            <w:vAlign w:val="center"/>
            <w:hideMark/>
          </w:tcPr>
          <w:p w14:paraId="516CBD97" w14:textId="77777777" w:rsidR="00B36F01" w:rsidRPr="00E16F49" w:rsidRDefault="00B36F01" w:rsidP="0062724C">
            <w:pPr>
              <w:spacing w:before="0" w:after="0"/>
              <w:rPr>
                <w:rFonts w:eastAsia="Times New Roman" w:cs="Arial"/>
                <w:szCs w:val="24"/>
                <w:lang w:eastAsia="es-CO"/>
              </w:rPr>
            </w:pPr>
          </w:p>
        </w:tc>
        <w:tc>
          <w:tcPr>
            <w:tcW w:w="2190" w:type="pct"/>
            <w:gridSpan w:val="2"/>
            <w:tcBorders>
              <w:top w:val="nil"/>
              <w:left w:val="nil"/>
              <w:bottom w:val="nil"/>
              <w:right w:val="nil"/>
            </w:tcBorders>
            <w:shd w:val="clear" w:color="000000" w:fill="002060"/>
            <w:noWrap/>
            <w:vAlign w:val="center"/>
            <w:hideMark/>
          </w:tcPr>
          <w:p w14:paraId="53B21A67" w14:textId="77777777" w:rsidR="00B36F01" w:rsidRPr="00E16F49" w:rsidRDefault="00B36F01" w:rsidP="0062724C">
            <w:pPr>
              <w:spacing w:before="0" w:after="0"/>
              <w:jc w:val="center"/>
              <w:rPr>
                <w:rFonts w:eastAsia="Times New Roman" w:cs="Arial"/>
                <w:b/>
                <w:bCs/>
                <w:i/>
                <w:iCs/>
                <w:color w:val="FFFFFF"/>
                <w:szCs w:val="24"/>
                <w:lang w:eastAsia="es-CO"/>
              </w:rPr>
            </w:pPr>
            <w:r w:rsidRPr="00E16F49">
              <w:rPr>
                <w:rFonts w:eastAsia="Times New Roman" w:cs="Arial"/>
                <w:b/>
                <w:bCs/>
                <w:i/>
                <w:iCs/>
                <w:color w:val="FFFFFF"/>
                <w:szCs w:val="24"/>
                <w:lang w:eastAsia="es-CO"/>
              </w:rPr>
              <w:t>Análisis Interno</w:t>
            </w:r>
          </w:p>
        </w:tc>
        <w:tc>
          <w:tcPr>
            <w:tcW w:w="204" w:type="pct"/>
            <w:tcBorders>
              <w:top w:val="nil"/>
              <w:left w:val="nil"/>
              <w:bottom w:val="nil"/>
              <w:right w:val="nil"/>
            </w:tcBorders>
            <w:noWrap/>
            <w:vAlign w:val="center"/>
            <w:hideMark/>
          </w:tcPr>
          <w:p w14:paraId="72ABC55F" w14:textId="77777777" w:rsidR="00B36F01" w:rsidRPr="00E16F49" w:rsidRDefault="00B36F01" w:rsidP="0062724C">
            <w:pPr>
              <w:spacing w:before="0" w:after="0"/>
              <w:jc w:val="center"/>
              <w:rPr>
                <w:rFonts w:eastAsia="Times New Roman" w:cs="Arial"/>
                <w:b/>
                <w:bCs/>
                <w:i/>
                <w:iCs/>
                <w:color w:val="FFFFFF"/>
                <w:szCs w:val="24"/>
                <w:lang w:eastAsia="es-CO"/>
              </w:rPr>
            </w:pPr>
          </w:p>
        </w:tc>
        <w:tc>
          <w:tcPr>
            <w:tcW w:w="2213" w:type="pct"/>
            <w:gridSpan w:val="2"/>
            <w:tcBorders>
              <w:top w:val="nil"/>
              <w:left w:val="nil"/>
              <w:bottom w:val="nil"/>
              <w:right w:val="nil"/>
            </w:tcBorders>
            <w:shd w:val="clear" w:color="000000" w:fill="002060"/>
            <w:noWrap/>
            <w:vAlign w:val="center"/>
            <w:hideMark/>
          </w:tcPr>
          <w:p w14:paraId="42BFB331" w14:textId="77777777" w:rsidR="00B36F01" w:rsidRPr="00E16F49" w:rsidRDefault="00B36F01" w:rsidP="0062724C">
            <w:pPr>
              <w:spacing w:before="0" w:after="0"/>
              <w:jc w:val="center"/>
              <w:rPr>
                <w:rFonts w:eastAsia="Times New Roman" w:cs="Arial"/>
                <w:b/>
                <w:bCs/>
                <w:i/>
                <w:iCs/>
                <w:color w:val="FFFFFF"/>
                <w:szCs w:val="24"/>
                <w:lang w:eastAsia="es-CO"/>
              </w:rPr>
            </w:pPr>
            <w:r w:rsidRPr="00E16F49">
              <w:rPr>
                <w:rFonts w:eastAsia="Times New Roman" w:cs="Arial"/>
                <w:b/>
                <w:bCs/>
                <w:i/>
                <w:iCs/>
                <w:color w:val="FFFFFF"/>
                <w:szCs w:val="24"/>
                <w:lang w:eastAsia="es-CO"/>
              </w:rPr>
              <w:t>Análisis Externo</w:t>
            </w:r>
          </w:p>
        </w:tc>
      </w:tr>
      <w:tr w:rsidR="00B36F01" w:rsidRPr="00E16F49" w14:paraId="16B54346" w14:textId="77777777" w:rsidTr="002B0091">
        <w:trPr>
          <w:trHeight w:val="365"/>
        </w:trPr>
        <w:tc>
          <w:tcPr>
            <w:tcW w:w="309" w:type="pct"/>
            <w:tcBorders>
              <w:top w:val="nil"/>
              <w:left w:val="nil"/>
              <w:bottom w:val="nil"/>
              <w:right w:val="nil"/>
            </w:tcBorders>
            <w:noWrap/>
            <w:vAlign w:val="center"/>
            <w:hideMark/>
          </w:tcPr>
          <w:p w14:paraId="6A7A9F22" w14:textId="77777777" w:rsidR="00B36F01" w:rsidRPr="00E16F49" w:rsidRDefault="00B36F01" w:rsidP="0062724C">
            <w:pPr>
              <w:spacing w:before="0" w:after="0"/>
              <w:jc w:val="center"/>
              <w:rPr>
                <w:rFonts w:eastAsia="Times New Roman" w:cs="Arial"/>
                <w:b/>
                <w:bCs/>
                <w:i/>
                <w:iCs/>
                <w:color w:val="FFFFFF"/>
                <w:szCs w:val="24"/>
                <w:lang w:eastAsia="es-CO"/>
              </w:rPr>
            </w:pPr>
          </w:p>
        </w:tc>
        <w:tc>
          <w:tcPr>
            <w:tcW w:w="83" w:type="pct"/>
            <w:tcBorders>
              <w:top w:val="nil"/>
              <w:left w:val="nil"/>
              <w:bottom w:val="nil"/>
              <w:right w:val="nil"/>
            </w:tcBorders>
            <w:noWrap/>
            <w:vAlign w:val="center"/>
            <w:hideMark/>
          </w:tcPr>
          <w:p w14:paraId="7D37BA48" w14:textId="77777777" w:rsidR="00B36F01" w:rsidRPr="00E16F49" w:rsidRDefault="00B36F01" w:rsidP="0062724C">
            <w:pPr>
              <w:spacing w:before="0" w:after="0"/>
              <w:rPr>
                <w:rFonts w:eastAsia="Times New Roman" w:cs="Arial"/>
                <w:szCs w:val="24"/>
                <w:lang w:eastAsia="es-CO"/>
              </w:rPr>
            </w:pPr>
          </w:p>
        </w:tc>
        <w:tc>
          <w:tcPr>
            <w:tcW w:w="199" w:type="pct"/>
            <w:tcBorders>
              <w:top w:val="nil"/>
              <w:left w:val="nil"/>
              <w:bottom w:val="nil"/>
              <w:right w:val="nil"/>
            </w:tcBorders>
            <w:noWrap/>
            <w:vAlign w:val="center"/>
            <w:hideMark/>
          </w:tcPr>
          <w:p w14:paraId="5DF261AD" w14:textId="77777777" w:rsidR="00B36F01" w:rsidRPr="00E16F49" w:rsidRDefault="00B36F01" w:rsidP="0062724C">
            <w:pPr>
              <w:spacing w:before="0" w:after="0"/>
              <w:rPr>
                <w:rFonts w:eastAsia="Times New Roman" w:cs="Arial"/>
                <w:szCs w:val="24"/>
                <w:lang w:eastAsia="es-CO"/>
              </w:rPr>
            </w:pPr>
          </w:p>
        </w:tc>
        <w:tc>
          <w:tcPr>
            <w:tcW w:w="1990" w:type="pct"/>
            <w:tcBorders>
              <w:top w:val="nil"/>
              <w:left w:val="nil"/>
              <w:bottom w:val="nil"/>
              <w:right w:val="nil"/>
            </w:tcBorders>
            <w:noWrap/>
            <w:vAlign w:val="center"/>
            <w:hideMark/>
          </w:tcPr>
          <w:p w14:paraId="369A1E10" w14:textId="77777777" w:rsidR="00B36F01" w:rsidRPr="00E16F49" w:rsidRDefault="00B36F01" w:rsidP="0062724C">
            <w:pPr>
              <w:spacing w:before="0" w:after="0"/>
              <w:rPr>
                <w:rFonts w:eastAsia="Times New Roman" w:cs="Arial"/>
                <w:szCs w:val="24"/>
                <w:lang w:eastAsia="es-CO"/>
              </w:rPr>
            </w:pPr>
          </w:p>
        </w:tc>
        <w:tc>
          <w:tcPr>
            <w:tcW w:w="204" w:type="pct"/>
            <w:tcBorders>
              <w:top w:val="nil"/>
              <w:left w:val="nil"/>
              <w:bottom w:val="nil"/>
              <w:right w:val="nil"/>
            </w:tcBorders>
            <w:noWrap/>
            <w:vAlign w:val="center"/>
            <w:hideMark/>
          </w:tcPr>
          <w:p w14:paraId="51801B16" w14:textId="77777777" w:rsidR="00B36F01" w:rsidRPr="00E16F49" w:rsidRDefault="00B36F01" w:rsidP="0062724C">
            <w:pPr>
              <w:spacing w:before="0" w:after="0"/>
              <w:rPr>
                <w:rFonts w:eastAsia="Times New Roman" w:cs="Arial"/>
                <w:szCs w:val="24"/>
                <w:lang w:eastAsia="es-CO"/>
              </w:rPr>
            </w:pPr>
          </w:p>
        </w:tc>
        <w:tc>
          <w:tcPr>
            <w:tcW w:w="199" w:type="pct"/>
            <w:tcBorders>
              <w:top w:val="nil"/>
              <w:left w:val="nil"/>
              <w:bottom w:val="nil"/>
              <w:right w:val="nil"/>
            </w:tcBorders>
            <w:noWrap/>
            <w:vAlign w:val="center"/>
            <w:hideMark/>
          </w:tcPr>
          <w:p w14:paraId="3A9BFB93" w14:textId="77777777" w:rsidR="00B36F01" w:rsidRPr="00E16F49" w:rsidRDefault="00B36F01" w:rsidP="0062724C">
            <w:pPr>
              <w:spacing w:before="0" w:after="0"/>
              <w:rPr>
                <w:rFonts w:eastAsia="Times New Roman" w:cs="Arial"/>
                <w:szCs w:val="24"/>
                <w:lang w:eastAsia="es-CO"/>
              </w:rPr>
            </w:pPr>
          </w:p>
        </w:tc>
        <w:tc>
          <w:tcPr>
            <w:tcW w:w="2013" w:type="pct"/>
            <w:tcBorders>
              <w:top w:val="nil"/>
              <w:left w:val="nil"/>
              <w:bottom w:val="nil"/>
              <w:right w:val="nil"/>
            </w:tcBorders>
            <w:noWrap/>
            <w:vAlign w:val="center"/>
            <w:hideMark/>
          </w:tcPr>
          <w:p w14:paraId="0D0F156A" w14:textId="77777777" w:rsidR="00B36F01" w:rsidRPr="00E16F49" w:rsidRDefault="00B36F01" w:rsidP="0062724C">
            <w:pPr>
              <w:spacing w:before="0" w:after="0"/>
              <w:rPr>
                <w:rFonts w:eastAsia="Times New Roman" w:cs="Arial"/>
                <w:szCs w:val="24"/>
                <w:lang w:eastAsia="es-CO"/>
              </w:rPr>
            </w:pPr>
          </w:p>
        </w:tc>
      </w:tr>
      <w:tr w:rsidR="00B36F01" w:rsidRPr="00E16F49" w14:paraId="59862FC0" w14:textId="77777777" w:rsidTr="002B0091">
        <w:trPr>
          <w:trHeight w:val="579"/>
        </w:trPr>
        <w:tc>
          <w:tcPr>
            <w:tcW w:w="309" w:type="pct"/>
            <w:vMerge w:val="restart"/>
            <w:tcBorders>
              <w:top w:val="nil"/>
              <w:left w:val="nil"/>
              <w:bottom w:val="nil"/>
              <w:right w:val="nil"/>
            </w:tcBorders>
            <w:shd w:val="clear" w:color="000000" w:fill="002060"/>
            <w:noWrap/>
            <w:textDirection w:val="btLr"/>
            <w:vAlign w:val="center"/>
            <w:hideMark/>
          </w:tcPr>
          <w:p w14:paraId="42E29E02" w14:textId="77777777" w:rsidR="00B36F01" w:rsidRPr="00E16F49" w:rsidRDefault="00B36F01" w:rsidP="0062724C">
            <w:pPr>
              <w:spacing w:before="0" w:after="0"/>
              <w:jc w:val="center"/>
              <w:rPr>
                <w:rFonts w:eastAsia="Times New Roman" w:cs="Arial"/>
                <w:b/>
                <w:bCs/>
                <w:i/>
                <w:iCs/>
                <w:color w:val="FFFFFF"/>
                <w:szCs w:val="24"/>
                <w:lang w:eastAsia="es-CO"/>
              </w:rPr>
            </w:pPr>
            <w:r w:rsidRPr="00E16F49">
              <w:rPr>
                <w:rFonts w:eastAsia="Times New Roman" w:cs="Arial"/>
                <w:b/>
                <w:bCs/>
                <w:i/>
                <w:iCs/>
                <w:color w:val="FFFFFF"/>
                <w:szCs w:val="24"/>
                <w:lang w:eastAsia="es-CO"/>
              </w:rPr>
              <w:t>Aspectos Negativos</w:t>
            </w:r>
          </w:p>
        </w:tc>
        <w:tc>
          <w:tcPr>
            <w:tcW w:w="83" w:type="pct"/>
            <w:tcBorders>
              <w:top w:val="nil"/>
              <w:left w:val="nil"/>
              <w:bottom w:val="nil"/>
              <w:right w:val="nil"/>
            </w:tcBorders>
            <w:noWrap/>
            <w:vAlign w:val="center"/>
            <w:hideMark/>
          </w:tcPr>
          <w:p w14:paraId="0AD49ACE" w14:textId="77777777" w:rsidR="00B36F01" w:rsidRPr="00E16F49" w:rsidRDefault="00B36F01" w:rsidP="0062724C">
            <w:pPr>
              <w:spacing w:before="0" w:after="0"/>
              <w:jc w:val="center"/>
              <w:rPr>
                <w:rFonts w:eastAsia="Times New Roman" w:cs="Arial"/>
                <w:b/>
                <w:bCs/>
                <w:i/>
                <w:iCs/>
                <w:color w:val="FFFFFF"/>
                <w:szCs w:val="24"/>
                <w:lang w:eastAsia="es-CO"/>
              </w:rPr>
            </w:pPr>
          </w:p>
        </w:tc>
        <w:tc>
          <w:tcPr>
            <w:tcW w:w="199" w:type="pct"/>
            <w:tcBorders>
              <w:top w:val="single" w:sz="4" w:space="0" w:color="F4B084"/>
              <w:left w:val="single" w:sz="4" w:space="0" w:color="F4B084"/>
              <w:bottom w:val="single" w:sz="4" w:space="0" w:color="F4B084"/>
              <w:right w:val="nil"/>
            </w:tcBorders>
            <w:shd w:val="clear" w:color="ED7D31" w:fill="ED7D31"/>
            <w:noWrap/>
            <w:vAlign w:val="center"/>
            <w:hideMark/>
          </w:tcPr>
          <w:p w14:paraId="19438FC7" w14:textId="1C7DD345" w:rsidR="00B36F01" w:rsidRPr="00E16F49" w:rsidRDefault="00B36F01" w:rsidP="0062724C">
            <w:pPr>
              <w:spacing w:before="0" w:after="0"/>
              <w:jc w:val="center"/>
              <w:rPr>
                <w:rFonts w:eastAsia="Times New Roman" w:cs="Arial"/>
                <w:b/>
                <w:bCs/>
                <w:color w:val="FFFFFF"/>
                <w:szCs w:val="24"/>
                <w:lang w:eastAsia="es-CO"/>
              </w:rPr>
            </w:pPr>
          </w:p>
        </w:tc>
        <w:tc>
          <w:tcPr>
            <w:tcW w:w="1990" w:type="pct"/>
            <w:tcBorders>
              <w:top w:val="single" w:sz="4" w:space="0" w:color="F4B084"/>
              <w:left w:val="nil"/>
              <w:bottom w:val="single" w:sz="4" w:space="0" w:color="F4B084"/>
              <w:right w:val="single" w:sz="4" w:space="0" w:color="F4B084"/>
            </w:tcBorders>
            <w:shd w:val="clear" w:color="ED7D31" w:fill="ED7D31"/>
            <w:noWrap/>
            <w:vAlign w:val="center"/>
            <w:hideMark/>
          </w:tcPr>
          <w:p w14:paraId="4FEF8EF2" w14:textId="77777777" w:rsidR="00B36F01" w:rsidRPr="00E16F49" w:rsidRDefault="00B36F01" w:rsidP="0062724C">
            <w:pPr>
              <w:spacing w:before="0" w:after="0"/>
              <w:jc w:val="center"/>
              <w:rPr>
                <w:rFonts w:eastAsia="Times New Roman" w:cs="Arial"/>
                <w:b/>
                <w:bCs/>
                <w:color w:val="FFFFFF"/>
                <w:szCs w:val="24"/>
                <w:lang w:eastAsia="es-CO"/>
              </w:rPr>
            </w:pPr>
            <w:r w:rsidRPr="00E16F49">
              <w:rPr>
                <w:rFonts w:eastAsia="Times New Roman" w:cs="Arial"/>
                <w:b/>
                <w:bCs/>
                <w:color w:val="FFFFFF"/>
                <w:szCs w:val="24"/>
                <w:lang w:eastAsia="es-CO"/>
              </w:rPr>
              <w:t>Debilidades</w:t>
            </w:r>
          </w:p>
        </w:tc>
        <w:tc>
          <w:tcPr>
            <w:tcW w:w="204" w:type="pct"/>
            <w:tcBorders>
              <w:top w:val="nil"/>
              <w:left w:val="nil"/>
              <w:bottom w:val="nil"/>
              <w:right w:val="nil"/>
            </w:tcBorders>
            <w:noWrap/>
            <w:vAlign w:val="center"/>
            <w:hideMark/>
          </w:tcPr>
          <w:p w14:paraId="344BC8F5" w14:textId="77777777" w:rsidR="00B36F01" w:rsidRPr="00E16F49" w:rsidRDefault="00B36F01" w:rsidP="0062724C">
            <w:pPr>
              <w:spacing w:before="0" w:after="0"/>
              <w:jc w:val="center"/>
              <w:rPr>
                <w:rFonts w:eastAsia="Times New Roman" w:cs="Arial"/>
                <w:b/>
                <w:bCs/>
                <w:color w:val="FFFFFF"/>
                <w:szCs w:val="24"/>
                <w:lang w:eastAsia="es-CO"/>
              </w:rPr>
            </w:pPr>
          </w:p>
        </w:tc>
        <w:tc>
          <w:tcPr>
            <w:tcW w:w="199" w:type="pct"/>
            <w:tcBorders>
              <w:top w:val="single" w:sz="4" w:space="0" w:color="FFD966"/>
              <w:left w:val="single" w:sz="4" w:space="0" w:color="FFD966"/>
              <w:bottom w:val="single" w:sz="4" w:space="0" w:color="FFD966"/>
              <w:right w:val="nil"/>
            </w:tcBorders>
            <w:shd w:val="clear" w:color="FFC000" w:fill="FFC000"/>
            <w:noWrap/>
            <w:vAlign w:val="center"/>
            <w:hideMark/>
          </w:tcPr>
          <w:p w14:paraId="5A69402F" w14:textId="221EB31E" w:rsidR="00B36F01" w:rsidRPr="00E16F49" w:rsidRDefault="00B36F01" w:rsidP="0062724C">
            <w:pPr>
              <w:spacing w:before="0" w:after="0"/>
              <w:jc w:val="center"/>
              <w:rPr>
                <w:rFonts w:eastAsia="Times New Roman" w:cs="Arial"/>
                <w:b/>
                <w:bCs/>
                <w:color w:val="FFFFFF"/>
                <w:szCs w:val="24"/>
                <w:lang w:eastAsia="es-CO"/>
              </w:rPr>
            </w:pPr>
          </w:p>
        </w:tc>
        <w:tc>
          <w:tcPr>
            <w:tcW w:w="2013" w:type="pct"/>
            <w:tcBorders>
              <w:top w:val="single" w:sz="4" w:space="0" w:color="FFD966"/>
              <w:left w:val="nil"/>
              <w:bottom w:val="single" w:sz="4" w:space="0" w:color="FFD966"/>
              <w:right w:val="single" w:sz="4" w:space="0" w:color="FFD966"/>
            </w:tcBorders>
            <w:shd w:val="clear" w:color="FFC000" w:fill="FFC000"/>
            <w:noWrap/>
            <w:vAlign w:val="center"/>
            <w:hideMark/>
          </w:tcPr>
          <w:p w14:paraId="12D03B78" w14:textId="77777777" w:rsidR="00B36F01" w:rsidRPr="00E16F49" w:rsidRDefault="00B36F01" w:rsidP="0062724C">
            <w:pPr>
              <w:spacing w:before="0" w:after="0"/>
              <w:jc w:val="center"/>
              <w:rPr>
                <w:rFonts w:eastAsia="Times New Roman" w:cs="Arial"/>
                <w:b/>
                <w:bCs/>
                <w:color w:val="FFFFFF"/>
                <w:szCs w:val="24"/>
                <w:lang w:eastAsia="es-CO"/>
              </w:rPr>
            </w:pPr>
            <w:r w:rsidRPr="00E16F49">
              <w:rPr>
                <w:rFonts w:eastAsia="Times New Roman" w:cs="Arial"/>
                <w:b/>
                <w:bCs/>
                <w:color w:val="FFFFFF"/>
                <w:szCs w:val="24"/>
                <w:lang w:eastAsia="es-CO"/>
              </w:rPr>
              <w:t>Amenazas</w:t>
            </w:r>
          </w:p>
        </w:tc>
      </w:tr>
      <w:tr w:rsidR="007719E7" w:rsidRPr="00E16F49" w14:paraId="7CAB95E6" w14:textId="77777777" w:rsidTr="002B0091">
        <w:trPr>
          <w:trHeight w:val="579"/>
        </w:trPr>
        <w:tc>
          <w:tcPr>
            <w:tcW w:w="309" w:type="pct"/>
            <w:vMerge/>
            <w:tcBorders>
              <w:top w:val="nil"/>
              <w:left w:val="nil"/>
              <w:bottom w:val="nil"/>
              <w:right w:val="nil"/>
            </w:tcBorders>
            <w:vAlign w:val="center"/>
            <w:hideMark/>
          </w:tcPr>
          <w:p w14:paraId="0BE2CBB2" w14:textId="77777777" w:rsidR="007719E7" w:rsidRPr="00E16F49" w:rsidRDefault="007719E7" w:rsidP="007719E7">
            <w:pPr>
              <w:spacing w:before="0" w:after="0"/>
              <w:rPr>
                <w:rFonts w:eastAsia="Times New Roman" w:cs="Arial"/>
                <w:b/>
                <w:bCs/>
                <w:i/>
                <w:iCs/>
                <w:color w:val="FFFFFF"/>
                <w:szCs w:val="24"/>
                <w:lang w:eastAsia="es-CO"/>
              </w:rPr>
            </w:pPr>
          </w:p>
        </w:tc>
        <w:tc>
          <w:tcPr>
            <w:tcW w:w="83" w:type="pct"/>
            <w:tcBorders>
              <w:top w:val="nil"/>
              <w:left w:val="nil"/>
              <w:bottom w:val="nil"/>
              <w:right w:val="nil"/>
            </w:tcBorders>
            <w:noWrap/>
            <w:vAlign w:val="center"/>
            <w:hideMark/>
          </w:tcPr>
          <w:p w14:paraId="16AD1135" w14:textId="77777777" w:rsidR="007719E7" w:rsidRPr="00E16F49" w:rsidRDefault="007719E7" w:rsidP="007719E7">
            <w:pPr>
              <w:spacing w:before="0" w:after="0"/>
              <w:jc w:val="center"/>
              <w:rPr>
                <w:rFonts w:eastAsia="Times New Roman" w:cs="Arial"/>
                <w:b/>
                <w:bCs/>
                <w:color w:val="FFFFFF"/>
                <w:szCs w:val="24"/>
                <w:lang w:eastAsia="es-CO"/>
              </w:rPr>
            </w:pPr>
          </w:p>
        </w:tc>
        <w:tc>
          <w:tcPr>
            <w:tcW w:w="199" w:type="pct"/>
            <w:tcBorders>
              <w:top w:val="single" w:sz="4" w:space="0" w:color="F4B084"/>
              <w:left w:val="single" w:sz="4" w:space="0" w:color="F4B084"/>
              <w:bottom w:val="single" w:sz="4" w:space="0" w:color="F4B084"/>
              <w:right w:val="nil"/>
            </w:tcBorders>
            <w:shd w:val="clear" w:color="FCE4D6" w:fill="FCE4D6"/>
            <w:noWrap/>
            <w:vAlign w:val="center"/>
            <w:hideMark/>
          </w:tcPr>
          <w:p w14:paraId="0879D1CF" w14:textId="77777777" w:rsidR="007719E7" w:rsidRPr="00E16F49" w:rsidRDefault="007719E7" w:rsidP="007719E7">
            <w:pPr>
              <w:spacing w:before="0" w:after="0"/>
              <w:jc w:val="center"/>
              <w:rPr>
                <w:rFonts w:eastAsia="Times New Roman" w:cs="Arial"/>
                <w:b/>
                <w:bCs/>
                <w:color w:val="000000"/>
                <w:szCs w:val="24"/>
                <w:lang w:eastAsia="es-CO"/>
              </w:rPr>
            </w:pPr>
            <w:r w:rsidRPr="00E16F49">
              <w:rPr>
                <w:rFonts w:eastAsia="Times New Roman" w:cs="Arial"/>
                <w:b/>
                <w:bCs/>
                <w:color w:val="000000"/>
                <w:szCs w:val="24"/>
                <w:lang w:eastAsia="es-CO"/>
              </w:rPr>
              <w:t>1</w:t>
            </w:r>
          </w:p>
        </w:tc>
        <w:tc>
          <w:tcPr>
            <w:tcW w:w="1990" w:type="pct"/>
            <w:tcBorders>
              <w:top w:val="single" w:sz="4" w:space="0" w:color="F4B084"/>
              <w:left w:val="nil"/>
              <w:bottom w:val="single" w:sz="4" w:space="0" w:color="F4B084"/>
              <w:right w:val="single" w:sz="4" w:space="0" w:color="F4B084"/>
            </w:tcBorders>
            <w:shd w:val="clear" w:color="FCE4D6" w:fill="FCE4D6"/>
            <w:hideMark/>
          </w:tcPr>
          <w:p w14:paraId="4472A47A" w14:textId="401FF350" w:rsidR="007719E7" w:rsidRPr="00E16F49" w:rsidRDefault="007719E7" w:rsidP="007719E7">
            <w:pPr>
              <w:spacing w:before="0" w:after="0"/>
              <w:jc w:val="center"/>
              <w:rPr>
                <w:rFonts w:eastAsia="Times New Roman" w:cs="Arial"/>
                <w:b/>
                <w:bCs/>
                <w:color w:val="000000"/>
                <w:szCs w:val="24"/>
                <w:lang w:eastAsia="es-CO"/>
              </w:rPr>
            </w:pPr>
            <w:r w:rsidRPr="00E16F49">
              <w:rPr>
                <w:rFonts w:cs="Arial"/>
                <w:szCs w:val="24"/>
              </w:rPr>
              <w:t>Limitada infraestructura física y condiciones ergonómicas inadecuadas</w:t>
            </w:r>
          </w:p>
        </w:tc>
        <w:tc>
          <w:tcPr>
            <w:tcW w:w="204" w:type="pct"/>
            <w:tcBorders>
              <w:top w:val="nil"/>
              <w:left w:val="nil"/>
              <w:bottom w:val="nil"/>
              <w:right w:val="nil"/>
            </w:tcBorders>
            <w:noWrap/>
            <w:vAlign w:val="center"/>
            <w:hideMark/>
          </w:tcPr>
          <w:p w14:paraId="7D1CB196" w14:textId="77777777" w:rsidR="007719E7" w:rsidRPr="00E16F49" w:rsidRDefault="007719E7" w:rsidP="007719E7">
            <w:pPr>
              <w:spacing w:before="0" w:after="0"/>
              <w:rPr>
                <w:rFonts w:eastAsia="Times New Roman" w:cs="Arial"/>
                <w:szCs w:val="24"/>
                <w:lang w:eastAsia="es-CO"/>
              </w:rPr>
            </w:pPr>
          </w:p>
        </w:tc>
        <w:tc>
          <w:tcPr>
            <w:tcW w:w="199" w:type="pct"/>
            <w:tcBorders>
              <w:top w:val="single" w:sz="4" w:space="0" w:color="FFD966"/>
              <w:left w:val="single" w:sz="4" w:space="0" w:color="FFD966"/>
              <w:bottom w:val="single" w:sz="4" w:space="0" w:color="FFD966"/>
              <w:right w:val="nil"/>
            </w:tcBorders>
            <w:shd w:val="clear" w:color="FFF2CC" w:fill="FFF2CC"/>
            <w:noWrap/>
            <w:vAlign w:val="center"/>
            <w:hideMark/>
          </w:tcPr>
          <w:p w14:paraId="50D5BC74" w14:textId="77777777" w:rsidR="007719E7" w:rsidRPr="00E16F49" w:rsidRDefault="007719E7" w:rsidP="007719E7">
            <w:pPr>
              <w:spacing w:before="0" w:after="0"/>
              <w:jc w:val="center"/>
              <w:rPr>
                <w:rFonts w:eastAsia="Times New Roman" w:cs="Arial"/>
                <w:b/>
                <w:bCs/>
                <w:color w:val="000000"/>
                <w:szCs w:val="24"/>
                <w:lang w:eastAsia="es-CO"/>
              </w:rPr>
            </w:pPr>
            <w:r w:rsidRPr="00E16F49">
              <w:rPr>
                <w:rFonts w:eastAsia="Times New Roman" w:cs="Arial"/>
                <w:b/>
                <w:bCs/>
                <w:color w:val="000000"/>
                <w:szCs w:val="24"/>
                <w:lang w:eastAsia="es-CO"/>
              </w:rPr>
              <w:t>1</w:t>
            </w:r>
          </w:p>
        </w:tc>
        <w:tc>
          <w:tcPr>
            <w:tcW w:w="2013" w:type="pct"/>
            <w:tcBorders>
              <w:top w:val="single" w:sz="4" w:space="0" w:color="FFD966"/>
              <w:left w:val="nil"/>
              <w:bottom w:val="single" w:sz="4" w:space="0" w:color="FFD966"/>
              <w:right w:val="single" w:sz="4" w:space="0" w:color="FFD966"/>
            </w:tcBorders>
            <w:shd w:val="clear" w:color="FFF2CC" w:fill="FFF2CC"/>
            <w:hideMark/>
          </w:tcPr>
          <w:p w14:paraId="32AB9CD0" w14:textId="4C6670E6" w:rsidR="007719E7" w:rsidRPr="00E16F49" w:rsidRDefault="007719E7" w:rsidP="007719E7">
            <w:pPr>
              <w:spacing w:before="0" w:after="0"/>
              <w:jc w:val="center"/>
              <w:rPr>
                <w:rFonts w:eastAsia="Times New Roman" w:cs="Arial"/>
                <w:b/>
                <w:bCs/>
                <w:color w:val="000000"/>
                <w:szCs w:val="24"/>
                <w:lang w:eastAsia="es-CO"/>
              </w:rPr>
            </w:pPr>
            <w:r w:rsidRPr="00E16F49">
              <w:rPr>
                <w:rFonts w:cs="Arial"/>
                <w:szCs w:val="24"/>
              </w:rPr>
              <w:t>Alta carga laboral y acumulación de actividades</w:t>
            </w:r>
          </w:p>
        </w:tc>
      </w:tr>
      <w:tr w:rsidR="007719E7" w:rsidRPr="00E16F49" w14:paraId="676A8E8D" w14:textId="77777777" w:rsidTr="002B0091">
        <w:trPr>
          <w:trHeight w:val="579"/>
        </w:trPr>
        <w:tc>
          <w:tcPr>
            <w:tcW w:w="309" w:type="pct"/>
            <w:vMerge/>
            <w:tcBorders>
              <w:top w:val="nil"/>
              <w:left w:val="nil"/>
              <w:bottom w:val="nil"/>
              <w:right w:val="nil"/>
            </w:tcBorders>
            <w:vAlign w:val="center"/>
            <w:hideMark/>
          </w:tcPr>
          <w:p w14:paraId="5DA29D8D" w14:textId="77777777" w:rsidR="007719E7" w:rsidRPr="00E16F49" w:rsidRDefault="007719E7" w:rsidP="007719E7">
            <w:pPr>
              <w:spacing w:before="0" w:after="0"/>
              <w:rPr>
                <w:rFonts w:eastAsia="Times New Roman" w:cs="Arial"/>
                <w:b/>
                <w:bCs/>
                <w:i/>
                <w:iCs/>
                <w:color w:val="FFFFFF"/>
                <w:szCs w:val="24"/>
                <w:lang w:eastAsia="es-CO"/>
              </w:rPr>
            </w:pPr>
          </w:p>
        </w:tc>
        <w:tc>
          <w:tcPr>
            <w:tcW w:w="83" w:type="pct"/>
            <w:tcBorders>
              <w:top w:val="nil"/>
              <w:left w:val="nil"/>
              <w:bottom w:val="nil"/>
              <w:right w:val="nil"/>
            </w:tcBorders>
            <w:noWrap/>
            <w:vAlign w:val="center"/>
            <w:hideMark/>
          </w:tcPr>
          <w:p w14:paraId="428313F2" w14:textId="77777777" w:rsidR="007719E7" w:rsidRPr="00E16F49" w:rsidRDefault="007719E7" w:rsidP="007719E7">
            <w:pPr>
              <w:spacing w:before="0" w:after="0"/>
              <w:rPr>
                <w:rFonts w:eastAsia="Times New Roman" w:cs="Arial"/>
                <w:szCs w:val="24"/>
                <w:lang w:eastAsia="es-CO"/>
              </w:rPr>
            </w:pPr>
          </w:p>
        </w:tc>
        <w:tc>
          <w:tcPr>
            <w:tcW w:w="199" w:type="pct"/>
            <w:tcBorders>
              <w:top w:val="single" w:sz="4" w:space="0" w:color="F4B084"/>
              <w:left w:val="single" w:sz="4" w:space="0" w:color="F4B084"/>
              <w:bottom w:val="single" w:sz="4" w:space="0" w:color="F4B084"/>
              <w:right w:val="nil"/>
            </w:tcBorders>
            <w:noWrap/>
            <w:vAlign w:val="center"/>
            <w:hideMark/>
          </w:tcPr>
          <w:p w14:paraId="39A11011" w14:textId="77777777" w:rsidR="007719E7" w:rsidRPr="00E16F49" w:rsidRDefault="007719E7" w:rsidP="007719E7">
            <w:pPr>
              <w:spacing w:before="0" w:after="0"/>
              <w:jc w:val="center"/>
              <w:rPr>
                <w:rFonts w:eastAsia="Times New Roman" w:cs="Arial"/>
                <w:b/>
                <w:bCs/>
                <w:color w:val="000000"/>
                <w:szCs w:val="24"/>
                <w:lang w:eastAsia="es-CO"/>
              </w:rPr>
            </w:pPr>
            <w:r w:rsidRPr="00E16F49">
              <w:rPr>
                <w:rFonts w:eastAsia="Times New Roman" w:cs="Arial"/>
                <w:b/>
                <w:bCs/>
                <w:color w:val="000000"/>
                <w:szCs w:val="24"/>
                <w:lang w:eastAsia="es-CO"/>
              </w:rPr>
              <w:t>2</w:t>
            </w:r>
          </w:p>
        </w:tc>
        <w:tc>
          <w:tcPr>
            <w:tcW w:w="1990" w:type="pct"/>
            <w:tcBorders>
              <w:top w:val="single" w:sz="4" w:space="0" w:color="F4B084"/>
              <w:left w:val="nil"/>
              <w:bottom w:val="single" w:sz="4" w:space="0" w:color="F4B084"/>
              <w:right w:val="single" w:sz="4" w:space="0" w:color="F4B084"/>
            </w:tcBorders>
            <w:hideMark/>
          </w:tcPr>
          <w:p w14:paraId="72F23E41" w14:textId="5CB2D867" w:rsidR="007719E7" w:rsidRPr="00E16F49" w:rsidRDefault="007719E7" w:rsidP="007719E7">
            <w:pPr>
              <w:spacing w:before="0" w:after="0"/>
              <w:jc w:val="center"/>
              <w:rPr>
                <w:rFonts w:eastAsia="Times New Roman" w:cs="Arial"/>
                <w:b/>
                <w:bCs/>
                <w:color w:val="000000"/>
                <w:szCs w:val="24"/>
                <w:lang w:eastAsia="es-CO"/>
              </w:rPr>
            </w:pPr>
            <w:r w:rsidRPr="00E16F49">
              <w:rPr>
                <w:rFonts w:cs="Arial"/>
                <w:szCs w:val="24"/>
              </w:rPr>
              <w:t>Baja disponibilidad de equipos tecnológicos institucionales</w:t>
            </w:r>
          </w:p>
        </w:tc>
        <w:tc>
          <w:tcPr>
            <w:tcW w:w="204" w:type="pct"/>
            <w:tcBorders>
              <w:top w:val="nil"/>
              <w:left w:val="nil"/>
              <w:bottom w:val="nil"/>
              <w:right w:val="nil"/>
            </w:tcBorders>
            <w:noWrap/>
            <w:vAlign w:val="center"/>
            <w:hideMark/>
          </w:tcPr>
          <w:p w14:paraId="524B3AE6" w14:textId="77777777" w:rsidR="007719E7" w:rsidRPr="00E16F49" w:rsidRDefault="007719E7" w:rsidP="007719E7">
            <w:pPr>
              <w:spacing w:before="0" w:after="0"/>
              <w:rPr>
                <w:rFonts w:eastAsia="Times New Roman" w:cs="Arial"/>
                <w:szCs w:val="24"/>
                <w:lang w:eastAsia="es-CO"/>
              </w:rPr>
            </w:pPr>
          </w:p>
        </w:tc>
        <w:tc>
          <w:tcPr>
            <w:tcW w:w="199" w:type="pct"/>
            <w:tcBorders>
              <w:top w:val="single" w:sz="4" w:space="0" w:color="FFD966"/>
              <w:left w:val="single" w:sz="4" w:space="0" w:color="FFD966"/>
              <w:bottom w:val="single" w:sz="4" w:space="0" w:color="FFD966"/>
              <w:right w:val="nil"/>
            </w:tcBorders>
            <w:noWrap/>
            <w:vAlign w:val="center"/>
            <w:hideMark/>
          </w:tcPr>
          <w:p w14:paraId="2B1F69FD" w14:textId="77777777" w:rsidR="007719E7" w:rsidRPr="00E16F49" w:rsidRDefault="007719E7" w:rsidP="007719E7">
            <w:pPr>
              <w:spacing w:before="0" w:after="0"/>
              <w:jc w:val="center"/>
              <w:rPr>
                <w:rFonts w:eastAsia="Times New Roman" w:cs="Arial"/>
                <w:b/>
                <w:bCs/>
                <w:color w:val="000000"/>
                <w:szCs w:val="24"/>
                <w:lang w:eastAsia="es-CO"/>
              </w:rPr>
            </w:pPr>
            <w:r w:rsidRPr="00E16F49">
              <w:rPr>
                <w:rFonts w:eastAsia="Times New Roman" w:cs="Arial"/>
                <w:b/>
                <w:bCs/>
                <w:color w:val="000000"/>
                <w:szCs w:val="24"/>
                <w:lang w:eastAsia="es-CO"/>
              </w:rPr>
              <w:t>2</w:t>
            </w:r>
          </w:p>
        </w:tc>
        <w:tc>
          <w:tcPr>
            <w:tcW w:w="2013" w:type="pct"/>
            <w:tcBorders>
              <w:top w:val="single" w:sz="4" w:space="0" w:color="FFD966"/>
              <w:left w:val="nil"/>
              <w:bottom w:val="single" w:sz="4" w:space="0" w:color="FFD966"/>
              <w:right w:val="single" w:sz="4" w:space="0" w:color="FFD966"/>
            </w:tcBorders>
            <w:hideMark/>
          </w:tcPr>
          <w:p w14:paraId="6F31DFFB" w14:textId="2C59A96B" w:rsidR="007719E7" w:rsidRPr="00E16F49" w:rsidRDefault="007719E7" w:rsidP="007719E7">
            <w:pPr>
              <w:spacing w:before="0" w:after="0"/>
              <w:jc w:val="center"/>
              <w:rPr>
                <w:rFonts w:eastAsia="Times New Roman" w:cs="Arial"/>
                <w:b/>
                <w:bCs/>
                <w:color w:val="000000"/>
                <w:szCs w:val="24"/>
                <w:lang w:eastAsia="es-CO"/>
              </w:rPr>
            </w:pPr>
            <w:r w:rsidRPr="00E16F49">
              <w:rPr>
                <w:rFonts w:cs="Arial"/>
                <w:szCs w:val="24"/>
              </w:rPr>
              <w:t>Dependencia del conocimiento individual para la ejecución de procesos</w:t>
            </w:r>
          </w:p>
        </w:tc>
      </w:tr>
      <w:tr w:rsidR="007719E7" w:rsidRPr="00E16F49" w14:paraId="538A33CD" w14:textId="77777777" w:rsidTr="002B0091">
        <w:trPr>
          <w:trHeight w:val="579"/>
        </w:trPr>
        <w:tc>
          <w:tcPr>
            <w:tcW w:w="309" w:type="pct"/>
            <w:vMerge/>
            <w:tcBorders>
              <w:top w:val="nil"/>
              <w:left w:val="nil"/>
              <w:bottom w:val="nil"/>
              <w:right w:val="nil"/>
            </w:tcBorders>
            <w:vAlign w:val="center"/>
            <w:hideMark/>
          </w:tcPr>
          <w:p w14:paraId="7DEBA67D" w14:textId="77777777" w:rsidR="007719E7" w:rsidRPr="00E16F49" w:rsidRDefault="007719E7" w:rsidP="007719E7">
            <w:pPr>
              <w:spacing w:before="0" w:after="0"/>
              <w:rPr>
                <w:rFonts w:eastAsia="Times New Roman" w:cs="Arial"/>
                <w:b/>
                <w:bCs/>
                <w:i/>
                <w:iCs/>
                <w:color w:val="FFFFFF"/>
                <w:szCs w:val="24"/>
                <w:lang w:eastAsia="es-CO"/>
              </w:rPr>
            </w:pPr>
          </w:p>
        </w:tc>
        <w:tc>
          <w:tcPr>
            <w:tcW w:w="83" w:type="pct"/>
            <w:tcBorders>
              <w:top w:val="nil"/>
              <w:left w:val="nil"/>
              <w:bottom w:val="nil"/>
              <w:right w:val="nil"/>
            </w:tcBorders>
            <w:noWrap/>
            <w:vAlign w:val="center"/>
            <w:hideMark/>
          </w:tcPr>
          <w:p w14:paraId="545EFF7F" w14:textId="77777777" w:rsidR="007719E7" w:rsidRPr="00E16F49" w:rsidRDefault="007719E7" w:rsidP="007719E7">
            <w:pPr>
              <w:spacing w:before="0" w:after="0"/>
              <w:rPr>
                <w:rFonts w:eastAsia="Times New Roman" w:cs="Arial"/>
                <w:szCs w:val="24"/>
                <w:lang w:eastAsia="es-CO"/>
              </w:rPr>
            </w:pPr>
          </w:p>
        </w:tc>
        <w:tc>
          <w:tcPr>
            <w:tcW w:w="199" w:type="pct"/>
            <w:tcBorders>
              <w:top w:val="single" w:sz="4" w:space="0" w:color="F4B084"/>
              <w:left w:val="single" w:sz="4" w:space="0" w:color="F4B084"/>
              <w:bottom w:val="single" w:sz="4" w:space="0" w:color="F4B084"/>
              <w:right w:val="nil"/>
            </w:tcBorders>
            <w:shd w:val="clear" w:color="FCE4D6" w:fill="FCE4D6"/>
            <w:noWrap/>
            <w:vAlign w:val="center"/>
            <w:hideMark/>
          </w:tcPr>
          <w:p w14:paraId="5B7C8F2A" w14:textId="77777777" w:rsidR="007719E7" w:rsidRPr="00E16F49" w:rsidRDefault="007719E7" w:rsidP="007719E7">
            <w:pPr>
              <w:spacing w:before="0" w:after="0"/>
              <w:jc w:val="center"/>
              <w:rPr>
                <w:rFonts w:eastAsia="Times New Roman" w:cs="Arial"/>
                <w:b/>
                <w:bCs/>
                <w:color w:val="000000"/>
                <w:szCs w:val="24"/>
                <w:lang w:eastAsia="es-CO"/>
              </w:rPr>
            </w:pPr>
            <w:r w:rsidRPr="00E16F49">
              <w:rPr>
                <w:rFonts w:eastAsia="Times New Roman" w:cs="Arial"/>
                <w:b/>
                <w:bCs/>
                <w:color w:val="000000"/>
                <w:szCs w:val="24"/>
                <w:lang w:eastAsia="es-CO"/>
              </w:rPr>
              <w:t>3</w:t>
            </w:r>
          </w:p>
        </w:tc>
        <w:tc>
          <w:tcPr>
            <w:tcW w:w="1990" w:type="pct"/>
            <w:tcBorders>
              <w:top w:val="single" w:sz="4" w:space="0" w:color="F4B084"/>
              <w:left w:val="nil"/>
              <w:bottom w:val="single" w:sz="4" w:space="0" w:color="F4B084"/>
              <w:right w:val="single" w:sz="4" w:space="0" w:color="F4B084"/>
            </w:tcBorders>
            <w:shd w:val="clear" w:color="FCE4D6" w:fill="FCE4D6"/>
            <w:hideMark/>
          </w:tcPr>
          <w:p w14:paraId="548D2AE7" w14:textId="2378373C" w:rsidR="007719E7" w:rsidRPr="00E16F49" w:rsidRDefault="007719E7" w:rsidP="007719E7">
            <w:pPr>
              <w:spacing w:before="0" w:after="0"/>
              <w:jc w:val="center"/>
              <w:rPr>
                <w:rFonts w:eastAsia="Times New Roman" w:cs="Arial"/>
                <w:b/>
                <w:bCs/>
                <w:color w:val="000000"/>
                <w:szCs w:val="24"/>
                <w:lang w:eastAsia="es-CO"/>
              </w:rPr>
            </w:pPr>
            <w:r w:rsidRPr="00E16F49">
              <w:rPr>
                <w:rFonts w:cs="Arial"/>
                <w:szCs w:val="24"/>
              </w:rPr>
              <w:t>Dependencia de equipos personales por parte de los practicantes</w:t>
            </w:r>
          </w:p>
        </w:tc>
        <w:tc>
          <w:tcPr>
            <w:tcW w:w="204" w:type="pct"/>
            <w:tcBorders>
              <w:top w:val="nil"/>
              <w:left w:val="nil"/>
              <w:bottom w:val="nil"/>
              <w:right w:val="nil"/>
            </w:tcBorders>
            <w:noWrap/>
            <w:vAlign w:val="center"/>
            <w:hideMark/>
          </w:tcPr>
          <w:p w14:paraId="46B3C84B" w14:textId="77777777" w:rsidR="007719E7" w:rsidRPr="00E16F49" w:rsidRDefault="007719E7" w:rsidP="007719E7">
            <w:pPr>
              <w:spacing w:before="0" w:after="0"/>
              <w:rPr>
                <w:rFonts w:eastAsia="Times New Roman" w:cs="Arial"/>
                <w:szCs w:val="24"/>
                <w:lang w:eastAsia="es-CO"/>
              </w:rPr>
            </w:pPr>
          </w:p>
        </w:tc>
        <w:tc>
          <w:tcPr>
            <w:tcW w:w="199" w:type="pct"/>
            <w:tcBorders>
              <w:top w:val="single" w:sz="4" w:space="0" w:color="FFD966"/>
              <w:left w:val="single" w:sz="4" w:space="0" w:color="FFD966"/>
              <w:bottom w:val="single" w:sz="4" w:space="0" w:color="FFD966"/>
              <w:right w:val="nil"/>
            </w:tcBorders>
            <w:shd w:val="clear" w:color="FFF2CC" w:fill="FFF2CC"/>
            <w:noWrap/>
            <w:vAlign w:val="center"/>
            <w:hideMark/>
          </w:tcPr>
          <w:p w14:paraId="7A17C00E" w14:textId="77777777" w:rsidR="007719E7" w:rsidRPr="00E16F49" w:rsidRDefault="007719E7" w:rsidP="007719E7">
            <w:pPr>
              <w:spacing w:before="0" w:after="0"/>
              <w:jc w:val="center"/>
              <w:rPr>
                <w:rFonts w:eastAsia="Times New Roman" w:cs="Arial"/>
                <w:b/>
                <w:bCs/>
                <w:color w:val="000000"/>
                <w:szCs w:val="24"/>
                <w:lang w:eastAsia="es-CO"/>
              </w:rPr>
            </w:pPr>
            <w:r w:rsidRPr="00E16F49">
              <w:rPr>
                <w:rFonts w:eastAsia="Times New Roman" w:cs="Arial"/>
                <w:b/>
                <w:bCs/>
                <w:color w:val="000000"/>
                <w:szCs w:val="24"/>
                <w:lang w:eastAsia="es-CO"/>
              </w:rPr>
              <w:t>3</w:t>
            </w:r>
          </w:p>
        </w:tc>
        <w:tc>
          <w:tcPr>
            <w:tcW w:w="2013" w:type="pct"/>
            <w:tcBorders>
              <w:top w:val="single" w:sz="4" w:space="0" w:color="FFD966"/>
              <w:left w:val="nil"/>
              <w:bottom w:val="single" w:sz="4" w:space="0" w:color="FFD966"/>
              <w:right w:val="single" w:sz="4" w:space="0" w:color="FFD966"/>
            </w:tcBorders>
            <w:shd w:val="clear" w:color="FFF2CC" w:fill="FFF2CC"/>
            <w:hideMark/>
          </w:tcPr>
          <w:p w14:paraId="7C2FDEFB" w14:textId="592EE4DB" w:rsidR="007719E7" w:rsidRPr="00E16F49" w:rsidRDefault="007719E7" w:rsidP="007719E7">
            <w:pPr>
              <w:spacing w:before="0" w:after="0"/>
              <w:jc w:val="center"/>
              <w:rPr>
                <w:rFonts w:eastAsia="Times New Roman" w:cs="Arial"/>
                <w:b/>
                <w:bCs/>
                <w:color w:val="000000"/>
                <w:szCs w:val="24"/>
                <w:lang w:eastAsia="es-CO"/>
              </w:rPr>
            </w:pPr>
            <w:r w:rsidRPr="00E16F49">
              <w:rPr>
                <w:rFonts w:cs="Arial"/>
                <w:szCs w:val="24"/>
              </w:rPr>
              <w:t>Limitaciones tecnológicas que afectan la eficiencia</w:t>
            </w:r>
          </w:p>
        </w:tc>
      </w:tr>
      <w:tr w:rsidR="007719E7" w:rsidRPr="00E16F49" w14:paraId="108634C6" w14:textId="77777777" w:rsidTr="002B0091">
        <w:trPr>
          <w:trHeight w:val="579"/>
        </w:trPr>
        <w:tc>
          <w:tcPr>
            <w:tcW w:w="309" w:type="pct"/>
            <w:vMerge/>
            <w:tcBorders>
              <w:top w:val="nil"/>
              <w:left w:val="nil"/>
              <w:bottom w:val="nil"/>
              <w:right w:val="nil"/>
            </w:tcBorders>
            <w:vAlign w:val="center"/>
            <w:hideMark/>
          </w:tcPr>
          <w:p w14:paraId="77F2199C" w14:textId="77777777" w:rsidR="007719E7" w:rsidRPr="00E16F49" w:rsidRDefault="007719E7" w:rsidP="007719E7">
            <w:pPr>
              <w:spacing w:before="0" w:after="0"/>
              <w:rPr>
                <w:rFonts w:eastAsia="Times New Roman" w:cs="Arial"/>
                <w:b/>
                <w:bCs/>
                <w:i/>
                <w:iCs/>
                <w:color w:val="FFFFFF"/>
                <w:szCs w:val="24"/>
                <w:lang w:eastAsia="es-CO"/>
              </w:rPr>
            </w:pPr>
          </w:p>
        </w:tc>
        <w:tc>
          <w:tcPr>
            <w:tcW w:w="83" w:type="pct"/>
            <w:tcBorders>
              <w:top w:val="nil"/>
              <w:left w:val="nil"/>
              <w:bottom w:val="nil"/>
              <w:right w:val="nil"/>
            </w:tcBorders>
            <w:noWrap/>
            <w:vAlign w:val="center"/>
            <w:hideMark/>
          </w:tcPr>
          <w:p w14:paraId="1DCD6338" w14:textId="77777777" w:rsidR="007719E7" w:rsidRPr="00E16F49" w:rsidRDefault="007719E7" w:rsidP="007719E7">
            <w:pPr>
              <w:spacing w:before="0" w:after="0"/>
              <w:rPr>
                <w:rFonts w:eastAsia="Times New Roman" w:cs="Arial"/>
                <w:szCs w:val="24"/>
                <w:lang w:eastAsia="es-CO"/>
              </w:rPr>
            </w:pPr>
          </w:p>
        </w:tc>
        <w:tc>
          <w:tcPr>
            <w:tcW w:w="199" w:type="pct"/>
            <w:tcBorders>
              <w:top w:val="single" w:sz="4" w:space="0" w:color="F4B084"/>
              <w:left w:val="single" w:sz="4" w:space="0" w:color="F4B084"/>
              <w:bottom w:val="single" w:sz="4" w:space="0" w:color="F4B084"/>
              <w:right w:val="nil"/>
            </w:tcBorders>
            <w:noWrap/>
            <w:vAlign w:val="center"/>
            <w:hideMark/>
          </w:tcPr>
          <w:p w14:paraId="6B642466" w14:textId="77777777" w:rsidR="007719E7" w:rsidRPr="00E16F49" w:rsidRDefault="007719E7" w:rsidP="007719E7">
            <w:pPr>
              <w:spacing w:before="0" w:after="0"/>
              <w:jc w:val="center"/>
              <w:rPr>
                <w:rFonts w:eastAsia="Times New Roman" w:cs="Arial"/>
                <w:b/>
                <w:bCs/>
                <w:color w:val="000000"/>
                <w:szCs w:val="24"/>
                <w:lang w:eastAsia="es-CO"/>
              </w:rPr>
            </w:pPr>
            <w:r w:rsidRPr="00E16F49">
              <w:rPr>
                <w:rFonts w:eastAsia="Times New Roman" w:cs="Arial"/>
                <w:b/>
                <w:bCs/>
                <w:color w:val="000000"/>
                <w:szCs w:val="24"/>
                <w:lang w:eastAsia="es-CO"/>
              </w:rPr>
              <w:t>4</w:t>
            </w:r>
          </w:p>
        </w:tc>
        <w:tc>
          <w:tcPr>
            <w:tcW w:w="1990" w:type="pct"/>
            <w:tcBorders>
              <w:top w:val="single" w:sz="4" w:space="0" w:color="F4B084"/>
              <w:left w:val="nil"/>
              <w:bottom w:val="single" w:sz="4" w:space="0" w:color="F4B084"/>
              <w:right w:val="single" w:sz="4" w:space="0" w:color="F4B084"/>
            </w:tcBorders>
            <w:hideMark/>
          </w:tcPr>
          <w:p w14:paraId="7BD53AB6" w14:textId="4E78FCE0" w:rsidR="007719E7" w:rsidRPr="00E16F49" w:rsidRDefault="007719E7" w:rsidP="007719E7">
            <w:pPr>
              <w:spacing w:before="0" w:after="0"/>
              <w:jc w:val="center"/>
              <w:rPr>
                <w:rFonts w:eastAsia="Times New Roman" w:cs="Arial"/>
                <w:b/>
                <w:bCs/>
                <w:color w:val="000000"/>
                <w:szCs w:val="24"/>
                <w:lang w:eastAsia="es-CO"/>
              </w:rPr>
            </w:pPr>
            <w:r w:rsidRPr="00E16F49">
              <w:rPr>
                <w:rFonts w:cs="Arial"/>
                <w:szCs w:val="24"/>
              </w:rPr>
              <w:t>Procesos no documentados formalmente</w:t>
            </w:r>
          </w:p>
        </w:tc>
        <w:tc>
          <w:tcPr>
            <w:tcW w:w="204" w:type="pct"/>
            <w:tcBorders>
              <w:top w:val="nil"/>
              <w:left w:val="nil"/>
              <w:bottom w:val="nil"/>
              <w:right w:val="nil"/>
            </w:tcBorders>
            <w:noWrap/>
            <w:vAlign w:val="center"/>
            <w:hideMark/>
          </w:tcPr>
          <w:p w14:paraId="3E3A5A6B" w14:textId="77777777" w:rsidR="007719E7" w:rsidRPr="00E16F49" w:rsidRDefault="007719E7" w:rsidP="007719E7">
            <w:pPr>
              <w:spacing w:before="0" w:after="0"/>
              <w:rPr>
                <w:rFonts w:eastAsia="Times New Roman" w:cs="Arial"/>
                <w:szCs w:val="24"/>
                <w:lang w:eastAsia="es-CO"/>
              </w:rPr>
            </w:pPr>
          </w:p>
        </w:tc>
        <w:tc>
          <w:tcPr>
            <w:tcW w:w="199" w:type="pct"/>
            <w:tcBorders>
              <w:top w:val="single" w:sz="4" w:space="0" w:color="FFD966"/>
              <w:left w:val="single" w:sz="4" w:space="0" w:color="FFD966"/>
              <w:bottom w:val="single" w:sz="4" w:space="0" w:color="FFD966"/>
              <w:right w:val="nil"/>
            </w:tcBorders>
            <w:noWrap/>
            <w:vAlign w:val="center"/>
            <w:hideMark/>
          </w:tcPr>
          <w:p w14:paraId="5FAB8FEA" w14:textId="77777777" w:rsidR="007719E7" w:rsidRPr="00E16F49" w:rsidRDefault="007719E7" w:rsidP="007719E7">
            <w:pPr>
              <w:spacing w:before="0" w:after="0"/>
              <w:jc w:val="center"/>
              <w:rPr>
                <w:rFonts w:eastAsia="Times New Roman" w:cs="Arial"/>
                <w:b/>
                <w:bCs/>
                <w:color w:val="000000"/>
                <w:szCs w:val="24"/>
                <w:lang w:eastAsia="es-CO"/>
              </w:rPr>
            </w:pPr>
            <w:r w:rsidRPr="00E16F49">
              <w:rPr>
                <w:rFonts w:eastAsia="Times New Roman" w:cs="Arial"/>
                <w:b/>
                <w:bCs/>
                <w:color w:val="000000"/>
                <w:szCs w:val="24"/>
                <w:lang w:eastAsia="es-CO"/>
              </w:rPr>
              <w:t>4</w:t>
            </w:r>
          </w:p>
        </w:tc>
        <w:tc>
          <w:tcPr>
            <w:tcW w:w="2013" w:type="pct"/>
            <w:tcBorders>
              <w:top w:val="single" w:sz="4" w:space="0" w:color="FFD966"/>
              <w:left w:val="nil"/>
              <w:bottom w:val="single" w:sz="4" w:space="0" w:color="FFD966"/>
              <w:right w:val="single" w:sz="4" w:space="0" w:color="FFD966"/>
            </w:tcBorders>
            <w:hideMark/>
          </w:tcPr>
          <w:p w14:paraId="53BCE411" w14:textId="064ACEEA" w:rsidR="007719E7" w:rsidRPr="00E16F49" w:rsidRDefault="007719E7" w:rsidP="007719E7">
            <w:pPr>
              <w:spacing w:before="0" w:after="0"/>
              <w:jc w:val="center"/>
              <w:rPr>
                <w:rFonts w:eastAsia="Times New Roman" w:cs="Arial"/>
                <w:b/>
                <w:bCs/>
                <w:color w:val="000000"/>
                <w:szCs w:val="24"/>
                <w:lang w:eastAsia="es-CO"/>
              </w:rPr>
            </w:pPr>
            <w:r w:rsidRPr="00E16F49">
              <w:rPr>
                <w:rFonts w:cs="Arial"/>
                <w:szCs w:val="24"/>
              </w:rPr>
              <w:t>Rotación de practicantes que afecta la continuidad de los procesos</w:t>
            </w:r>
          </w:p>
        </w:tc>
      </w:tr>
      <w:tr w:rsidR="00B36F01" w:rsidRPr="00E16F49" w14:paraId="7EDB8B05" w14:textId="77777777" w:rsidTr="002B0091">
        <w:trPr>
          <w:trHeight w:val="365"/>
        </w:trPr>
        <w:tc>
          <w:tcPr>
            <w:tcW w:w="309" w:type="pct"/>
            <w:tcBorders>
              <w:top w:val="nil"/>
              <w:left w:val="nil"/>
              <w:bottom w:val="nil"/>
              <w:right w:val="nil"/>
            </w:tcBorders>
            <w:noWrap/>
            <w:vAlign w:val="center"/>
            <w:hideMark/>
          </w:tcPr>
          <w:p w14:paraId="092D1F5B" w14:textId="77777777" w:rsidR="00B36F01" w:rsidRPr="00E16F49" w:rsidRDefault="00B36F01" w:rsidP="0062724C">
            <w:pPr>
              <w:spacing w:before="0" w:after="0"/>
              <w:rPr>
                <w:rFonts w:eastAsia="Times New Roman" w:cs="Arial"/>
                <w:szCs w:val="24"/>
                <w:lang w:eastAsia="es-CO"/>
              </w:rPr>
            </w:pPr>
          </w:p>
        </w:tc>
        <w:tc>
          <w:tcPr>
            <w:tcW w:w="83" w:type="pct"/>
            <w:tcBorders>
              <w:top w:val="nil"/>
              <w:left w:val="nil"/>
              <w:bottom w:val="nil"/>
              <w:right w:val="nil"/>
            </w:tcBorders>
            <w:noWrap/>
            <w:vAlign w:val="center"/>
            <w:hideMark/>
          </w:tcPr>
          <w:p w14:paraId="23188C0D" w14:textId="77777777" w:rsidR="00B36F01" w:rsidRPr="00E16F49" w:rsidRDefault="00B36F01" w:rsidP="0062724C">
            <w:pPr>
              <w:spacing w:before="0" w:after="0"/>
              <w:rPr>
                <w:rFonts w:eastAsia="Times New Roman" w:cs="Arial"/>
                <w:szCs w:val="24"/>
                <w:lang w:eastAsia="es-CO"/>
              </w:rPr>
            </w:pPr>
          </w:p>
        </w:tc>
        <w:tc>
          <w:tcPr>
            <w:tcW w:w="199" w:type="pct"/>
            <w:tcBorders>
              <w:top w:val="nil"/>
              <w:left w:val="nil"/>
              <w:bottom w:val="nil"/>
              <w:right w:val="nil"/>
            </w:tcBorders>
            <w:noWrap/>
            <w:vAlign w:val="center"/>
            <w:hideMark/>
          </w:tcPr>
          <w:p w14:paraId="7FC185B7" w14:textId="77777777" w:rsidR="00B36F01" w:rsidRPr="00E16F49" w:rsidRDefault="00B36F01" w:rsidP="0062724C">
            <w:pPr>
              <w:spacing w:before="0" w:after="0"/>
              <w:rPr>
                <w:rFonts w:eastAsia="Times New Roman" w:cs="Arial"/>
                <w:szCs w:val="24"/>
                <w:lang w:eastAsia="es-CO"/>
              </w:rPr>
            </w:pPr>
          </w:p>
        </w:tc>
        <w:tc>
          <w:tcPr>
            <w:tcW w:w="1990" w:type="pct"/>
            <w:tcBorders>
              <w:top w:val="nil"/>
              <w:left w:val="nil"/>
              <w:bottom w:val="nil"/>
              <w:right w:val="nil"/>
            </w:tcBorders>
            <w:noWrap/>
            <w:vAlign w:val="center"/>
            <w:hideMark/>
          </w:tcPr>
          <w:p w14:paraId="3E33CA1F" w14:textId="77777777" w:rsidR="00B36F01" w:rsidRPr="00E16F49" w:rsidRDefault="00B36F01" w:rsidP="0062724C">
            <w:pPr>
              <w:spacing w:before="0" w:after="0"/>
              <w:rPr>
                <w:rFonts w:eastAsia="Times New Roman" w:cs="Arial"/>
                <w:szCs w:val="24"/>
                <w:lang w:eastAsia="es-CO"/>
              </w:rPr>
            </w:pPr>
          </w:p>
        </w:tc>
        <w:tc>
          <w:tcPr>
            <w:tcW w:w="204" w:type="pct"/>
            <w:tcBorders>
              <w:top w:val="nil"/>
              <w:left w:val="nil"/>
              <w:bottom w:val="nil"/>
              <w:right w:val="nil"/>
            </w:tcBorders>
            <w:noWrap/>
            <w:vAlign w:val="center"/>
            <w:hideMark/>
          </w:tcPr>
          <w:p w14:paraId="63DDDEDA" w14:textId="77777777" w:rsidR="00B36F01" w:rsidRPr="00E16F49" w:rsidRDefault="00B36F01" w:rsidP="0062724C">
            <w:pPr>
              <w:spacing w:before="0" w:after="0"/>
              <w:rPr>
                <w:rFonts w:eastAsia="Times New Roman" w:cs="Arial"/>
                <w:szCs w:val="24"/>
                <w:lang w:eastAsia="es-CO"/>
              </w:rPr>
            </w:pPr>
          </w:p>
        </w:tc>
        <w:tc>
          <w:tcPr>
            <w:tcW w:w="199" w:type="pct"/>
            <w:tcBorders>
              <w:top w:val="nil"/>
              <w:left w:val="nil"/>
              <w:bottom w:val="nil"/>
              <w:right w:val="nil"/>
            </w:tcBorders>
            <w:noWrap/>
            <w:vAlign w:val="center"/>
            <w:hideMark/>
          </w:tcPr>
          <w:p w14:paraId="51BB37FF" w14:textId="77777777" w:rsidR="00B36F01" w:rsidRPr="00E16F49" w:rsidRDefault="00B36F01" w:rsidP="0062724C">
            <w:pPr>
              <w:spacing w:before="0" w:after="0"/>
              <w:rPr>
                <w:rFonts w:eastAsia="Times New Roman" w:cs="Arial"/>
                <w:szCs w:val="24"/>
                <w:lang w:eastAsia="es-CO"/>
              </w:rPr>
            </w:pPr>
          </w:p>
        </w:tc>
        <w:tc>
          <w:tcPr>
            <w:tcW w:w="2013" w:type="pct"/>
            <w:tcBorders>
              <w:top w:val="nil"/>
              <w:left w:val="nil"/>
              <w:bottom w:val="nil"/>
              <w:right w:val="nil"/>
            </w:tcBorders>
            <w:noWrap/>
            <w:vAlign w:val="center"/>
            <w:hideMark/>
          </w:tcPr>
          <w:p w14:paraId="16601392" w14:textId="77777777" w:rsidR="00B36F01" w:rsidRPr="00E16F49" w:rsidRDefault="00B36F01" w:rsidP="0062724C">
            <w:pPr>
              <w:spacing w:before="0" w:after="0"/>
              <w:rPr>
                <w:rFonts w:eastAsia="Times New Roman" w:cs="Arial"/>
                <w:szCs w:val="24"/>
                <w:lang w:eastAsia="es-CO"/>
              </w:rPr>
            </w:pPr>
          </w:p>
        </w:tc>
      </w:tr>
      <w:tr w:rsidR="00B36F01" w:rsidRPr="00E16F49" w14:paraId="04ADC9F4" w14:textId="77777777" w:rsidTr="002B0091">
        <w:trPr>
          <w:trHeight w:val="365"/>
        </w:trPr>
        <w:tc>
          <w:tcPr>
            <w:tcW w:w="309" w:type="pct"/>
            <w:tcBorders>
              <w:top w:val="nil"/>
              <w:left w:val="nil"/>
              <w:bottom w:val="nil"/>
              <w:right w:val="nil"/>
            </w:tcBorders>
            <w:noWrap/>
            <w:vAlign w:val="center"/>
            <w:hideMark/>
          </w:tcPr>
          <w:p w14:paraId="47714DDB" w14:textId="77777777" w:rsidR="00B36F01" w:rsidRPr="00E16F49" w:rsidRDefault="00B36F01" w:rsidP="0062724C">
            <w:pPr>
              <w:spacing w:before="0" w:after="0"/>
              <w:rPr>
                <w:rFonts w:eastAsia="Times New Roman" w:cs="Arial"/>
                <w:szCs w:val="24"/>
                <w:lang w:eastAsia="es-CO"/>
              </w:rPr>
            </w:pPr>
          </w:p>
        </w:tc>
        <w:tc>
          <w:tcPr>
            <w:tcW w:w="83" w:type="pct"/>
            <w:tcBorders>
              <w:top w:val="nil"/>
              <w:left w:val="nil"/>
              <w:bottom w:val="nil"/>
              <w:right w:val="nil"/>
            </w:tcBorders>
            <w:noWrap/>
            <w:vAlign w:val="center"/>
            <w:hideMark/>
          </w:tcPr>
          <w:p w14:paraId="60C49AF4" w14:textId="77777777" w:rsidR="00B36F01" w:rsidRPr="00E16F49" w:rsidRDefault="00B36F01" w:rsidP="0062724C">
            <w:pPr>
              <w:spacing w:before="0" w:after="0"/>
              <w:rPr>
                <w:rFonts w:eastAsia="Times New Roman" w:cs="Arial"/>
                <w:szCs w:val="24"/>
                <w:lang w:eastAsia="es-CO"/>
              </w:rPr>
            </w:pPr>
          </w:p>
        </w:tc>
        <w:tc>
          <w:tcPr>
            <w:tcW w:w="199" w:type="pct"/>
            <w:tcBorders>
              <w:top w:val="nil"/>
              <w:left w:val="nil"/>
              <w:bottom w:val="nil"/>
              <w:right w:val="nil"/>
            </w:tcBorders>
            <w:noWrap/>
            <w:vAlign w:val="center"/>
            <w:hideMark/>
          </w:tcPr>
          <w:p w14:paraId="71797F05" w14:textId="77777777" w:rsidR="00B36F01" w:rsidRPr="00E16F49" w:rsidRDefault="00B36F01" w:rsidP="0062724C">
            <w:pPr>
              <w:spacing w:before="0" w:after="0"/>
              <w:rPr>
                <w:rFonts w:eastAsia="Times New Roman" w:cs="Arial"/>
                <w:szCs w:val="24"/>
                <w:lang w:eastAsia="es-CO"/>
              </w:rPr>
            </w:pPr>
          </w:p>
        </w:tc>
        <w:tc>
          <w:tcPr>
            <w:tcW w:w="1990" w:type="pct"/>
            <w:tcBorders>
              <w:top w:val="nil"/>
              <w:left w:val="nil"/>
              <w:bottom w:val="nil"/>
              <w:right w:val="nil"/>
            </w:tcBorders>
            <w:noWrap/>
            <w:vAlign w:val="center"/>
            <w:hideMark/>
          </w:tcPr>
          <w:p w14:paraId="5D0AD0BC" w14:textId="77777777" w:rsidR="00B36F01" w:rsidRPr="00E16F49" w:rsidRDefault="00B36F01" w:rsidP="0062724C">
            <w:pPr>
              <w:spacing w:before="0" w:after="0"/>
              <w:rPr>
                <w:rFonts w:eastAsia="Times New Roman" w:cs="Arial"/>
                <w:szCs w:val="24"/>
                <w:lang w:eastAsia="es-CO"/>
              </w:rPr>
            </w:pPr>
          </w:p>
        </w:tc>
        <w:tc>
          <w:tcPr>
            <w:tcW w:w="204" w:type="pct"/>
            <w:tcBorders>
              <w:top w:val="nil"/>
              <w:left w:val="nil"/>
              <w:bottom w:val="nil"/>
              <w:right w:val="nil"/>
            </w:tcBorders>
            <w:noWrap/>
            <w:vAlign w:val="center"/>
            <w:hideMark/>
          </w:tcPr>
          <w:p w14:paraId="02F6A81F" w14:textId="77777777" w:rsidR="00B36F01" w:rsidRPr="00E16F49" w:rsidRDefault="00B36F01" w:rsidP="0062724C">
            <w:pPr>
              <w:spacing w:before="0" w:after="0"/>
              <w:rPr>
                <w:rFonts w:eastAsia="Times New Roman" w:cs="Arial"/>
                <w:szCs w:val="24"/>
                <w:lang w:eastAsia="es-CO"/>
              </w:rPr>
            </w:pPr>
          </w:p>
        </w:tc>
        <w:tc>
          <w:tcPr>
            <w:tcW w:w="199" w:type="pct"/>
            <w:tcBorders>
              <w:top w:val="nil"/>
              <w:left w:val="nil"/>
              <w:bottom w:val="nil"/>
              <w:right w:val="nil"/>
            </w:tcBorders>
            <w:noWrap/>
            <w:vAlign w:val="center"/>
            <w:hideMark/>
          </w:tcPr>
          <w:p w14:paraId="4B9C6F59" w14:textId="77777777" w:rsidR="00B36F01" w:rsidRPr="00E16F49" w:rsidRDefault="00B36F01" w:rsidP="0062724C">
            <w:pPr>
              <w:spacing w:before="0" w:after="0"/>
              <w:rPr>
                <w:rFonts w:eastAsia="Times New Roman" w:cs="Arial"/>
                <w:szCs w:val="24"/>
                <w:lang w:eastAsia="es-CO"/>
              </w:rPr>
            </w:pPr>
          </w:p>
        </w:tc>
        <w:tc>
          <w:tcPr>
            <w:tcW w:w="2013" w:type="pct"/>
            <w:tcBorders>
              <w:top w:val="nil"/>
              <w:left w:val="nil"/>
              <w:bottom w:val="nil"/>
              <w:right w:val="nil"/>
            </w:tcBorders>
            <w:noWrap/>
            <w:vAlign w:val="center"/>
            <w:hideMark/>
          </w:tcPr>
          <w:p w14:paraId="4B688B1E" w14:textId="77777777" w:rsidR="00B36F01" w:rsidRPr="00E16F49" w:rsidRDefault="00B36F01" w:rsidP="0062724C">
            <w:pPr>
              <w:spacing w:before="0" w:after="0"/>
              <w:rPr>
                <w:rFonts w:eastAsia="Times New Roman" w:cs="Arial"/>
                <w:szCs w:val="24"/>
                <w:lang w:eastAsia="es-CO"/>
              </w:rPr>
            </w:pPr>
          </w:p>
        </w:tc>
      </w:tr>
      <w:tr w:rsidR="00B36F01" w:rsidRPr="00E16F49" w14:paraId="6E599F5B" w14:textId="77777777" w:rsidTr="002B0091">
        <w:trPr>
          <w:trHeight w:val="579"/>
        </w:trPr>
        <w:tc>
          <w:tcPr>
            <w:tcW w:w="309" w:type="pct"/>
            <w:vMerge w:val="restart"/>
            <w:tcBorders>
              <w:top w:val="nil"/>
              <w:left w:val="nil"/>
              <w:bottom w:val="nil"/>
              <w:right w:val="nil"/>
            </w:tcBorders>
            <w:shd w:val="clear" w:color="000000" w:fill="002060"/>
            <w:noWrap/>
            <w:textDirection w:val="btLr"/>
            <w:vAlign w:val="center"/>
            <w:hideMark/>
          </w:tcPr>
          <w:p w14:paraId="1A295721" w14:textId="77777777" w:rsidR="00B36F01" w:rsidRPr="00E16F49" w:rsidRDefault="00B36F01" w:rsidP="0062724C">
            <w:pPr>
              <w:spacing w:before="0" w:after="0"/>
              <w:jc w:val="center"/>
              <w:rPr>
                <w:rFonts w:eastAsia="Times New Roman" w:cs="Arial"/>
                <w:b/>
                <w:bCs/>
                <w:i/>
                <w:iCs/>
                <w:color w:val="FFFFFF"/>
                <w:szCs w:val="24"/>
                <w:lang w:eastAsia="es-CO"/>
              </w:rPr>
            </w:pPr>
            <w:r w:rsidRPr="00E16F49">
              <w:rPr>
                <w:rFonts w:eastAsia="Times New Roman" w:cs="Arial"/>
                <w:b/>
                <w:bCs/>
                <w:i/>
                <w:iCs/>
                <w:color w:val="FFFFFF"/>
                <w:szCs w:val="24"/>
                <w:lang w:eastAsia="es-CO"/>
              </w:rPr>
              <w:t>Aspectos Positivos</w:t>
            </w:r>
          </w:p>
        </w:tc>
        <w:tc>
          <w:tcPr>
            <w:tcW w:w="83" w:type="pct"/>
            <w:tcBorders>
              <w:top w:val="nil"/>
              <w:left w:val="nil"/>
              <w:bottom w:val="nil"/>
              <w:right w:val="nil"/>
            </w:tcBorders>
            <w:noWrap/>
            <w:vAlign w:val="center"/>
            <w:hideMark/>
          </w:tcPr>
          <w:p w14:paraId="3F005D63" w14:textId="77777777" w:rsidR="00B36F01" w:rsidRPr="00E16F49" w:rsidRDefault="00B36F01" w:rsidP="0062724C">
            <w:pPr>
              <w:spacing w:before="0" w:after="0"/>
              <w:jc w:val="center"/>
              <w:rPr>
                <w:rFonts w:eastAsia="Times New Roman" w:cs="Arial"/>
                <w:b/>
                <w:bCs/>
                <w:i/>
                <w:iCs/>
                <w:color w:val="FFFFFF"/>
                <w:szCs w:val="24"/>
                <w:lang w:eastAsia="es-CO"/>
              </w:rPr>
            </w:pPr>
          </w:p>
        </w:tc>
        <w:tc>
          <w:tcPr>
            <w:tcW w:w="199" w:type="pct"/>
            <w:tcBorders>
              <w:top w:val="single" w:sz="4" w:space="0" w:color="A9D08E"/>
              <w:left w:val="single" w:sz="4" w:space="0" w:color="A9D08E"/>
              <w:bottom w:val="single" w:sz="4" w:space="0" w:color="A9D08E"/>
              <w:right w:val="nil"/>
            </w:tcBorders>
            <w:shd w:val="clear" w:color="70AD47" w:fill="70AD47"/>
            <w:noWrap/>
            <w:vAlign w:val="center"/>
            <w:hideMark/>
          </w:tcPr>
          <w:p w14:paraId="0C0B74FC" w14:textId="027D41B8" w:rsidR="00B36F01" w:rsidRPr="00E16F49" w:rsidRDefault="00B36F01" w:rsidP="0062724C">
            <w:pPr>
              <w:spacing w:before="0" w:after="0"/>
              <w:jc w:val="center"/>
              <w:rPr>
                <w:rFonts w:eastAsia="Times New Roman" w:cs="Arial"/>
                <w:b/>
                <w:bCs/>
                <w:color w:val="FFFFFF"/>
                <w:szCs w:val="24"/>
                <w:lang w:eastAsia="es-CO"/>
              </w:rPr>
            </w:pPr>
          </w:p>
        </w:tc>
        <w:tc>
          <w:tcPr>
            <w:tcW w:w="1990" w:type="pct"/>
            <w:tcBorders>
              <w:top w:val="single" w:sz="4" w:space="0" w:color="A9D08E"/>
              <w:left w:val="nil"/>
              <w:bottom w:val="single" w:sz="4" w:space="0" w:color="A9D08E"/>
              <w:right w:val="single" w:sz="4" w:space="0" w:color="A9D08E"/>
            </w:tcBorders>
            <w:shd w:val="clear" w:color="70AD47" w:fill="70AD47"/>
            <w:noWrap/>
            <w:vAlign w:val="center"/>
            <w:hideMark/>
          </w:tcPr>
          <w:p w14:paraId="2E93AF1B" w14:textId="77777777" w:rsidR="00B36F01" w:rsidRPr="00E16F49" w:rsidRDefault="00B36F01" w:rsidP="0062724C">
            <w:pPr>
              <w:spacing w:before="0" w:after="0"/>
              <w:jc w:val="center"/>
              <w:rPr>
                <w:rFonts w:eastAsia="Times New Roman" w:cs="Arial"/>
                <w:b/>
                <w:bCs/>
                <w:color w:val="FFFFFF"/>
                <w:szCs w:val="24"/>
                <w:lang w:eastAsia="es-CO"/>
              </w:rPr>
            </w:pPr>
            <w:r w:rsidRPr="00E16F49">
              <w:rPr>
                <w:rFonts w:eastAsia="Times New Roman" w:cs="Arial"/>
                <w:b/>
                <w:bCs/>
                <w:color w:val="FFFFFF"/>
                <w:szCs w:val="24"/>
                <w:lang w:eastAsia="es-CO"/>
              </w:rPr>
              <w:t>Fortalezas</w:t>
            </w:r>
          </w:p>
        </w:tc>
        <w:tc>
          <w:tcPr>
            <w:tcW w:w="204" w:type="pct"/>
            <w:tcBorders>
              <w:top w:val="nil"/>
              <w:left w:val="nil"/>
              <w:bottom w:val="nil"/>
              <w:right w:val="nil"/>
            </w:tcBorders>
            <w:noWrap/>
            <w:vAlign w:val="center"/>
            <w:hideMark/>
          </w:tcPr>
          <w:p w14:paraId="72B16430" w14:textId="77777777" w:rsidR="00B36F01" w:rsidRPr="00E16F49" w:rsidRDefault="00B36F01" w:rsidP="0062724C">
            <w:pPr>
              <w:spacing w:before="0" w:after="0"/>
              <w:jc w:val="center"/>
              <w:rPr>
                <w:rFonts w:eastAsia="Times New Roman" w:cs="Arial"/>
                <w:b/>
                <w:bCs/>
                <w:color w:val="FFFFFF"/>
                <w:szCs w:val="24"/>
                <w:lang w:eastAsia="es-CO"/>
              </w:rPr>
            </w:pPr>
          </w:p>
        </w:tc>
        <w:tc>
          <w:tcPr>
            <w:tcW w:w="199" w:type="pct"/>
            <w:tcBorders>
              <w:top w:val="single" w:sz="4" w:space="0" w:color="9BC2E6"/>
              <w:left w:val="single" w:sz="4" w:space="0" w:color="9BC2E6"/>
              <w:bottom w:val="single" w:sz="4" w:space="0" w:color="9BC2E6"/>
              <w:right w:val="nil"/>
            </w:tcBorders>
            <w:shd w:val="clear" w:color="5B9BD5" w:fill="5B9BD5"/>
            <w:noWrap/>
            <w:vAlign w:val="center"/>
            <w:hideMark/>
          </w:tcPr>
          <w:p w14:paraId="1A5D8D49" w14:textId="0ECA5075" w:rsidR="00B36F01" w:rsidRPr="00E16F49" w:rsidRDefault="00B36F01" w:rsidP="0062724C">
            <w:pPr>
              <w:spacing w:before="0" w:after="0"/>
              <w:jc w:val="center"/>
              <w:rPr>
                <w:rFonts w:eastAsia="Times New Roman" w:cs="Arial"/>
                <w:b/>
                <w:bCs/>
                <w:color w:val="FFFFFF"/>
                <w:szCs w:val="24"/>
                <w:lang w:eastAsia="es-CO"/>
              </w:rPr>
            </w:pPr>
          </w:p>
        </w:tc>
        <w:tc>
          <w:tcPr>
            <w:tcW w:w="2013" w:type="pct"/>
            <w:tcBorders>
              <w:top w:val="single" w:sz="4" w:space="0" w:color="9BC2E6"/>
              <w:left w:val="nil"/>
              <w:bottom w:val="single" w:sz="4" w:space="0" w:color="9BC2E6"/>
              <w:right w:val="single" w:sz="4" w:space="0" w:color="9BC2E6"/>
            </w:tcBorders>
            <w:shd w:val="clear" w:color="5B9BD5" w:fill="5B9BD5"/>
            <w:noWrap/>
            <w:vAlign w:val="center"/>
            <w:hideMark/>
          </w:tcPr>
          <w:p w14:paraId="1201E923" w14:textId="77777777" w:rsidR="00B36F01" w:rsidRPr="00E16F49" w:rsidRDefault="00B36F01" w:rsidP="0062724C">
            <w:pPr>
              <w:spacing w:before="0" w:after="0"/>
              <w:jc w:val="center"/>
              <w:rPr>
                <w:rFonts w:eastAsia="Times New Roman" w:cs="Arial"/>
                <w:b/>
                <w:bCs/>
                <w:color w:val="FFFFFF"/>
                <w:szCs w:val="24"/>
                <w:lang w:eastAsia="es-CO"/>
              </w:rPr>
            </w:pPr>
            <w:r w:rsidRPr="00E16F49">
              <w:rPr>
                <w:rFonts w:eastAsia="Times New Roman" w:cs="Arial"/>
                <w:b/>
                <w:bCs/>
                <w:color w:val="FFFFFF"/>
                <w:szCs w:val="24"/>
                <w:lang w:eastAsia="es-CO"/>
              </w:rPr>
              <w:t>Oportunidades</w:t>
            </w:r>
          </w:p>
        </w:tc>
      </w:tr>
      <w:tr w:rsidR="007719E7" w:rsidRPr="00E16F49" w14:paraId="0E060D45" w14:textId="77777777" w:rsidTr="002B0091">
        <w:trPr>
          <w:trHeight w:val="579"/>
        </w:trPr>
        <w:tc>
          <w:tcPr>
            <w:tcW w:w="309" w:type="pct"/>
            <w:vMerge/>
            <w:tcBorders>
              <w:top w:val="nil"/>
              <w:left w:val="nil"/>
              <w:bottom w:val="nil"/>
              <w:right w:val="nil"/>
            </w:tcBorders>
            <w:vAlign w:val="center"/>
            <w:hideMark/>
          </w:tcPr>
          <w:p w14:paraId="7F43565F" w14:textId="77777777" w:rsidR="007719E7" w:rsidRPr="00E16F49" w:rsidRDefault="007719E7" w:rsidP="007719E7">
            <w:pPr>
              <w:spacing w:before="0" w:after="0"/>
              <w:rPr>
                <w:rFonts w:eastAsia="Times New Roman" w:cs="Arial"/>
                <w:b/>
                <w:bCs/>
                <w:i/>
                <w:iCs/>
                <w:color w:val="FFFFFF"/>
                <w:szCs w:val="24"/>
                <w:lang w:eastAsia="es-CO"/>
              </w:rPr>
            </w:pPr>
          </w:p>
        </w:tc>
        <w:tc>
          <w:tcPr>
            <w:tcW w:w="83" w:type="pct"/>
            <w:tcBorders>
              <w:top w:val="nil"/>
              <w:left w:val="nil"/>
              <w:bottom w:val="nil"/>
              <w:right w:val="nil"/>
            </w:tcBorders>
            <w:noWrap/>
            <w:vAlign w:val="center"/>
            <w:hideMark/>
          </w:tcPr>
          <w:p w14:paraId="55558581" w14:textId="77777777" w:rsidR="007719E7" w:rsidRPr="00E16F49" w:rsidRDefault="007719E7" w:rsidP="007719E7">
            <w:pPr>
              <w:spacing w:before="0" w:after="0"/>
              <w:jc w:val="center"/>
              <w:rPr>
                <w:rFonts w:eastAsia="Times New Roman" w:cs="Arial"/>
                <w:b/>
                <w:bCs/>
                <w:color w:val="FFFFFF"/>
                <w:szCs w:val="24"/>
                <w:lang w:eastAsia="es-CO"/>
              </w:rPr>
            </w:pPr>
          </w:p>
        </w:tc>
        <w:tc>
          <w:tcPr>
            <w:tcW w:w="199" w:type="pct"/>
            <w:tcBorders>
              <w:top w:val="single" w:sz="4" w:space="0" w:color="A9D08E"/>
              <w:left w:val="single" w:sz="4" w:space="0" w:color="A9D08E"/>
              <w:bottom w:val="single" w:sz="4" w:space="0" w:color="A9D08E"/>
              <w:right w:val="nil"/>
            </w:tcBorders>
            <w:shd w:val="clear" w:color="E2EFDA" w:fill="E2EFDA"/>
            <w:noWrap/>
            <w:vAlign w:val="center"/>
            <w:hideMark/>
          </w:tcPr>
          <w:p w14:paraId="4CEF7D9B" w14:textId="77777777" w:rsidR="007719E7" w:rsidRPr="00E16F49" w:rsidRDefault="007719E7" w:rsidP="007719E7">
            <w:pPr>
              <w:spacing w:before="0" w:after="0"/>
              <w:jc w:val="center"/>
              <w:rPr>
                <w:rFonts w:eastAsia="Times New Roman" w:cs="Arial"/>
                <w:b/>
                <w:bCs/>
                <w:color w:val="000000"/>
                <w:szCs w:val="24"/>
                <w:lang w:eastAsia="es-CO"/>
              </w:rPr>
            </w:pPr>
            <w:r w:rsidRPr="00E16F49">
              <w:rPr>
                <w:rFonts w:eastAsia="Times New Roman" w:cs="Arial"/>
                <w:b/>
                <w:bCs/>
                <w:color w:val="000000"/>
                <w:szCs w:val="24"/>
                <w:lang w:eastAsia="es-CO"/>
              </w:rPr>
              <w:t>1</w:t>
            </w:r>
          </w:p>
        </w:tc>
        <w:tc>
          <w:tcPr>
            <w:tcW w:w="1990" w:type="pct"/>
            <w:tcBorders>
              <w:top w:val="single" w:sz="4" w:space="0" w:color="A9D08E"/>
              <w:left w:val="nil"/>
              <w:bottom w:val="single" w:sz="4" w:space="0" w:color="A9D08E"/>
              <w:right w:val="single" w:sz="4" w:space="0" w:color="A9D08E"/>
            </w:tcBorders>
            <w:shd w:val="clear" w:color="E2EFDA" w:fill="E2EFDA"/>
            <w:hideMark/>
          </w:tcPr>
          <w:p w14:paraId="1AB271B0" w14:textId="316C8935" w:rsidR="007719E7" w:rsidRPr="00E16F49" w:rsidRDefault="007719E7" w:rsidP="007719E7">
            <w:pPr>
              <w:spacing w:before="0" w:after="0"/>
              <w:jc w:val="center"/>
              <w:rPr>
                <w:rFonts w:eastAsia="Times New Roman" w:cs="Arial"/>
                <w:b/>
                <w:bCs/>
                <w:color w:val="000000"/>
                <w:szCs w:val="24"/>
                <w:lang w:eastAsia="es-CO"/>
              </w:rPr>
            </w:pPr>
            <w:r w:rsidRPr="00E16F49">
              <w:rPr>
                <w:rFonts w:cs="Arial"/>
                <w:szCs w:val="24"/>
              </w:rPr>
              <w:t>Trabajo colaborativo entre los integrantes del área</w:t>
            </w:r>
          </w:p>
        </w:tc>
        <w:tc>
          <w:tcPr>
            <w:tcW w:w="204" w:type="pct"/>
            <w:tcBorders>
              <w:top w:val="nil"/>
              <w:left w:val="nil"/>
              <w:bottom w:val="nil"/>
              <w:right w:val="nil"/>
            </w:tcBorders>
            <w:noWrap/>
            <w:vAlign w:val="center"/>
            <w:hideMark/>
          </w:tcPr>
          <w:p w14:paraId="4AC02043" w14:textId="77777777" w:rsidR="007719E7" w:rsidRPr="00E16F49" w:rsidRDefault="007719E7" w:rsidP="007719E7">
            <w:pPr>
              <w:spacing w:before="0" w:after="0"/>
              <w:rPr>
                <w:rFonts w:eastAsia="Times New Roman" w:cs="Arial"/>
                <w:szCs w:val="24"/>
                <w:lang w:eastAsia="es-CO"/>
              </w:rPr>
            </w:pPr>
          </w:p>
        </w:tc>
        <w:tc>
          <w:tcPr>
            <w:tcW w:w="199" w:type="pct"/>
            <w:tcBorders>
              <w:top w:val="single" w:sz="4" w:space="0" w:color="9BC2E6"/>
              <w:left w:val="single" w:sz="4" w:space="0" w:color="9BC2E6"/>
              <w:bottom w:val="single" w:sz="4" w:space="0" w:color="9BC2E6"/>
              <w:right w:val="nil"/>
            </w:tcBorders>
            <w:shd w:val="clear" w:color="DDEBF7" w:fill="DDEBF7"/>
            <w:noWrap/>
            <w:vAlign w:val="center"/>
            <w:hideMark/>
          </w:tcPr>
          <w:p w14:paraId="47A29470" w14:textId="77777777" w:rsidR="007719E7" w:rsidRPr="00E16F49" w:rsidRDefault="007719E7" w:rsidP="007719E7">
            <w:pPr>
              <w:spacing w:before="0" w:after="0"/>
              <w:jc w:val="center"/>
              <w:rPr>
                <w:rFonts w:eastAsia="Times New Roman" w:cs="Arial"/>
                <w:b/>
                <w:bCs/>
                <w:color w:val="000000"/>
                <w:szCs w:val="24"/>
                <w:lang w:eastAsia="es-CO"/>
              </w:rPr>
            </w:pPr>
            <w:r w:rsidRPr="00E16F49">
              <w:rPr>
                <w:rFonts w:eastAsia="Times New Roman" w:cs="Arial"/>
                <w:b/>
                <w:bCs/>
                <w:color w:val="000000"/>
                <w:szCs w:val="24"/>
                <w:lang w:eastAsia="es-CO"/>
              </w:rPr>
              <w:t>1</w:t>
            </w:r>
          </w:p>
        </w:tc>
        <w:tc>
          <w:tcPr>
            <w:tcW w:w="2013" w:type="pct"/>
            <w:tcBorders>
              <w:top w:val="single" w:sz="4" w:space="0" w:color="9BC2E6"/>
              <w:left w:val="nil"/>
              <w:bottom w:val="single" w:sz="4" w:space="0" w:color="9BC2E6"/>
              <w:right w:val="single" w:sz="4" w:space="0" w:color="9BC2E6"/>
            </w:tcBorders>
            <w:shd w:val="clear" w:color="DDEBF7" w:fill="DDEBF7"/>
            <w:hideMark/>
          </w:tcPr>
          <w:p w14:paraId="43256E52" w14:textId="690EE2FF" w:rsidR="007719E7" w:rsidRPr="00E16F49" w:rsidRDefault="007719E7" w:rsidP="007719E7">
            <w:pPr>
              <w:spacing w:before="0" w:after="0"/>
              <w:jc w:val="center"/>
              <w:rPr>
                <w:rFonts w:eastAsia="Times New Roman" w:cs="Arial"/>
                <w:b/>
                <w:bCs/>
                <w:color w:val="000000"/>
                <w:szCs w:val="24"/>
                <w:lang w:eastAsia="es-CO"/>
              </w:rPr>
            </w:pPr>
            <w:r w:rsidRPr="00E16F49">
              <w:rPr>
                <w:rFonts w:cs="Arial"/>
                <w:szCs w:val="24"/>
              </w:rPr>
              <w:t>Posibilidad de digitalización y mejora en la gestión documental</w:t>
            </w:r>
          </w:p>
        </w:tc>
      </w:tr>
      <w:tr w:rsidR="007719E7" w:rsidRPr="00E16F49" w14:paraId="2037FE30" w14:textId="77777777" w:rsidTr="002B0091">
        <w:trPr>
          <w:trHeight w:val="579"/>
        </w:trPr>
        <w:tc>
          <w:tcPr>
            <w:tcW w:w="309" w:type="pct"/>
            <w:vMerge/>
            <w:tcBorders>
              <w:top w:val="nil"/>
              <w:left w:val="nil"/>
              <w:bottom w:val="nil"/>
              <w:right w:val="nil"/>
            </w:tcBorders>
            <w:vAlign w:val="center"/>
            <w:hideMark/>
          </w:tcPr>
          <w:p w14:paraId="1937BC80" w14:textId="77777777" w:rsidR="007719E7" w:rsidRPr="00E16F49" w:rsidRDefault="007719E7" w:rsidP="007719E7">
            <w:pPr>
              <w:spacing w:before="0" w:after="0"/>
              <w:rPr>
                <w:rFonts w:eastAsia="Times New Roman" w:cs="Arial"/>
                <w:b/>
                <w:bCs/>
                <w:i/>
                <w:iCs/>
                <w:color w:val="FFFFFF"/>
                <w:szCs w:val="24"/>
                <w:lang w:eastAsia="es-CO"/>
              </w:rPr>
            </w:pPr>
          </w:p>
        </w:tc>
        <w:tc>
          <w:tcPr>
            <w:tcW w:w="83" w:type="pct"/>
            <w:tcBorders>
              <w:top w:val="nil"/>
              <w:left w:val="nil"/>
              <w:bottom w:val="nil"/>
              <w:right w:val="nil"/>
            </w:tcBorders>
            <w:noWrap/>
            <w:vAlign w:val="center"/>
            <w:hideMark/>
          </w:tcPr>
          <w:p w14:paraId="0A474954" w14:textId="77777777" w:rsidR="007719E7" w:rsidRPr="00E16F49" w:rsidRDefault="007719E7" w:rsidP="007719E7">
            <w:pPr>
              <w:spacing w:before="0" w:after="0"/>
              <w:rPr>
                <w:rFonts w:eastAsia="Times New Roman" w:cs="Arial"/>
                <w:szCs w:val="24"/>
                <w:lang w:eastAsia="es-CO"/>
              </w:rPr>
            </w:pPr>
          </w:p>
        </w:tc>
        <w:tc>
          <w:tcPr>
            <w:tcW w:w="199" w:type="pct"/>
            <w:tcBorders>
              <w:top w:val="single" w:sz="4" w:space="0" w:color="A9D08E"/>
              <w:left w:val="single" w:sz="4" w:space="0" w:color="A9D08E"/>
              <w:bottom w:val="single" w:sz="4" w:space="0" w:color="A9D08E"/>
              <w:right w:val="nil"/>
            </w:tcBorders>
            <w:noWrap/>
            <w:vAlign w:val="center"/>
            <w:hideMark/>
          </w:tcPr>
          <w:p w14:paraId="6BD4D249" w14:textId="77777777" w:rsidR="007719E7" w:rsidRPr="00E16F49" w:rsidRDefault="007719E7" w:rsidP="007719E7">
            <w:pPr>
              <w:spacing w:before="0" w:after="0"/>
              <w:jc w:val="center"/>
              <w:rPr>
                <w:rFonts w:eastAsia="Times New Roman" w:cs="Arial"/>
                <w:b/>
                <w:bCs/>
                <w:color w:val="000000"/>
                <w:szCs w:val="24"/>
                <w:lang w:eastAsia="es-CO"/>
              </w:rPr>
            </w:pPr>
            <w:r w:rsidRPr="00E16F49">
              <w:rPr>
                <w:rFonts w:eastAsia="Times New Roman" w:cs="Arial"/>
                <w:b/>
                <w:bCs/>
                <w:color w:val="000000"/>
                <w:szCs w:val="24"/>
                <w:lang w:eastAsia="es-CO"/>
              </w:rPr>
              <w:t>2</w:t>
            </w:r>
          </w:p>
        </w:tc>
        <w:tc>
          <w:tcPr>
            <w:tcW w:w="1990" w:type="pct"/>
            <w:tcBorders>
              <w:top w:val="single" w:sz="4" w:space="0" w:color="A9D08E"/>
              <w:left w:val="nil"/>
              <w:bottom w:val="single" w:sz="4" w:space="0" w:color="A9D08E"/>
              <w:right w:val="single" w:sz="4" w:space="0" w:color="A9D08E"/>
            </w:tcBorders>
            <w:hideMark/>
          </w:tcPr>
          <w:p w14:paraId="5E943241" w14:textId="2E87159B" w:rsidR="007719E7" w:rsidRPr="00E16F49" w:rsidRDefault="007719E7" w:rsidP="007719E7">
            <w:pPr>
              <w:spacing w:before="0" w:after="0"/>
              <w:jc w:val="center"/>
              <w:rPr>
                <w:rFonts w:eastAsia="Times New Roman" w:cs="Arial"/>
                <w:b/>
                <w:bCs/>
                <w:color w:val="000000"/>
                <w:szCs w:val="24"/>
                <w:lang w:eastAsia="es-CO"/>
              </w:rPr>
            </w:pPr>
            <w:r w:rsidRPr="00E16F49">
              <w:rPr>
                <w:rFonts w:cs="Arial"/>
                <w:szCs w:val="24"/>
              </w:rPr>
              <w:t>Claridad en la asignación de funciones</w:t>
            </w:r>
          </w:p>
        </w:tc>
        <w:tc>
          <w:tcPr>
            <w:tcW w:w="204" w:type="pct"/>
            <w:tcBorders>
              <w:top w:val="nil"/>
              <w:left w:val="nil"/>
              <w:bottom w:val="nil"/>
              <w:right w:val="nil"/>
            </w:tcBorders>
            <w:noWrap/>
            <w:vAlign w:val="center"/>
            <w:hideMark/>
          </w:tcPr>
          <w:p w14:paraId="7658CBA4" w14:textId="77777777" w:rsidR="007719E7" w:rsidRPr="00E16F49" w:rsidRDefault="007719E7" w:rsidP="007719E7">
            <w:pPr>
              <w:spacing w:before="0" w:after="0"/>
              <w:rPr>
                <w:rFonts w:eastAsia="Times New Roman" w:cs="Arial"/>
                <w:szCs w:val="24"/>
                <w:lang w:eastAsia="es-CO"/>
              </w:rPr>
            </w:pPr>
          </w:p>
        </w:tc>
        <w:tc>
          <w:tcPr>
            <w:tcW w:w="199" w:type="pct"/>
            <w:tcBorders>
              <w:top w:val="single" w:sz="4" w:space="0" w:color="9BC2E6"/>
              <w:left w:val="single" w:sz="4" w:space="0" w:color="9BC2E6"/>
              <w:bottom w:val="single" w:sz="4" w:space="0" w:color="9BC2E6"/>
              <w:right w:val="nil"/>
            </w:tcBorders>
            <w:noWrap/>
            <w:vAlign w:val="center"/>
            <w:hideMark/>
          </w:tcPr>
          <w:p w14:paraId="47893F39" w14:textId="77777777" w:rsidR="007719E7" w:rsidRPr="00E16F49" w:rsidRDefault="007719E7" w:rsidP="007719E7">
            <w:pPr>
              <w:spacing w:before="0" w:after="0"/>
              <w:jc w:val="center"/>
              <w:rPr>
                <w:rFonts w:eastAsia="Times New Roman" w:cs="Arial"/>
                <w:b/>
                <w:bCs/>
                <w:color w:val="000000"/>
                <w:szCs w:val="24"/>
                <w:lang w:eastAsia="es-CO"/>
              </w:rPr>
            </w:pPr>
            <w:r w:rsidRPr="00E16F49">
              <w:rPr>
                <w:rFonts w:eastAsia="Times New Roman" w:cs="Arial"/>
                <w:b/>
                <w:bCs/>
                <w:color w:val="000000"/>
                <w:szCs w:val="24"/>
                <w:lang w:eastAsia="es-CO"/>
              </w:rPr>
              <w:t>2</w:t>
            </w:r>
          </w:p>
        </w:tc>
        <w:tc>
          <w:tcPr>
            <w:tcW w:w="2013" w:type="pct"/>
            <w:tcBorders>
              <w:top w:val="single" w:sz="4" w:space="0" w:color="9BC2E6"/>
              <w:left w:val="nil"/>
              <w:bottom w:val="single" w:sz="4" w:space="0" w:color="9BC2E6"/>
              <w:right w:val="single" w:sz="4" w:space="0" w:color="9BC2E6"/>
            </w:tcBorders>
            <w:hideMark/>
          </w:tcPr>
          <w:p w14:paraId="774B563B" w14:textId="34677CC5" w:rsidR="007719E7" w:rsidRPr="00E16F49" w:rsidRDefault="0064507E" w:rsidP="007719E7">
            <w:pPr>
              <w:spacing w:before="0" w:after="0"/>
              <w:jc w:val="center"/>
              <w:rPr>
                <w:rFonts w:eastAsia="Times New Roman" w:cs="Arial"/>
                <w:b/>
                <w:bCs/>
                <w:color w:val="000000"/>
                <w:szCs w:val="24"/>
                <w:lang w:eastAsia="es-CO"/>
              </w:rPr>
            </w:pPr>
            <w:r>
              <w:rPr>
                <w:rFonts w:cs="Arial"/>
                <w:szCs w:val="24"/>
              </w:rPr>
              <w:t>Consolidación</w:t>
            </w:r>
            <w:r w:rsidR="007719E7" w:rsidRPr="00E16F49">
              <w:rPr>
                <w:rFonts w:cs="Arial"/>
                <w:szCs w:val="24"/>
              </w:rPr>
              <w:t xml:space="preserve"> de procesos mediante estandarización y documentación</w:t>
            </w:r>
          </w:p>
        </w:tc>
      </w:tr>
      <w:tr w:rsidR="007719E7" w:rsidRPr="00E16F49" w14:paraId="12C75691" w14:textId="77777777" w:rsidTr="002B0091">
        <w:trPr>
          <w:trHeight w:val="579"/>
        </w:trPr>
        <w:tc>
          <w:tcPr>
            <w:tcW w:w="309" w:type="pct"/>
            <w:vMerge/>
            <w:tcBorders>
              <w:top w:val="nil"/>
              <w:left w:val="nil"/>
              <w:bottom w:val="nil"/>
              <w:right w:val="nil"/>
            </w:tcBorders>
            <w:vAlign w:val="center"/>
            <w:hideMark/>
          </w:tcPr>
          <w:p w14:paraId="1F1F2885" w14:textId="77777777" w:rsidR="007719E7" w:rsidRPr="00E16F49" w:rsidRDefault="007719E7" w:rsidP="007719E7">
            <w:pPr>
              <w:spacing w:before="0" w:after="0"/>
              <w:rPr>
                <w:rFonts w:eastAsia="Times New Roman" w:cs="Arial"/>
                <w:b/>
                <w:bCs/>
                <w:i/>
                <w:iCs/>
                <w:color w:val="FFFFFF"/>
                <w:szCs w:val="24"/>
                <w:lang w:eastAsia="es-CO"/>
              </w:rPr>
            </w:pPr>
          </w:p>
        </w:tc>
        <w:tc>
          <w:tcPr>
            <w:tcW w:w="83" w:type="pct"/>
            <w:tcBorders>
              <w:top w:val="nil"/>
              <w:left w:val="nil"/>
              <w:bottom w:val="nil"/>
              <w:right w:val="nil"/>
            </w:tcBorders>
            <w:noWrap/>
            <w:vAlign w:val="center"/>
            <w:hideMark/>
          </w:tcPr>
          <w:p w14:paraId="096228D2" w14:textId="77777777" w:rsidR="007719E7" w:rsidRPr="00E16F49" w:rsidRDefault="007719E7" w:rsidP="007719E7">
            <w:pPr>
              <w:spacing w:before="0" w:after="0"/>
              <w:rPr>
                <w:rFonts w:eastAsia="Times New Roman" w:cs="Arial"/>
                <w:szCs w:val="24"/>
                <w:lang w:eastAsia="es-CO"/>
              </w:rPr>
            </w:pPr>
          </w:p>
        </w:tc>
        <w:tc>
          <w:tcPr>
            <w:tcW w:w="199" w:type="pct"/>
            <w:tcBorders>
              <w:top w:val="single" w:sz="4" w:space="0" w:color="A9D08E"/>
              <w:left w:val="single" w:sz="4" w:space="0" w:color="A9D08E"/>
              <w:bottom w:val="single" w:sz="4" w:space="0" w:color="A9D08E"/>
              <w:right w:val="nil"/>
            </w:tcBorders>
            <w:shd w:val="clear" w:color="E2EFDA" w:fill="E2EFDA"/>
            <w:noWrap/>
            <w:vAlign w:val="center"/>
            <w:hideMark/>
          </w:tcPr>
          <w:p w14:paraId="15C4C41A" w14:textId="77777777" w:rsidR="007719E7" w:rsidRPr="00E16F49" w:rsidRDefault="007719E7" w:rsidP="007719E7">
            <w:pPr>
              <w:spacing w:before="0" w:after="0"/>
              <w:jc w:val="center"/>
              <w:rPr>
                <w:rFonts w:eastAsia="Times New Roman" w:cs="Arial"/>
                <w:b/>
                <w:bCs/>
                <w:color w:val="000000"/>
                <w:szCs w:val="24"/>
                <w:lang w:eastAsia="es-CO"/>
              </w:rPr>
            </w:pPr>
            <w:r w:rsidRPr="00E16F49">
              <w:rPr>
                <w:rFonts w:eastAsia="Times New Roman" w:cs="Arial"/>
                <w:b/>
                <w:bCs/>
                <w:color w:val="000000"/>
                <w:szCs w:val="24"/>
                <w:lang w:eastAsia="es-CO"/>
              </w:rPr>
              <w:t>3</w:t>
            </w:r>
          </w:p>
        </w:tc>
        <w:tc>
          <w:tcPr>
            <w:tcW w:w="1990" w:type="pct"/>
            <w:tcBorders>
              <w:top w:val="single" w:sz="4" w:space="0" w:color="A9D08E"/>
              <w:left w:val="nil"/>
              <w:bottom w:val="single" w:sz="4" w:space="0" w:color="A9D08E"/>
              <w:right w:val="single" w:sz="4" w:space="0" w:color="A9D08E"/>
            </w:tcBorders>
            <w:shd w:val="clear" w:color="E2EFDA" w:fill="E2EFDA"/>
            <w:hideMark/>
          </w:tcPr>
          <w:p w14:paraId="38A3DBAF" w14:textId="3FCA6392" w:rsidR="007719E7" w:rsidRPr="00E16F49" w:rsidRDefault="007719E7" w:rsidP="007719E7">
            <w:pPr>
              <w:spacing w:before="0" w:after="0"/>
              <w:jc w:val="center"/>
              <w:rPr>
                <w:rFonts w:eastAsia="Times New Roman" w:cs="Arial"/>
                <w:b/>
                <w:bCs/>
                <w:color w:val="000000"/>
                <w:szCs w:val="24"/>
                <w:lang w:eastAsia="es-CO"/>
              </w:rPr>
            </w:pPr>
            <w:r w:rsidRPr="00E16F49">
              <w:rPr>
                <w:rFonts w:cs="Arial"/>
                <w:szCs w:val="24"/>
              </w:rPr>
              <w:t>Cumplimiento de procesos presupuestales conforme a la normatividad</w:t>
            </w:r>
          </w:p>
        </w:tc>
        <w:tc>
          <w:tcPr>
            <w:tcW w:w="204" w:type="pct"/>
            <w:tcBorders>
              <w:top w:val="nil"/>
              <w:left w:val="nil"/>
              <w:bottom w:val="nil"/>
              <w:right w:val="nil"/>
            </w:tcBorders>
            <w:noWrap/>
            <w:vAlign w:val="center"/>
            <w:hideMark/>
          </w:tcPr>
          <w:p w14:paraId="012F91EF" w14:textId="77777777" w:rsidR="007719E7" w:rsidRPr="00E16F49" w:rsidRDefault="007719E7" w:rsidP="007719E7">
            <w:pPr>
              <w:spacing w:before="0" w:after="0"/>
              <w:rPr>
                <w:rFonts w:eastAsia="Times New Roman" w:cs="Arial"/>
                <w:szCs w:val="24"/>
                <w:lang w:eastAsia="es-CO"/>
              </w:rPr>
            </w:pPr>
          </w:p>
        </w:tc>
        <w:tc>
          <w:tcPr>
            <w:tcW w:w="199" w:type="pct"/>
            <w:tcBorders>
              <w:top w:val="single" w:sz="4" w:space="0" w:color="9BC2E6"/>
              <w:left w:val="single" w:sz="4" w:space="0" w:color="9BC2E6"/>
              <w:bottom w:val="single" w:sz="4" w:space="0" w:color="9BC2E6"/>
              <w:right w:val="nil"/>
            </w:tcBorders>
            <w:shd w:val="clear" w:color="DDEBF7" w:fill="DDEBF7"/>
            <w:noWrap/>
            <w:vAlign w:val="center"/>
            <w:hideMark/>
          </w:tcPr>
          <w:p w14:paraId="18FE2AA2" w14:textId="77777777" w:rsidR="007719E7" w:rsidRPr="00E16F49" w:rsidRDefault="007719E7" w:rsidP="007719E7">
            <w:pPr>
              <w:spacing w:before="0" w:after="0"/>
              <w:jc w:val="center"/>
              <w:rPr>
                <w:rFonts w:eastAsia="Times New Roman" w:cs="Arial"/>
                <w:b/>
                <w:bCs/>
                <w:color w:val="000000"/>
                <w:szCs w:val="24"/>
                <w:lang w:eastAsia="es-CO"/>
              </w:rPr>
            </w:pPr>
            <w:r w:rsidRPr="00E16F49">
              <w:rPr>
                <w:rFonts w:eastAsia="Times New Roman" w:cs="Arial"/>
                <w:b/>
                <w:bCs/>
                <w:color w:val="000000"/>
                <w:szCs w:val="24"/>
                <w:lang w:eastAsia="es-CO"/>
              </w:rPr>
              <w:t>3</w:t>
            </w:r>
          </w:p>
        </w:tc>
        <w:tc>
          <w:tcPr>
            <w:tcW w:w="2013" w:type="pct"/>
            <w:tcBorders>
              <w:top w:val="single" w:sz="4" w:space="0" w:color="9BC2E6"/>
              <w:left w:val="nil"/>
              <w:bottom w:val="single" w:sz="4" w:space="0" w:color="9BC2E6"/>
              <w:right w:val="single" w:sz="4" w:space="0" w:color="9BC2E6"/>
            </w:tcBorders>
            <w:shd w:val="clear" w:color="DDEBF7" w:fill="DDEBF7"/>
            <w:hideMark/>
          </w:tcPr>
          <w:p w14:paraId="69B65427" w14:textId="6A674400" w:rsidR="007719E7" w:rsidRPr="00E16F49" w:rsidRDefault="007719E7" w:rsidP="007719E7">
            <w:pPr>
              <w:spacing w:before="0" w:after="0"/>
              <w:jc w:val="center"/>
              <w:rPr>
                <w:rFonts w:eastAsia="Times New Roman" w:cs="Arial"/>
                <w:b/>
                <w:bCs/>
                <w:color w:val="000000"/>
                <w:szCs w:val="24"/>
                <w:lang w:eastAsia="es-CO"/>
              </w:rPr>
            </w:pPr>
            <w:r w:rsidRPr="00E16F49">
              <w:rPr>
                <w:rFonts w:cs="Arial"/>
                <w:szCs w:val="24"/>
              </w:rPr>
              <w:t>Implementación de herramientas tecnológicas más actualizadas</w:t>
            </w:r>
          </w:p>
        </w:tc>
      </w:tr>
      <w:tr w:rsidR="007719E7" w:rsidRPr="00E16F49" w14:paraId="4BBB9C60" w14:textId="77777777" w:rsidTr="002B0091">
        <w:trPr>
          <w:trHeight w:val="579"/>
        </w:trPr>
        <w:tc>
          <w:tcPr>
            <w:tcW w:w="309" w:type="pct"/>
            <w:vMerge/>
            <w:tcBorders>
              <w:top w:val="nil"/>
              <w:left w:val="nil"/>
              <w:bottom w:val="nil"/>
              <w:right w:val="nil"/>
            </w:tcBorders>
            <w:vAlign w:val="center"/>
            <w:hideMark/>
          </w:tcPr>
          <w:p w14:paraId="0450B42C" w14:textId="77777777" w:rsidR="007719E7" w:rsidRPr="00E16F49" w:rsidRDefault="007719E7" w:rsidP="007719E7">
            <w:pPr>
              <w:spacing w:before="0" w:after="0"/>
              <w:rPr>
                <w:rFonts w:eastAsia="Times New Roman" w:cs="Arial"/>
                <w:b/>
                <w:bCs/>
                <w:i/>
                <w:iCs/>
                <w:color w:val="FFFFFF"/>
                <w:szCs w:val="24"/>
                <w:lang w:eastAsia="es-CO"/>
              </w:rPr>
            </w:pPr>
          </w:p>
        </w:tc>
        <w:tc>
          <w:tcPr>
            <w:tcW w:w="83" w:type="pct"/>
            <w:tcBorders>
              <w:top w:val="nil"/>
              <w:left w:val="nil"/>
              <w:bottom w:val="nil"/>
              <w:right w:val="nil"/>
            </w:tcBorders>
            <w:noWrap/>
            <w:vAlign w:val="center"/>
            <w:hideMark/>
          </w:tcPr>
          <w:p w14:paraId="271CB801" w14:textId="77777777" w:rsidR="007719E7" w:rsidRPr="00E16F49" w:rsidRDefault="007719E7" w:rsidP="007719E7">
            <w:pPr>
              <w:spacing w:before="0" w:after="0"/>
              <w:rPr>
                <w:rFonts w:eastAsia="Times New Roman" w:cs="Arial"/>
                <w:szCs w:val="24"/>
                <w:lang w:eastAsia="es-CO"/>
              </w:rPr>
            </w:pPr>
          </w:p>
        </w:tc>
        <w:tc>
          <w:tcPr>
            <w:tcW w:w="199" w:type="pct"/>
            <w:tcBorders>
              <w:top w:val="single" w:sz="4" w:space="0" w:color="A9D08E"/>
              <w:left w:val="single" w:sz="4" w:space="0" w:color="A9D08E"/>
              <w:bottom w:val="single" w:sz="4" w:space="0" w:color="A9D08E"/>
              <w:right w:val="nil"/>
            </w:tcBorders>
            <w:noWrap/>
            <w:vAlign w:val="center"/>
            <w:hideMark/>
          </w:tcPr>
          <w:p w14:paraId="13CBC4CD" w14:textId="77777777" w:rsidR="007719E7" w:rsidRPr="00E16F49" w:rsidRDefault="007719E7" w:rsidP="007719E7">
            <w:pPr>
              <w:spacing w:before="0" w:after="0"/>
              <w:jc w:val="center"/>
              <w:rPr>
                <w:rFonts w:eastAsia="Times New Roman" w:cs="Arial"/>
                <w:b/>
                <w:bCs/>
                <w:color w:val="000000"/>
                <w:szCs w:val="24"/>
                <w:lang w:eastAsia="es-CO"/>
              </w:rPr>
            </w:pPr>
            <w:r w:rsidRPr="00E16F49">
              <w:rPr>
                <w:rFonts w:eastAsia="Times New Roman" w:cs="Arial"/>
                <w:b/>
                <w:bCs/>
                <w:color w:val="000000"/>
                <w:szCs w:val="24"/>
                <w:lang w:eastAsia="es-CO"/>
              </w:rPr>
              <w:t>4</w:t>
            </w:r>
          </w:p>
        </w:tc>
        <w:tc>
          <w:tcPr>
            <w:tcW w:w="1990" w:type="pct"/>
            <w:tcBorders>
              <w:top w:val="single" w:sz="4" w:space="0" w:color="A9D08E"/>
              <w:left w:val="nil"/>
              <w:bottom w:val="single" w:sz="4" w:space="0" w:color="A9D08E"/>
              <w:right w:val="single" w:sz="4" w:space="0" w:color="A9D08E"/>
            </w:tcBorders>
            <w:hideMark/>
          </w:tcPr>
          <w:p w14:paraId="0B499610" w14:textId="7DC2A6C2" w:rsidR="007719E7" w:rsidRPr="00E16F49" w:rsidRDefault="007719E7" w:rsidP="007719E7">
            <w:pPr>
              <w:spacing w:before="0" w:after="0"/>
              <w:jc w:val="center"/>
              <w:rPr>
                <w:rFonts w:eastAsia="Times New Roman" w:cs="Arial"/>
                <w:b/>
                <w:bCs/>
                <w:color w:val="000000"/>
                <w:szCs w:val="24"/>
                <w:lang w:eastAsia="es-CO"/>
              </w:rPr>
            </w:pPr>
            <w:r w:rsidRPr="00E16F49">
              <w:rPr>
                <w:rFonts w:cs="Arial"/>
                <w:szCs w:val="24"/>
              </w:rPr>
              <w:t>Uso de herramientas tecnológicas para el registro y control de información</w:t>
            </w:r>
          </w:p>
        </w:tc>
        <w:tc>
          <w:tcPr>
            <w:tcW w:w="204" w:type="pct"/>
            <w:tcBorders>
              <w:top w:val="nil"/>
              <w:left w:val="nil"/>
              <w:bottom w:val="nil"/>
              <w:right w:val="nil"/>
            </w:tcBorders>
            <w:noWrap/>
            <w:vAlign w:val="center"/>
            <w:hideMark/>
          </w:tcPr>
          <w:p w14:paraId="210E9006" w14:textId="77777777" w:rsidR="007719E7" w:rsidRPr="00E16F49" w:rsidRDefault="007719E7" w:rsidP="007719E7">
            <w:pPr>
              <w:spacing w:before="0" w:after="0"/>
              <w:rPr>
                <w:rFonts w:eastAsia="Times New Roman" w:cs="Arial"/>
                <w:szCs w:val="24"/>
                <w:lang w:eastAsia="es-CO"/>
              </w:rPr>
            </w:pPr>
          </w:p>
        </w:tc>
        <w:tc>
          <w:tcPr>
            <w:tcW w:w="199" w:type="pct"/>
            <w:tcBorders>
              <w:top w:val="single" w:sz="4" w:space="0" w:color="9BC2E6"/>
              <w:left w:val="single" w:sz="4" w:space="0" w:color="9BC2E6"/>
              <w:bottom w:val="single" w:sz="4" w:space="0" w:color="9BC2E6"/>
              <w:right w:val="nil"/>
            </w:tcBorders>
            <w:noWrap/>
            <w:vAlign w:val="center"/>
            <w:hideMark/>
          </w:tcPr>
          <w:p w14:paraId="46B7F019" w14:textId="77777777" w:rsidR="007719E7" w:rsidRPr="00E16F49" w:rsidRDefault="007719E7" w:rsidP="007719E7">
            <w:pPr>
              <w:spacing w:before="0" w:after="0"/>
              <w:jc w:val="center"/>
              <w:rPr>
                <w:rFonts w:eastAsia="Times New Roman" w:cs="Arial"/>
                <w:b/>
                <w:bCs/>
                <w:color w:val="000000"/>
                <w:szCs w:val="24"/>
                <w:lang w:eastAsia="es-CO"/>
              </w:rPr>
            </w:pPr>
            <w:r w:rsidRPr="00E16F49">
              <w:rPr>
                <w:rFonts w:eastAsia="Times New Roman" w:cs="Arial"/>
                <w:b/>
                <w:bCs/>
                <w:color w:val="000000"/>
                <w:szCs w:val="24"/>
                <w:lang w:eastAsia="es-CO"/>
              </w:rPr>
              <w:t>4</w:t>
            </w:r>
          </w:p>
        </w:tc>
        <w:tc>
          <w:tcPr>
            <w:tcW w:w="2013" w:type="pct"/>
            <w:tcBorders>
              <w:top w:val="single" w:sz="4" w:space="0" w:color="9BC2E6"/>
              <w:left w:val="nil"/>
              <w:bottom w:val="single" w:sz="4" w:space="0" w:color="9BC2E6"/>
              <w:right w:val="single" w:sz="4" w:space="0" w:color="9BC2E6"/>
            </w:tcBorders>
            <w:hideMark/>
          </w:tcPr>
          <w:p w14:paraId="1982D895" w14:textId="045F9691" w:rsidR="007719E7" w:rsidRPr="00E16F49" w:rsidRDefault="007719E7" w:rsidP="007719E7">
            <w:pPr>
              <w:spacing w:before="0" w:after="0"/>
              <w:jc w:val="center"/>
              <w:rPr>
                <w:rFonts w:eastAsia="Times New Roman" w:cs="Arial"/>
                <w:b/>
                <w:bCs/>
                <w:color w:val="000000"/>
                <w:szCs w:val="24"/>
                <w:lang w:eastAsia="es-CO"/>
              </w:rPr>
            </w:pPr>
            <w:r w:rsidRPr="00E16F49">
              <w:rPr>
                <w:rFonts w:cs="Arial"/>
                <w:szCs w:val="24"/>
              </w:rPr>
              <w:t>Formación continua del personal y practicantes</w:t>
            </w:r>
          </w:p>
        </w:tc>
      </w:tr>
    </w:tbl>
    <w:p w14:paraId="7F113D23" w14:textId="1C6BF663" w:rsidR="00BF5CE2" w:rsidRDefault="00BF5CE2" w:rsidP="00BF5CE2">
      <w:pPr>
        <w:spacing w:before="0"/>
        <w:rPr>
          <w:rFonts w:cs="Arial"/>
          <w:szCs w:val="24"/>
          <w:lang w:val="es-MX"/>
        </w:rPr>
      </w:pPr>
      <w:r w:rsidRPr="00BF5CE2">
        <w:rPr>
          <w:rFonts w:cs="Arial"/>
          <w:b/>
          <w:bCs/>
          <w:szCs w:val="24"/>
          <w:lang w:val="es-MX"/>
        </w:rPr>
        <w:t>Fuente</w:t>
      </w:r>
      <w:r>
        <w:rPr>
          <w:rFonts w:cs="Arial"/>
          <w:szCs w:val="24"/>
          <w:lang w:val="es-MX"/>
        </w:rPr>
        <w:t>: elaboración propia.</w:t>
      </w:r>
    </w:p>
    <w:p w14:paraId="77FCB060" w14:textId="3A9314B4" w:rsidR="00EB6A1D" w:rsidRDefault="00EB6A1D" w:rsidP="00823143">
      <w:pPr>
        <w:spacing w:before="480"/>
        <w:rPr>
          <w:rFonts w:cs="Arial"/>
          <w:szCs w:val="24"/>
          <w:lang w:val="es-MX"/>
        </w:rPr>
      </w:pPr>
      <w:r w:rsidRPr="00EB6A1D">
        <w:rPr>
          <w:rFonts w:cs="Arial"/>
          <w:szCs w:val="24"/>
          <w:lang w:val="es-MX"/>
        </w:rPr>
        <w:t xml:space="preserve">En conjunto, la matriz DOFA evidencia </w:t>
      </w:r>
      <w:r>
        <w:rPr>
          <w:rFonts w:cs="Arial"/>
          <w:szCs w:val="24"/>
          <w:lang w:val="es-MX"/>
        </w:rPr>
        <w:t xml:space="preserve">lo ya escrito, </w:t>
      </w:r>
      <w:r w:rsidRPr="00EB6A1D">
        <w:rPr>
          <w:rFonts w:cs="Arial"/>
          <w:szCs w:val="24"/>
          <w:lang w:val="es-MX"/>
        </w:rPr>
        <w:t>que el área de Presupuesto cuenta con una base operativa funcional, sustentada en el cumplimiento de la normatividad y en dinámicas de trabajo colaborativo,</w:t>
      </w:r>
      <w:r>
        <w:rPr>
          <w:rFonts w:cs="Arial"/>
          <w:szCs w:val="24"/>
          <w:lang w:val="es-MX"/>
        </w:rPr>
        <w:t xml:space="preserve"> pero</w:t>
      </w:r>
      <w:r w:rsidRPr="00EB6A1D">
        <w:rPr>
          <w:rFonts w:cs="Arial"/>
          <w:szCs w:val="24"/>
          <w:lang w:val="es-MX"/>
        </w:rPr>
        <w:t xml:space="preserve">, </w:t>
      </w:r>
      <w:r>
        <w:rPr>
          <w:rFonts w:cs="Arial"/>
          <w:szCs w:val="24"/>
          <w:lang w:val="es-MX"/>
        </w:rPr>
        <w:t xml:space="preserve">por otra parte, </w:t>
      </w:r>
      <w:r w:rsidRPr="00EB6A1D">
        <w:rPr>
          <w:rFonts w:cs="Arial"/>
          <w:szCs w:val="24"/>
          <w:lang w:val="es-MX"/>
        </w:rPr>
        <w:t xml:space="preserve">enfrenta limitaciones estructurales relacionadas con la infraestructura, la disponibilidad tecnológica y la estandarización de sus procesos. </w:t>
      </w:r>
    </w:p>
    <w:p w14:paraId="0DFD6DE4" w14:textId="3E0977F3" w:rsidR="009D5B62" w:rsidRDefault="00EB6A1D" w:rsidP="00EB6A1D">
      <w:pPr>
        <w:spacing w:before="480" w:after="480"/>
        <w:rPr>
          <w:rFonts w:cs="Arial"/>
          <w:szCs w:val="24"/>
          <w:lang w:val="es-MX"/>
        </w:rPr>
      </w:pPr>
      <w:r w:rsidRPr="00EB6A1D">
        <w:rPr>
          <w:rFonts w:cs="Arial"/>
          <w:szCs w:val="24"/>
          <w:lang w:val="es-MX"/>
        </w:rPr>
        <w:t xml:space="preserve">Estas condiciones, sumadas a la alta carga laboral y a la dependencia del conocimiento individual, </w:t>
      </w:r>
      <w:r>
        <w:rPr>
          <w:rFonts w:cs="Arial"/>
          <w:szCs w:val="24"/>
          <w:lang w:val="es-MX"/>
        </w:rPr>
        <w:t>forman</w:t>
      </w:r>
      <w:r w:rsidRPr="00EB6A1D">
        <w:rPr>
          <w:rFonts w:cs="Arial"/>
          <w:szCs w:val="24"/>
          <w:lang w:val="es-MX"/>
        </w:rPr>
        <w:t xml:space="preserve"> un </w:t>
      </w:r>
      <w:r>
        <w:rPr>
          <w:rFonts w:cs="Arial"/>
          <w:szCs w:val="24"/>
          <w:lang w:val="es-MX"/>
        </w:rPr>
        <w:t xml:space="preserve">entorno </w:t>
      </w:r>
      <w:r w:rsidRPr="00EB6A1D">
        <w:rPr>
          <w:rFonts w:cs="Arial"/>
          <w:szCs w:val="24"/>
          <w:lang w:val="es-MX"/>
        </w:rPr>
        <w:t>que exige documentación de procedimientos y optimización de recursos, con el fin de mejorar su eficiencia</w:t>
      </w:r>
      <w:r>
        <w:rPr>
          <w:rFonts w:cs="Arial"/>
          <w:szCs w:val="24"/>
          <w:lang w:val="es-MX"/>
        </w:rPr>
        <w:t>, porque, de lo contrario, acabará por ser insostenible en el tiempo.</w:t>
      </w:r>
    </w:p>
    <w:p w14:paraId="7FF7EB96" w14:textId="2DFEBF5B" w:rsidR="00FE1BD9" w:rsidRDefault="009D5B62" w:rsidP="00EB6A1D">
      <w:pPr>
        <w:spacing w:before="480" w:after="480"/>
        <w:rPr>
          <w:rFonts w:cs="Arial"/>
          <w:szCs w:val="24"/>
          <w:lang w:val="es-MX"/>
        </w:rPr>
      </w:pPr>
      <w:bookmarkStart w:id="34" w:name="_Toc231741429"/>
      <w:r w:rsidRPr="009D5B62">
        <w:rPr>
          <w:rStyle w:val="Ttulo3Car"/>
        </w:rPr>
        <w:t xml:space="preserve">2.2.9 </w:t>
      </w:r>
      <w:r w:rsidRPr="009D5B62">
        <w:rPr>
          <w:rStyle w:val="Ttulo3Car"/>
          <w:lang w:val="es-MX"/>
        </w:rPr>
        <w:t>Formulación de estrategias a partir de la matriz DOFA</w:t>
      </w:r>
      <w:bookmarkEnd w:id="34"/>
      <w:r>
        <w:rPr>
          <w:rFonts w:cs="Arial"/>
          <w:szCs w:val="24"/>
          <w:lang w:val="es-MX"/>
        </w:rPr>
        <w:t xml:space="preserve">. </w:t>
      </w:r>
      <w:r w:rsidR="00A702B9" w:rsidRPr="00A702B9">
        <w:rPr>
          <w:rFonts w:cs="Arial"/>
          <w:szCs w:val="24"/>
          <w:lang w:val="es-MX"/>
        </w:rPr>
        <w:t>A partir de la matriz DOFA previamente desarrollada, se formulan estrategias orientadas a potenciar las fortalezas, superar las debilidades, aprovechar las oportunidades y mitigar las amenazas identificadas en el área de presupuesto de la Alcaldía Municipal de Aguachica. Estas estrategias permiten establecer lineamientos de mejora que contribuyen a</w:t>
      </w:r>
      <w:r w:rsidR="0064507E">
        <w:rPr>
          <w:rFonts w:cs="Arial"/>
          <w:szCs w:val="24"/>
          <w:lang w:val="es-MX"/>
        </w:rPr>
        <w:t xml:space="preserve"> destacar</w:t>
      </w:r>
      <w:r w:rsidR="00A702B9" w:rsidRPr="00A702B9">
        <w:rPr>
          <w:rFonts w:cs="Arial"/>
          <w:szCs w:val="24"/>
          <w:lang w:val="es-MX"/>
        </w:rPr>
        <w:t xml:space="preserve"> la gestión presupuestal y a la optimización de los procesos internos.</w:t>
      </w:r>
    </w:p>
    <w:p w14:paraId="79BFF907" w14:textId="318E30BE" w:rsidR="00FE1BD9" w:rsidRPr="00FE1BD9" w:rsidRDefault="00FE1BD9" w:rsidP="00FE1BD9">
      <w:pPr>
        <w:spacing w:before="480" w:after="480"/>
        <w:rPr>
          <w:rFonts w:cs="Arial"/>
          <w:szCs w:val="24"/>
          <w:lang w:val="es-MX"/>
        </w:rPr>
      </w:pPr>
      <w:bookmarkStart w:id="35" w:name="_Toc231741430"/>
      <w:r w:rsidRPr="00FE1BD9">
        <w:rPr>
          <w:rStyle w:val="Ttulo4Car"/>
        </w:rPr>
        <w:t xml:space="preserve">2.2.9.1 </w:t>
      </w:r>
      <w:r w:rsidRPr="00FE1BD9">
        <w:rPr>
          <w:rStyle w:val="Ttulo4Car"/>
          <w:lang w:val="es-MX"/>
        </w:rPr>
        <w:t>Estrategias FO</w:t>
      </w:r>
      <w:bookmarkEnd w:id="35"/>
      <w:r>
        <w:rPr>
          <w:rFonts w:cs="Arial"/>
          <w:szCs w:val="24"/>
          <w:lang w:val="es-MX"/>
        </w:rPr>
        <w:t xml:space="preserve">. </w:t>
      </w:r>
      <w:r w:rsidRPr="00FE1BD9">
        <w:rPr>
          <w:rFonts w:cs="Arial"/>
          <w:szCs w:val="24"/>
          <w:lang w:val="es-MX"/>
        </w:rPr>
        <w:t>Las estrategias FO se orientan a aprovechar las fortalezas internas del área de presupuesto para maximizar las oportunidades identificadas en el entorno, especialmente en lo relacionado con la modernización de procesos y el uso de herramientas tecnológicas</w:t>
      </w:r>
      <w:r>
        <w:rPr>
          <w:rFonts w:cs="Arial"/>
          <w:szCs w:val="24"/>
          <w:lang w:val="es-MX"/>
        </w:rPr>
        <w:t>:</w:t>
      </w:r>
    </w:p>
    <w:p w14:paraId="54C17109" w14:textId="77777777" w:rsidR="00FE1BD9" w:rsidRPr="00FE1BD9" w:rsidRDefault="00FE1BD9" w:rsidP="00FE1BD9">
      <w:pPr>
        <w:pStyle w:val="Prrafodelista"/>
        <w:numPr>
          <w:ilvl w:val="0"/>
          <w:numId w:val="11"/>
        </w:numPr>
        <w:spacing w:before="480" w:after="480"/>
        <w:rPr>
          <w:rFonts w:cs="Arial"/>
          <w:szCs w:val="24"/>
          <w:lang w:val="es-MX"/>
        </w:rPr>
      </w:pPr>
      <w:r w:rsidRPr="00FE1BD9">
        <w:rPr>
          <w:rFonts w:cs="Arial"/>
          <w:szCs w:val="24"/>
          <w:lang w:val="es-MX"/>
        </w:rPr>
        <w:t>Aprovechar el trabajo colaborativo del equipo para implementar procesos de digitalización documental que mejoren la gestión de la información.</w:t>
      </w:r>
    </w:p>
    <w:p w14:paraId="1C1A4AE7" w14:textId="77777777" w:rsidR="00FE1BD9" w:rsidRPr="00FE1BD9" w:rsidRDefault="00FE1BD9" w:rsidP="00FE1BD9">
      <w:pPr>
        <w:pStyle w:val="Prrafodelista"/>
        <w:numPr>
          <w:ilvl w:val="0"/>
          <w:numId w:val="11"/>
        </w:numPr>
        <w:spacing w:before="480" w:after="480"/>
        <w:rPr>
          <w:rFonts w:cs="Arial"/>
          <w:szCs w:val="24"/>
          <w:lang w:val="es-MX"/>
        </w:rPr>
      </w:pPr>
      <w:r w:rsidRPr="00FE1BD9">
        <w:rPr>
          <w:rFonts w:cs="Arial"/>
          <w:szCs w:val="24"/>
          <w:lang w:val="es-MX"/>
        </w:rPr>
        <w:t>Utilizar la claridad en la asignación de funciones para facilitar la adopción de herramientas tecnológicas más actualizadas.</w:t>
      </w:r>
    </w:p>
    <w:p w14:paraId="42840DA4" w14:textId="37B83139" w:rsidR="00A702B9" w:rsidRPr="00FE1BD9" w:rsidRDefault="00FE1BD9" w:rsidP="00FE1BD9">
      <w:pPr>
        <w:pStyle w:val="Prrafodelista"/>
        <w:numPr>
          <w:ilvl w:val="0"/>
          <w:numId w:val="11"/>
        </w:numPr>
        <w:spacing w:before="480" w:after="480"/>
        <w:rPr>
          <w:rFonts w:cs="Arial"/>
          <w:szCs w:val="24"/>
          <w:lang w:val="es-MX"/>
        </w:rPr>
      </w:pPr>
      <w:r w:rsidRPr="00FE1BD9">
        <w:rPr>
          <w:rFonts w:cs="Arial"/>
          <w:szCs w:val="24"/>
          <w:lang w:val="es-MX"/>
        </w:rPr>
        <w:lastRenderedPageBreak/>
        <w:t>Fortalecer el uso de herramientas tecnológicas existentes para impulsar procesos de mejora continua en la gestión presupuestal.</w:t>
      </w:r>
    </w:p>
    <w:p w14:paraId="6D36AA8E" w14:textId="46BDA27D" w:rsidR="00A702B9" w:rsidRDefault="00FE1BD9" w:rsidP="00EB6A1D">
      <w:pPr>
        <w:spacing w:before="480" w:after="480"/>
        <w:rPr>
          <w:rFonts w:cs="Arial"/>
          <w:szCs w:val="24"/>
          <w:lang w:val="es-MX"/>
        </w:rPr>
      </w:pPr>
      <w:bookmarkStart w:id="36" w:name="_Toc231741431"/>
      <w:r w:rsidRPr="00FE1BD9">
        <w:rPr>
          <w:rStyle w:val="Ttulo4Car"/>
          <w:lang w:val="es-MX"/>
        </w:rPr>
        <w:t>2.2.9.</w:t>
      </w:r>
      <w:r w:rsidRPr="00FE1BD9">
        <w:rPr>
          <w:rStyle w:val="Ttulo4Car"/>
        </w:rPr>
        <w:t xml:space="preserve">2 </w:t>
      </w:r>
      <w:r w:rsidRPr="00FE1BD9">
        <w:rPr>
          <w:rStyle w:val="Ttulo4Car"/>
          <w:lang w:val="es-MX"/>
        </w:rPr>
        <w:t>Estrategias DO</w:t>
      </w:r>
      <w:bookmarkEnd w:id="36"/>
      <w:r>
        <w:rPr>
          <w:rFonts w:cs="Arial"/>
          <w:szCs w:val="24"/>
          <w:lang w:val="es-MX"/>
        </w:rPr>
        <w:t xml:space="preserve">. </w:t>
      </w:r>
      <w:r w:rsidRPr="00FE1BD9">
        <w:rPr>
          <w:rFonts w:cs="Arial"/>
          <w:szCs w:val="24"/>
          <w:lang w:val="es-MX"/>
        </w:rPr>
        <w:t xml:space="preserve">Las estrategias DO buscan superar las debilidades identificadas mediante el aprovechamiento de oportunidades externas, enfocándose principalmente en </w:t>
      </w:r>
      <w:r w:rsidR="0064507E">
        <w:rPr>
          <w:rFonts w:cs="Arial"/>
          <w:szCs w:val="24"/>
          <w:lang w:val="es-MX"/>
        </w:rPr>
        <w:t xml:space="preserve">lo </w:t>
      </w:r>
      <w:r w:rsidRPr="00FE1BD9">
        <w:rPr>
          <w:rFonts w:cs="Arial"/>
          <w:szCs w:val="24"/>
          <w:lang w:val="es-MX"/>
        </w:rPr>
        <w:t>institucional, la capacitación del personal y la mejora de los recursos tecnológicos</w:t>
      </w:r>
      <w:r>
        <w:rPr>
          <w:rFonts w:cs="Arial"/>
          <w:szCs w:val="24"/>
          <w:lang w:val="es-MX"/>
        </w:rPr>
        <w:t>:</w:t>
      </w:r>
    </w:p>
    <w:p w14:paraId="040A37D8" w14:textId="77777777" w:rsidR="00FE1BD9" w:rsidRPr="00FE1BD9" w:rsidRDefault="00FE1BD9" w:rsidP="00FE1BD9">
      <w:pPr>
        <w:pStyle w:val="Prrafodelista"/>
        <w:numPr>
          <w:ilvl w:val="0"/>
          <w:numId w:val="12"/>
        </w:numPr>
        <w:spacing w:before="480" w:after="480"/>
        <w:rPr>
          <w:rFonts w:cs="Arial"/>
          <w:szCs w:val="24"/>
          <w:lang w:val="es-MX"/>
        </w:rPr>
      </w:pPr>
      <w:r w:rsidRPr="00FE1BD9">
        <w:rPr>
          <w:rFonts w:cs="Arial"/>
          <w:szCs w:val="24"/>
          <w:lang w:val="es-MX"/>
        </w:rPr>
        <w:t>Implementar manuales de procesos para reducir la dependencia del conocimiento individual y facilitar la estandarización de actividades.</w:t>
      </w:r>
    </w:p>
    <w:p w14:paraId="170CFEF0" w14:textId="77777777" w:rsidR="00FE1BD9" w:rsidRPr="00FE1BD9" w:rsidRDefault="00FE1BD9" w:rsidP="00FE1BD9">
      <w:pPr>
        <w:pStyle w:val="Prrafodelista"/>
        <w:numPr>
          <w:ilvl w:val="0"/>
          <w:numId w:val="12"/>
        </w:numPr>
        <w:spacing w:before="480" w:after="480"/>
        <w:rPr>
          <w:rFonts w:cs="Arial"/>
          <w:szCs w:val="24"/>
          <w:lang w:val="es-MX"/>
        </w:rPr>
      </w:pPr>
      <w:r w:rsidRPr="00FE1BD9">
        <w:rPr>
          <w:rFonts w:cs="Arial"/>
          <w:szCs w:val="24"/>
          <w:lang w:val="es-MX"/>
        </w:rPr>
        <w:t>Gestionar la adquisición de equipos tecnológicos institucionales para disminuir la dependencia de recursos personales por parte de los practicantes.</w:t>
      </w:r>
    </w:p>
    <w:p w14:paraId="127071FE" w14:textId="3B82E3EC" w:rsidR="00FE1BD9" w:rsidRPr="00FE1BD9" w:rsidRDefault="00FE1BD9" w:rsidP="00EB6A1D">
      <w:pPr>
        <w:pStyle w:val="Prrafodelista"/>
        <w:numPr>
          <w:ilvl w:val="0"/>
          <w:numId w:val="12"/>
        </w:numPr>
        <w:spacing w:before="480" w:after="480"/>
        <w:rPr>
          <w:rFonts w:cs="Arial"/>
          <w:szCs w:val="24"/>
          <w:lang w:val="es-MX"/>
        </w:rPr>
      </w:pPr>
      <w:r w:rsidRPr="00FE1BD9">
        <w:rPr>
          <w:rFonts w:cs="Arial"/>
          <w:szCs w:val="24"/>
          <w:lang w:val="es-MX"/>
        </w:rPr>
        <w:t>Promover la capacitación continua del personal en el uso de nuevas herramientas tecnológicas que optimicen la gestión presupuestal.</w:t>
      </w:r>
    </w:p>
    <w:p w14:paraId="6342DDC2" w14:textId="57BC4848" w:rsidR="00A702B9" w:rsidRDefault="00FE1BD9" w:rsidP="00EB6A1D">
      <w:pPr>
        <w:spacing w:before="480" w:after="480"/>
        <w:rPr>
          <w:rFonts w:cs="Arial"/>
          <w:szCs w:val="24"/>
          <w:lang w:val="es-MX"/>
        </w:rPr>
      </w:pPr>
      <w:bookmarkStart w:id="37" w:name="_Toc231741432"/>
      <w:r w:rsidRPr="00FE1BD9">
        <w:rPr>
          <w:rStyle w:val="Ttulo4Car"/>
          <w:lang w:val="es-MX"/>
        </w:rPr>
        <w:t>2.2.9.</w:t>
      </w:r>
      <w:r w:rsidRPr="00FE1BD9">
        <w:rPr>
          <w:rStyle w:val="Ttulo4Car"/>
        </w:rPr>
        <w:t xml:space="preserve">3 </w:t>
      </w:r>
      <w:r w:rsidRPr="00FE1BD9">
        <w:rPr>
          <w:rStyle w:val="Ttulo4Car"/>
          <w:lang w:val="es-MX"/>
        </w:rPr>
        <w:t>Estrategias FA</w:t>
      </w:r>
      <w:bookmarkEnd w:id="37"/>
      <w:r>
        <w:rPr>
          <w:rFonts w:cs="Arial"/>
          <w:szCs w:val="24"/>
          <w:lang w:val="es-MX"/>
        </w:rPr>
        <w:t xml:space="preserve">. </w:t>
      </w:r>
      <w:r w:rsidRPr="00FE1BD9">
        <w:rPr>
          <w:rFonts w:cs="Arial"/>
          <w:szCs w:val="24"/>
          <w:lang w:val="es-MX"/>
        </w:rPr>
        <w:t>Las estrategias FA se enfocan en utilizar las fortalezas del área para mitigar las amenazas del entorno, particularmente aquellas relacionadas con la carga laboral, la rotación de personal y las limitaciones operativas</w:t>
      </w:r>
      <w:r>
        <w:rPr>
          <w:rFonts w:cs="Arial"/>
          <w:szCs w:val="24"/>
          <w:lang w:val="es-MX"/>
        </w:rPr>
        <w:t>:</w:t>
      </w:r>
    </w:p>
    <w:p w14:paraId="56911ED4" w14:textId="77777777" w:rsidR="00FE1BD9" w:rsidRPr="00FE1BD9" w:rsidRDefault="00FE1BD9" w:rsidP="00FE1BD9">
      <w:pPr>
        <w:pStyle w:val="Prrafodelista"/>
        <w:numPr>
          <w:ilvl w:val="0"/>
          <w:numId w:val="13"/>
        </w:numPr>
        <w:spacing w:before="480" w:after="480"/>
        <w:rPr>
          <w:rFonts w:cs="Arial"/>
          <w:szCs w:val="24"/>
          <w:lang w:val="es-MX"/>
        </w:rPr>
      </w:pPr>
      <w:r w:rsidRPr="00FE1BD9">
        <w:rPr>
          <w:rFonts w:cs="Arial"/>
          <w:szCs w:val="24"/>
          <w:lang w:val="es-MX"/>
        </w:rPr>
        <w:t>Aprovechar el trabajo colaborativo del equipo para mitigar los efectos de la alta carga laboral mediante la distribución eficiente de tareas.</w:t>
      </w:r>
    </w:p>
    <w:p w14:paraId="185886A8" w14:textId="77777777" w:rsidR="00FE1BD9" w:rsidRPr="00FE1BD9" w:rsidRDefault="00FE1BD9" w:rsidP="00FE1BD9">
      <w:pPr>
        <w:pStyle w:val="Prrafodelista"/>
        <w:numPr>
          <w:ilvl w:val="0"/>
          <w:numId w:val="13"/>
        </w:numPr>
        <w:spacing w:before="480" w:after="480"/>
        <w:rPr>
          <w:rFonts w:cs="Arial"/>
          <w:szCs w:val="24"/>
          <w:lang w:val="es-MX"/>
        </w:rPr>
      </w:pPr>
      <w:r w:rsidRPr="00FE1BD9">
        <w:rPr>
          <w:rFonts w:cs="Arial"/>
          <w:szCs w:val="24"/>
          <w:lang w:val="es-MX"/>
        </w:rPr>
        <w:t>Utilizar el cumplimiento normativo de los procesos como base para reducir riesgos asociados a errores en la gestión presupuestal.</w:t>
      </w:r>
    </w:p>
    <w:p w14:paraId="64D79936" w14:textId="1D361AC4" w:rsidR="00FE1BD9" w:rsidRPr="00FE1BD9" w:rsidRDefault="00FE1BD9" w:rsidP="00EB6A1D">
      <w:pPr>
        <w:pStyle w:val="Prrafodelista"/>
        <w:numPr>
          <w:ilvl w:val="0"/>
          <w:numId w:val="13"/>
        </w:numPr>
        <w:spacing w:before="480" w:after="480"/>
        <w:rPr>
          <w:rFonts w:cs="Arial"/>
          <w:szCs w:val="24"/>
          <w:lang w:val="es-MX"/>
        </w:rPr>
      </w:pPr>
      <w:r w:rsidRPr="00FE1BD9">
        <w:rPr>
          <w:rFonts w:cs="Arial"/>
          <w:szCs w:val="24"/>
          <w:lang w:val="es-MX"/>
        </w:rPr>
        <w:t>Fortalecer la coordinación interna para enfrentar la rotación de practicantes sin afectar la continuidad de los procesos.</w:t>
      </w:r>
    </w:p>
    <w:p w14:paraId="199237CC" w14:textId="67B8FB07" w:rsidR="00FE1BD9" w:rsidRDefault="00FE1BD9" w:rsidP="00EB6A1D">
      <w:pPr>
        <w:spacing w:before="480" w:after="480"/>
        <w:rPr>
          <w:rFonts w:cs="Arial"/>
          <w:szCs w:val="24"/>
          <w:lang w:val="es-MX"/>
        </w:rPr>
      </w:pPr>
      <w:bookmarkStart w:id="38" w:name="_Toc231741433"/>
      <w:r w:rsidRPr="00FE1BD9">
        <w:rPr>
          <w:rStyle w:val="Ttulo4Car"/>
          <w:lang w:val="es-MX"/>
        </w:rPr>
        <w:t>2.2.9.</w:t>
      </w:r>
      <w:r w:rsidRPr="00FE1BD9">
        <w:rPr>
          <w:rStyle w:val="Ttulo4Car"/>
        </w:rPr>
        <w:t xml:space="preserve">4 </w:t>
      </w:r>
      <w:r w:rsidRPr="00FE1BD9">
        <w:rPr>
          <w:rStyle w:val="Ttulo4Car"/>
          <w:lang w:val="es-MX"/>
        </w:rPr>
        <w:t>Estrategias DA</w:t>
      </w:r>
      <w:bookmarkEnd w:id="38"/>
      <w:r>
        <w:rPr>
          <w:rFonts w:cs="Arial"/>
          <w:szCs w:val="24"/>
          <w:lang w:val="es-MX"/>
        </w:rPr>
        <w:t xml:space="preserve">. </w:t>
      </w:r>
      <w:r w:rsidRPr="00FE1BD9">
        <w:rPr>
          <w:rFonts w:cs="Arial"/>
          <w:szCs w:val="24"/>
          <w:lang w:val="es-MX"/>
        </w:rPr>
        <w:t>Las estrategias DA están orientadas a minimizar tanto las debilidades internas como las amenazas externas, mediante acciones que fortalezcan la estructura organizacional y reduzcan los riesgos asociados a la gestión del área</w:t>
      </w:r>
      <w:r>
        <w:rPr>
          <w:rFonts w:cs="Arial"/>
          <w:szCs w:val="24"/>
          <w:lang w:val="es-MX"/>
        </w:rPr>
        <w:t>:</w:t>
      </w:r>
    </w:p>
    <w:p w14:paraId="24A7F31F" w14:textId="77777777" w:rsidR="00FE1BD9" w:rsidRPr="00900514" w:rsidRDefault="00FE1BD9" w:rsidP="00900514">
      <w:pPr>
        <w:pStyle w:val="Prrafodelista"/>
        <w:numPr>
          <w:ilvl w:val="0"/>
          <w:numId w:val="14"/>
        </w:numPr>
        <w:spacing w:before="480" w:after="480"/>
        <w:rPr>
          <w:rFonts w:cs="Arial"/>
          <w:szCs w:val="24"/>
          <w:lang w:val="es-MX"/>
        </w:rPr>
      </w:pPr>
      <w:r w:rsidRPr="00900514">
        <w:rPr>
          <w:rFonts w:cs="Arial"/>
          <w:szCs w:val="24"/>
          <w:lang w:val="es-MX"/>
        </w:rPr>
        <w:t>Documentar formalmente los procesos del área para reducir la dependencia del conocimiento individual y minimizar el impacto de la rotación de personal.</w:t>
      </w:r>
    </w:p>
    <w:p w14:paraId="5A26A129" w14:textId="77777777" w:rsidR="00FE1BD9" w:rsidRPr="00900514" w:rsidRDefault="00FE1BD9" w:rsidP="00900514">
      <w:pPr>
        <w:pStyle w:val="Prrafodelista"/>
        <w:numPr>
          <w:ilvl w:val="0"/>
          <w:numId w:val="14"/>
        </w:numPr>
        <w:spacing w:before="480" w:after="480"/>
        <w:rPr>
          <w:rFonts w:cs="Arial"/>
          <w:szCs w:val="24"/>
          <w:lang w:val="es-MX"/>
        </w:rPr>
      </w:pPr>
      <w:r w:rsidRPr="00900514">
        <w:rPr>
          <w:rFonts w:cs="Arial"/>
          <w:szCs w:val="24"/>
          <w:lang w:val="es-MX"/>
        </w:rPr>
        <w:t>Mejorar las condiciones de infraestructura física para optimizar el desempeño del equipo en contextos de alta carga laboral.</w:t>
      </w:r>
    </w:p>
    <w:p w14:paraId="522288D8" w14:textId="4B27CF79" w:rsidR="00FE1BD9" w:rsidRPr="00900514" w:rsidRDefault="00FE1BD9" w:rsidP="00EB6A1D">
      <w:pPr>
        <w:pStyle w:val="Prrafodelista"/>
        <w:numPr>
          <w:ilvl w:val="0"/>
          <w:numId w:val="14"/>
        </w:numPr>
        <w:spacing w:before="480" w:after="480"/>
        <w:rPr>
          <w:rFonts w:cs="Arial"/>
          <w:szCs w:val="24"/>
          <w:lang w:val="es-MX"/>
        </w:rPr>
      </w:pPr>
      <w:r w:rsidRPr="00900514">
        <w:rPr>
          <w:rFonts w:cs="Arial"/>
          <w:szCs w:val="24"/>
          <w:lang w:val="es-MX"/>
        </w:rPr>
        <w:t>Implementar mejoras tecnológicas que reduzcan las limitaciones operativas y aumenten la eficiencia en el procesamiento de la información.</w:t>
      </w:r>
    </w:p>
    <w:p w14:paraId="3B437685" w14:textId="4AEC288F" w:rsidR="00A702B9" w:rsidRDefault="00A702B9" w:rsidP="00EB6A1D">
      <w:pPr>
        <w:spacing w:before="480" w:after="480"/>
        <w:rPr>
          <w:rFonts w:cs="Arial"/>
          <w:szCs w:val="24"/>
          <w:lang w:val="es-MX"/>
        </w:rPr>
      </w:pPr>
      <w:r w:rsidRPr="00A702B9">
        <w:rPr>
          <w:rFonts w:cs="Arial"/>
          <w:szCs w:val="24"/>
          <w:lang w:val="es-MX"/>
        </w:rPr>
        <w:lastRenderedPageBreak/>
        <w:t xml:space="preserve">Las estrategias formuladas evidencian que las principales acciones de mejora se orientan hacia la estandarización de procesos, el </w:t>
      </w:r>
      <w:r w:rsidR="0064507E" w:rsidRPr="0064507E">
        <w:rPr>
          <w:rFonts w:cs="Arial"/>
          <w:szCs w:val="24"/>
          <w:lang w:val="es-MX"/>
        </w:rPr>
        <w:t>robustecimiento</w:t>
      </w:r>
      <w:r w:rsidR="0064507E" w:rsidRPr="0064507E">
        <w:rPr>
          <w:rFonts w:cs="Arial"/>
          <w:szCs w:val="24"/>
          <w:lang w:val="es-MX"/>
        </w:rPr>
        <w:t xml:space="preserve"> </w:t>
      </w:r>
      <w:r w:rsidRPr="00A702B9">
        <w:rPr>
          <w:rFonts w:cs="Arial"/>
          <w:szCs w:val="24"/>
          <w:lang w:val="es-MX"/>
        </w:rPr>
        <w:t>tecnológico y la optimización de la gestión del conocimiento dentro del área. En particular, se destaca la necesidad de reducir la dependencia del conocimiento individual mediante la documentación formal de procedimientos, así como la importancia de modernizar las herramientas tecnológicas para mejorar la eficiencia operativa.</w:t>
      </w:r>
    </w:p>
    <w:p w14:paraId="1BD4EB57" w14:textId="462F4355" w:rsidR="007E2172" w:rsidRDefault="00F70F7B" w:rsidP="0030735D">
      <w:pPr>
        <w:pStyle w:val="Ttulo2"/>
      </w:pPr>
      <w:bookmarkStart w:id="39" w:name="_Toc231741434"/>
      <w:r>
        <w:t>2.3</w:t>
      </w:r>
      <w:r w:rsidR="00D90EBE">
        <w:t>.</w:t>
      </w:r>
      <w:r>
        <w:t xml:space="preserve"> JUSTIFICACIÓN</w:t>
      </w:r>
      <w:bookmarkEnd w:id="39"/>
      <w:r>
        <w:t xml:space="preserve"> </w:t>
      </w:r>
    </w:p>
    <w:p w14:paraId="0DA2098C" w14:textId="61BEDA3F" w:rsidR="004F2F0D" w:rsidRPr="004F2F0D" w:rsidRDefault="004F2F0D" w:rsidP="004F2F0D">
      <w:pPr>
        <w:rPr>
          <w:rFonts w:cs="Arial"/>
          <w:szCs w:val="24"/>
          <w:lang w:val="es-MX"/>
        </w:rPr>
      </w:pPr>
      <w:r w:rsidRPr="004F2F0D">
        <w:rPr>
          <w:rFonts w:cs="Arial"/>
          <w:szCs w:val="24"/>
          <w:lang w:val="es-MX"/>
        </w:rPr>
        <w:t xml:space="preserve">El desarrollo del presente </w:t>
      </w:r>
      <w:r>
        <w:rPr>
          <w:rFonts w:cs="Arial"/>
          <w:szCs w:val="24"/>
          <w:lang w:val="es-MX"/>
        </w:rPr>
        <w:t>informe</w:t>
      </w:r>
      <w:r w:rsidRPr="004F2F0D">
        <w:rPr>
          <w:rFonts w:cs="Arial"/>
          <w:szCs w:val="24"/>
          <w:lang w:val="es-MX"/>
        </w:rPr>
        <w:t xml:space="preserve"> adquiere relevancia desde el punto de vista teórico </w:t>
      </w:r>
      <w:r>
        <w:rPr>
          <w:rFonts w:cs="Arial"/>
          <w:szCs w:val="24"/>
          <w:lang w:val="es-MX"/>
        </w:rPr>
        <w:t>ya</w:t>
      </w:r>
      <w:r w:rsidRPr="004F2F0D">
        <w:rPr>
          <w:rFonts w:cs="Arial"/>
          <w:szCs w:val="24"/>
          <w:lang w:val="es-MX"/>
        </w:rPr>
        <w:t xml:space="preserve"> que profundiza en el análisis de la gestión fiscal territorial, particularmente en lo relacionado con la sostenibilidad de las finanzas públicas. Según el Fondo Monetario Internacional (2024), los marcos fiscales de mediano plazo </w:t>
      </w:r>
      <w:r>
        <w:rPr>
          <w:rFonts w:cs="Arial"/>
          <w:szCs w:val="24"/>
          <w:lang w:val="es-MX"/>
        </w:rPr>
        <w:t>son</w:t>
      </w:r>
      <w:r w:rsidRPr="004F2F0D">
        <w:rPr>
          <w:rFonts w:cs="Arial"/>
          <w:szCs w:val="24"/>
          <w:lang w:val="es-MX"/>
        </w:rPr>
        <w:t xml:space="preserve"> herramientas fundamentales para fortalecer la disciplina fiscal y orientar la toma de decisiones mediante proyecciones consistentes en el tiempo. </w:t>
      </w:r>
      <w:r>
        <w:rPr>
          <w:rFonts w:cs="Arial"/>
          <w:szCs w:val="24"/>
          <w:lang w:val="es-MX"/>
        </w:rPr>
        <w:t>Por eso, este trabajo</w:t>
      </w:r>
      <w:r w:rsidRPr="004F2F0D">
        <w:rPr>
          <w:rFonts w:cs="Arial"/>
          <w:szCs w:val="24"/>
          <w:lang w:val="es-MX"/>
        </w:rPr>
        <w:t xml:space="preserve"> consolida la comprensión de estos instrumentos en contextos territoriales específicos </w:t>
      </w:r>
      <w:r>
        <w:rPr>
          <w:rFonts w:cs="Arial"/>
          <w:szCs w:val="24"/>
          <w:lang w:val="es-MX"/>
        </w:rPr>
        <w:t>como el municipio de Aguachica</w:t>
      </w:r>
      <w:r w:rsidRPr="004F2F0D">
        <w:rPr>
          <w:rFonts w:cs="Arial"/>
          <w:szCs w:val="24"/>
          <w:lang w:val="es-MX"/>
        </w:rPr>
        <w:t>.</w:t>
      </w:r>
    </w:p>
    <w:p w14:paraId="02725722" w14:textId="02DAB277" w:rsidR="004F2F0D" w:rsidRPr="004F2F0D" w:rsidRDefault="004F2F0D" w:rsidP="004F2F0D">
      <w:pPr>
        <w:spacing w:before="480"/>
        <w:rPr>
          <w:rFonts w:cs="Arial"/>
          <w:szCs w:val="24"/>
          <w:lang w:val="es-MX"/>
        </w:rPr>
      </w:pPr>
      <w:r w:rsidRPr="004F2F0D">
        <w:rPr>
          <w:rFonts w:cs="Arial"/>
          <w:szCs w:val="24"/>
          <w:lang w:val="es-MX"/>
        </w:rPr>
        <w:t xml:space="preserve">Desde el enfoque práctico, el trabajo </w:t>
      </w:r>
      <w:r>
        <w:rPr>
          <w:rFonts w:cs="Arial"/>
          <w:szCs w:val="24"/>
          <w:lang w:val="es-MX"/>
        </w:rPr>
        <w:t>es</w:t>
      </w:r>
      <w:r w:rsidRPr="004F2F0D">
        <w:rPr>
          <w:rFonts w:cs="Arial"/>
          <w:szCs w:val="24"/>
          <w:lang w:val="es-MX"/>
        </w:rPr>
        <w:t xml:space="preserve"> pertinente </w:t>
      </w:r>
      <w:r>
        <w:rPr>
          <w:rFonts w:cs="Arial"/>
          <w:szCs w:val="24"/>
          <w:lang w:val="es-MX"/>
        </w:rPr>
        <w:t>porque</w:t>
      </w:r>
      <w:r w:rsidRPr="004F2F0D">
        <w:rPr>
          <w:rFonts w:cs="Arial"/>
          <w:szCs w:val="24"/>
          <w:lang w:val="es-MX"/>
        </w:rPr>
        <w:t xml:space="preserve"> contribuye directamente al</w:t>
      </w:r>
      <w:r w:rsidR="0064507E">
        <w:rPr>
          <w:rFonts w:cs="Arial"/>
          <w:szCs w:val="24"/>
          <w:lang w:val="es-MX"/>
        </w:rPr>
        <w:t xml:space="preserve"> fuerte </w:t>
      </w:r>
      <w:r w:rsidRPr="004F2F0D">
        <w:rPr>
          <w:rFonts w:cs="Arial"/>
          <w:szCs w:val="24"/>
          <w:lang w:val="es-MX"/>
        </w:rPr>
        <w:t xml:space="preserve">de los procesos de planeación financiera de la Alcaldía Municipal de Aguachica, mediante la actualización de un instrumento clave para la gestión presupuestal. De acuerdo con el Banco Mundial (2021), una adecuada planificación fiscal garantiza una asignación eficiente de los recursos públicos y una respuesta efectiva a las necesidades de la población. </w:t>
      </w:r>
      <w:r>
        <w:rPr>
          <w:rFonts w:cs="Arial"/>
          <w:szCs w:val="24"/>
          <w:lang w:val="es-MX"/>
        </w:rPr>
        <w:t xml:space="preserve">Esto significa que </w:t>
      </w:r>
      <w:r w:rsidRPr="004F2F0D">
        <w:rPr>
          <w:rFonts w:cs="Arial"/>
          <w:szCs w:val="24"/>
          <w:lang w:val="es-MX"/>
        </w:rPr>
        <w:t>la información generada en el desarrollo del trabajo respalda la identificación de tendencias fiscales y la adopción de decisiones orientadas al equilibrio presupuestal</w:t>
      </w:r>
      <w:r w:rsidR="00DE64C8">
        <w:rPr>
          <w:rFonts w:cs="Arial"/>
          <w:szCs w:val="24"/>
          <w:lang w:val="es-MX"/>
        </w:rPr>
        <w:t xml:space="preserve"> </w:t>
      </w:r>
      <w:r w:rsidRPr="004F2F0D">
        <w:rPr>
          <w:rFonts w:cs="Arial"/>
          <w:szCs w:val="24"/>
          <w:lang w:val="es-MX"/>
        </w:rPr>
        <w:t>del municipio.</w:t>
      </w:r>
    </w:p>
    <w:p w14:paraId="53DAC3C9" w14:textId="2147BEE3" w:rsidR="004F2F0D" w:rsidRPr="004F2F0D" w:rsidRDefault="004F2F0D" w:rsidP="003A1DBE">
      <w:pPr>
        <w:spacing w:before="480"/>
        <w:rPr>
          <w:rFonts w:cs="Arial"/>
          <w:szCs w:val="24"/>
          <w:lang w:val="es-MX"/>
        </w:rPr>
      </w:pPr>
      <w:r w:rsidRPr="004F2F0D">
        <w:rPr>
          <w:rFonts w:cs="Arial"/>
          <w:szCs w:val="24"/>
          <w:lang w:val="es-MX"/>
        </w:rPr>
        <w:t xml:space="preserve">En términos metodológicos, el desarrollo del </w:t>
      </w:r>
      <w:r w:rsidR="003A1DBE">
        <w:rPr>
          <w:rFonts w:cs="Arial"/>
          <w:szCs w:val="24"/>
          <w:lang w:val="es-MX"/>
        </w:rPr>
        <w:t>informe</w:t>
      </w:r>
      <w:r w:rsidRPr="004F2F0D">
        <w:rPr>
          <w:rFonts w:cs="Arial"/>
          <w:szCs w:val="24"/>
          <w:lang w:val="es-MX"/>
        </w:rPr>
        <w:t xml:space="preserve"> implica la aplicación de herramientas de análisis financiero y el uso sistemático de información presupuestal a través de plataformas tecnológicas, lo que consolida un enfoque técnico en la gestión de datos fiscales. Como señalan Hernández Sampieri</w:t>
      </w:r>
      <w:r w:rsidR="003A1DBE">
        <w:rPr>
          <w:rFonts w:cs="Arial"/>
          <w:szCs w:val="24"/>
          <w:lang w:val="es-MX"/>
        </w:rPr>
        <w:t xml:space="preserve"> et al. </w:t>
      </w:r>
      <w:r w:rsidRPr="004F2F0D">
        <w:rPr>
          <w:rFonts w:cs="Arial"/>
          <w:szCs w:val="24"/>
          <w:lang w:val="es-MX"/>
        </w:rPr>
        <w:t>(2014), la aplicación estructurada de métodos de investigación garantiza la organización, análisis e interpretación rigurosa de la información. Bajo esta perspectiva, el trabajo fortalece las competencias metodológicas aplicadas al estudio de las finanzas públicas territoriales.</w:t>
      </w:r>
    </w:p>
    <w:p w14:paraId="65AAF2B6" w14:textId="3EEDB2AE" w:rsidR="0021025B" w:rsidRDefault="004F2F0D" w:rsidP="003A1DBE">
      <w:pPr>
        <w:spacing w:before="480"/>
        <w:rPr>
          <w:rFonts w:cs="Arial"/>
          <w:szCs w:val="24"/>
          <w:lang w:val="es-MX"/>
        </w:rPr>
      </w:pPr>
      <w:r w:rsidRPr="004F2F0D">
        <w:rPr>
          <w:rFonts w:cs="Arial"/>
          <w:szCs w:val="24"/>
          <w:lang w:val="es-MX"/>
        </w:rPr>
        <w:t xml:space="preserve">Finalmente, desde el enfoque social, el trabajo </w:t>
      </w:r>
      <w:r w:rsidR="003A1DBE">
        <w:rPr>
          <w:rFonts w:cs="Arial"/>
          <w:szCs w:val="24"/>
          <w:lang w:val="es-MX"/>
        </w:rPr>
        <w:t>se hace aún más importante</w:t>
      </w:r>
      <w:r w:rsidRPr="004F2F0D">
        <w:rPr>
          <w:rFonts w:cs="Arial"/>
          <w:szCs w:val="24"/>
          <w:lang w:val="es-MX"/>
        </w:rPr>
        <w:t xml:space="preserve"> </w:t>
      </w:r>
      <w:r w:rsidR="003A1DBE">
        <w:rPr>
          <w:rFonts w:cs="Arial"/>
          <w:szCs w:val="24"/>
          <w:lang w:val="es-MX"/>
        </w:rPr>
        <w:t xml:space="preserve">puesto </w:t>
      </w:r>
      <w:r w:rsidRPr="004F2F0D">
        <w:rPr>
          <w:rFonts w:cs="Arial"/>
          <w:szCs w:val="24"/>
          <w:lang w:val="es-MX"/>
        </w:rPr>
        <w:t xml:space="preserve">que la gestión eficiente de los recursos públicos impacta directamente en el bienestar de la población. Según la Comisión Económica para América Latina y el Caribe (2020), la sostenibilidad fiscal en los gobiernos locales </w:t>
      </w:r>
      <w:r w:rsidR="003A1DBE">
        <w:rPr>
          <w:rFonts w:cs="Arial"/>
          <w:szCs w:val="24"/>
          <w:lang w:val="es-MX"/>
        </w:rPr>
        <w:t xml:space="preserve">es </w:t>
      </w:r>
      <w:r w:rsidRPr="004F2F0D">
        <w:rPr>
          <w:rFonts w:cs="Arial"/>
          <w:szCs w:val="24"/>
          <w:lang w:val="es-MX"/>
        </w:rPr>
        <w:t xml:space="preserve">un factor </w:t>
      </w:r>
      <w:r w:rsidRPr="004F2F0D">
        <w:rPr>
          <w:rFonts w:cs="Arial"/>
          <w:szCs w:val="24"/>
          <w:lang w:val="es-MX"/>
        </w:rPr>
        <w:lastRenderedPageBreak/>
        <w:t>determinante para garantizar la provisión de bienes y servicios públicos orientados al desarrollo social. En e</w:t>
      </w:r>
      <w:r w:rsidR="003A1DBE">
        <w:rPr>
          <w:rFonts w:cs="Arial"/>
          <w:szCs w:val="24"/>
          <w:lang w:val="es-MX"/>
        </w:rPr>
        <w:t xml:space="preserve">l caso del municipio de Aguachica, este trabajo </w:t>
      </w:r>
      <w:r w:rsidRPr="004F2F0D">
        <w:rPr>
          <w:rFonts w:cs="Arial"/>
          <w:szCs w:val="24"/>
          <w:lang w:val="es-MX"/>
        </w:rPr>
        <w:t>fortalece la capacidad institucional para financiar programas y proyectos que mejoran las condiciones de vida de la comunidad.</w:t>
      </w:r>
    </w:p>
    <w:p w14:paraId="7EB90550" w14:textId="52B71496" w:rsidR="004F2F0D" w:rsidRPr="0021025B" w:rsidRDefault="00163EB6" w:rsidP="00163EB6">
      <w:pPr>
        <w:spacing w:before="480" w:after="480"/>
        <w:rPr>
          <w:rFonts w:cs="Arial"/>
          <w:szCs w:val="24"/>
          <w:lang w:val="es-MX"/>
        </w:rPr>
      </w:pPr>
      <w:r w:rsidRPr="00163EB6">
        <w:rPr>
          <w:rFonts w:cs="Arial"/>
          <w:szCs w:val="24"/>
          <w:lang w:val="es-MX"/>
        </w:rPr>
        <w:t xml:space="preserve">En síntesis, el desarrollo del presente </w:t>
      </w:r>
      <w:r w:rsidR="006A5545">
        <w:rPr>
          <w:rFonts w:cs="Arial"/>
          <w:szCs w:val="24"/>
          <w:lang w:val="es-MX"/>
        </w:rPr>
        <w:t>informe</w:t>
      </w:r>
      <w:r w:rsidRPr="00163EB6">
        <w:rPr>
          <w:rFonts w:cs="Arial"/>
          <w:szCs w:val="24"/>
          <w:lang w:val="es-MX"/>
        </w:rPr>
        <w:t xml:space="preserve"> se justifica por su aporte integral al análisis y aplicación de la gestión fiscal territorial, articulando fundamentos teóricos, utilidad práctica, rigor metodológico e impacto social. </w:t>
      </w:r>
      <w:r w:rsidR="006A5545">
        <w:rPr>
          <w:rFonts w:cs="Arial"/>
          <w:szCs w:val="24"/>
          <w:lang w:val="es-MX"/>
        </w:rPr>
        <w:t>Con esto, l</w:t>
      </w:r>
      <w:r w:rsidRPr="00163EB6">
        <w:rPr>
          <w:rFonts w:cs="Arial"/>
          <w:szCs w:val="24"/>
          <w:lang w:val="es-MX"/>
        </w:rPr>
        <w:t xml:space="preserve">a actualización del Marco Fiscal de Mediano Plazo del municipio de Aguachica trasciende </w:t>
      </w:r>
      <w:r w:rsidR="006A5545">
        <w:rPr>
          <w:rFonts w:cs="Arial"/>
          <w:szCs w:val="24"/>
          <w:lang w:val="es-MX"/>
        </w:rPr>
        <w:t>d</w:t>
      </w:r>
      <w:r w:rsidRPr="00163EB6">
        <w:rPr>
          <w:rFonts w:cs="Arial"/>
          <w:szCs w:val="24"/>
          <w:lang w:val="es-MX"/>
        </w:rPr>
        <w:t xml:space="preserve">el ámbito académico y </w:t>
      </w:r>
      <w:r w:rsidR="006A5545">
        <w:rPr>
          <w:rFonts w:cs="Arial"/>
          <w:szCs w:val="24"/>
          <w:lang w:val="es-MX"/>
        </w:rPr>
        <w:t>pasa a ser una herramienta real</w:t>
      </w:r>
      <w:r w:rsidRPr="00163EB6">
        <w:rPr>
          <w:rFonts w:cs="Arial"/>
          <w:szCs w:val="24"/>
          <w:lang w:val="es-MX"/>
        </w:rPr>
        <w:t xml:space="preserve"> para la toma de decisiones</w:t>
      </w:r>
      <w:r w:rsidR="009E17EF">
        <w:rPr>
          <w:rFonts w:cs="Arial"/>
          <w:szCs w:val="24"/>
          <w:lang w:val="es-MX"/>
        </w:rPr>
        <w:t xml:space="preserve"> y </w:t>
      </w:r>
      <w:r w:rsidRPr="00163EB6">
        <w:rPr>
          <w:rFonts w:cs="Arial"/>
          <w:szCs w:val="24"/>
          <w:lang w:val="es-MX"/>
        </w:rPr>
        <w:t>el desarrollo del territorio.</w:t>
      </w:r>
    </w:p>
    <w:p w14:paraId="59135388" w14:textId="1CC2F443" w:rsidR="00F70F7B" w:rsidRDefault="00F70F7B" w:rsidP="0030735D">
      <w:pPr>
        <w:pStyle w:val="Ttulo2"/>
      </w:pPr>
      <w:bookmarkStart w:id="40" w:name="_Toc231741435"/>
      <w:r>
        <w:t>2.4</w:t>
      </w:r>
      <w:r w:rsidR="00D90EBE">
        <w:t>.</w:t>
      </w:r>
      <w:r>
        <w:t xml:space="preserve"> </w:t>
      </w:r>
      <w:r w:rsidRPr="00163EB6">
        <w:t>OBJETIVOS</w:t>
      </w:r>
      <w:bookmarkEnd w:id="40"/>
    </w:p>
    <w:p w14:paraId="2C7BD396" w14:textId="1560E447" w:rsidR="00F70F7B" w:rsidRDefault="00DE39C9" w:rsidP="002824F1">
      <w:pPr>
        <w:rPr>
          <w:rFonts w:cs="Arial"/>
          <w:szCs w:val="24"/>
          <w:lang w:val="es-MX"/>
        </w:rPr>
      </w:pPr>
      <w:r w:rsidRPr="00DE39C9">
        <w:rPr>
          <w:rFonts w:cs="Arial"/>
          <w:szCs w:val="24"/>
          <w:lang w:val="es-MX"/>
        </w:rPr>
        <w:t xml:space="preserve">En coherencia con el desarrollo del presente </w:t>
      </w:r>
      <w:r>
        <w:rPr>
          <w:rFonts w:cs="Arial"/>
          <w:szCs w:val="24"/>
          <w:lang w:val="es-MX"/>
        </w:rPr>
        <w:t>informe</w:t>
      </w:r>
      <w:r w:rsidRPr="00DE39C9">
        <w:rPr>
          <w:rFonts w:cs="Arial"/>
          <w:szCs w:val="24"/>
          <w:lang w:val="es-MX"/>
        </w:rPr>
        <w:t xml:space="preserve"> y con el propósito de orientar de manera precisa las actividades realizadas durante la práctica profesional, se establecen los siguientes objetivos, los cuales delimitan el alcance del análisis y la actualización del Marco Fiscal de Mediano Plazo del municipio de Aguachica en la Alcaldía Municipal, garantizando la articulación entre el enfoque teórico, práctico y técnico del ejercicio desarrollado.</w:t>
      </w:r>
      <w:r>
        <w:rPr>
          <w:rFonts w:cs="Arial"/>
          <w:szCs w:val="24"/>
          <w:lang w:val="es-MX"/>
        </w:rPr>
        <w:t xml:space="preserve"> </w:t>
      </w:r>
    </w:p>
    <w:p w14:paraId="57E1D564" w14:textId="77777777" w:rsidR="00AE2DCE" w:rsidRDefault="00F70F7B" w:rsidP="006E5351">
      <w:pPr>
        <w:spacing w:before="480" w:after="480"/>
        <w:rPr>
          <w:rFonts w:cs="Arial"/>
          <w:szCs w:val="24"/>
          <w:lang w:val="es-MX"/>
        </w:rPr>
      </w:pPr>
      <w:bookmarkStart w:id="41" w:name="_Toc231741436"/>
      <w:r w:rsidRPr="00212664">
        <w:rPr>
          <w:rStyle w:val="Ttulo3Car"/>
        </w:rPr>
        <w:t xml:space="preserve">2.4.1 </w:t>
      </w:r>
      <w:r w:rsidR="00D90EBE" w:rsidRPr="00212664">
        <w:rPr>
          <w:rStyle w:val="Ttulo3Car"/>
        </w:rPr>
        <w:t>Objetivo general</w:t>
      </w:r>
      <w:r w:rsidR="00AD6702" w:rsidRPr="00212664">
        <w:rPr>
          <w:rStyle w:val="Ttulo3Car"/>
        </w:rPr>
        <w:t>.</w:t>
      </w:r>
      <w:bookmarkEnd w:id="41"/>
      <w:r w:rsidR="00AD6702">
        <w:rPr>
          <w:rFonts w:cs="Arial"/>
          <w:szCs w:val="24"/>
          <w:lang w:val="es-MX"/>
        </w:rPr>
        <w:t xml:space="preserve">  </w:t>
      </w:r>
    </w:p>
    <w:p w14:paraId="6AAE21D7" w14:textId="2CB11D26" w:rsidR="00B7219C" w:rsidRPr="00AE2DCE" w:rsidRDefault="00B7219C" w:rsidP="00AE2DCE">
      <w:pPr>
        <w:pStyle w:val="Prrafodelista"/>
        <w:numPr>
          <w:ilvl w:val="0"/>
          <w:numId w:val="7"/>
        </w:numPr>
        <w:spacing w:before="480" w:after="480"/>
        <w:rPr>
          <w:rFonts w:cs="Arial"/>
          <w:szCs w:val="24"/>
          <w:lang w:val="es-MX"/>
        </w:rPr>
      </w:pPr>
      <w:r w:rsidRPr="00B7219C">
        <w:rPr>
          <w:rFonts w:cs="Arial"/>
          <w:szCs w:val="24"/>
          <w:lang w:val="es-MX"/>
        </w:rPr>
        <w:t>Diseñ</w:t>
      </w:r>
      <w:r>
        <w:rPr>
          <w:rFonts w:cs="Arial"/>
          <w:szCs w:val="24"/>
          <w:lang w:val="es-MX"/>
        </w:rPr>
        <w:t>ar</w:t>
      </w:r>
      <w:r w:rsidRPr="00B7219C">
        <w:rPr>
          <w:rFonts w:cs="Arial"/>
          <w:szCs w:val="24"/>
          <w:lang w:val="es-MX"/>
        </w:rPr>
        <w:t xml:space="preserve"> estrategias de fortalecimiento presupuestal y modernización fiscal para la actualización del marco fiscal de mediano plazo del municipio de </w:t>
      </w:r>
      <w:r>
        <w:rPr>
          <w:rFonts w:cs="Arial"/>
          <w:szCs w:val="24"/>
          <w:lang w:val="es-MX"/>
        </w:rPr>
        <w:t>A</w:t>
      </w:r>
      <w:r w:rsidRPr="00B7219C">
        <w:rPr>
          <w:rFonts w:cs="Arial"/>
          <w:szCs w:val="24"/>
          <w:lang w:val="es-MX"/>
        </w:rPr>
        <w:t>guachica</w:t>
      </w:r>
    </w:p>
    <w:p w14:paraId="0A131E77" w14:textId="319D9D1C" w:rsidR="00F70F7B" w:rsidRDefault="00F70F7B" w:rsidP="002824F1">
      <w:pPr>
        <w:rPr>
          <w:rFonts w:cs="Arial"/>
          <w:szCs w:val="24"/>
          <w:lang w:val="es-MX"/>
        </w:rPr>
      </w:pPr>
      <w:bookmarkStart w:id="42" w:name="_Toc231741437"/>
      <w:r w:rsidRPr="006E5351">
        <w:rPr>
          <w:rStyle w:val="Ttulo3Car"/>
        </w:rPr>
        <w:t xml:space="preserve">2.4.2 </w:t>
      </w:r>
      <w:r w:rsidR="00D90EBE" w:rsidRPr="006E5351">
        <w:rPr>
          <w:rStyle w:val="Ttulo3Car"/>
        </w:rPr>
        <w:t>Objetivos específicos</w:t>
      </w:r>
      <w:r w:rsidR="006E5351" w:rsidRPr="006E5351">
        <w:rPr>
          <w:rStyle w:val="Ttulo3Car"/>
        </w:rPr>
        <w:t>.</w:t>
      </w:r>
      <w:bookmarkEnd w:id="42"/>
      <w:r w:rsidR="006E5351">
        <w:rPr>
          <w:rFonts w:cs="Arial"/>
          <w:szCs w:val="24"/>
          <w:lang w:val="es-MX"/>
        </w:rPr>
        <w:t xml:space="preserve">  </w:t>
      </w:r>
    </w:p>
    <w:p w14:paraId="531C53C4" w14:textId="3A894166" w:rsidR="00FF0AAB" w:rsidRPr="00CA287B" w:rsidRDefault="00CA287B" w:rsidP="00CA287B">
      <w:pPr>
        <w:pStyle w:val="Prrafodelista"/>
        <w:numPr>
          <w:ilvl w:val="0"/>
          <w:numId w:val="8"/>
        </w:numPr>
        <w:spacing w:before="480" w:after="480"/>
        <w:rPr>
          <w:rFonts w:cs="Arial"/>
          <w:szCs w:val="24"/>
          <w:lang w:val="es-MX"/>
        </w:rPr>
      </w:pPr>
      <w:r w:rsidRPr="003D5215">
        <w:t>Consolidar la base técnica y documental del municipio mediante la recolección de información histórica, para establecer los supuestos fiscales</w:t>
      </w:r>
      <w:r w:rsidR="00FF0AAB" w:rsidRPr="00CA287B">
        <w:rPr>
          <w:rFonts w:cs="Arial"/>
          <w:szCs w:val="24"/>
          <w:lang w:val="es-MX"/>
        </w:rPr>
        <w:br/>
      </w:r>
    </w:p>
    <w:p w14:paraId="2B7E87A5" w14:textId="0CCABD1B" w:rsidR="00FF0AAB" w:rsidRPr="00FF0AAB" w:rsidRDefault="00FF0AAB" w:rsidP="00FF0AAB">
      <w:pPr>
        <w:pStyle w:val="Prrafodelista"/>
        <w:numPr>
          <w:ilvl w:val="0"/>
          <w:numId w:val="8"/>
        </w:numPr>
        <w:spacing w:before="480" w:after="480"/>
        <w:ind w:left="714" w:hanging="357"/>
        <w:rPr>
          <w:rFonts w:cs="Arial"/>
          <w:szCs w:val="24"/>
          <w:lang w:val="es-MX"/>
        </w:rPr>
      </w:pPr>
      <w:r w:rsidRPr="00FF0AAB">
        <w:rPr>
          <w:rFonts w:cs="Arial"/>
          <w:szCs w:val="24"/>
          <w:lang w:val="es-MX"/>
        </w:rPr>
        <w:t>Analizar la sostenibilidad financiera mediante la proyección de ingresos, gastos y deuda, para evaluar el comportamiento fiscal del municipio.</w:t>
      </w:r>
      <w:r w:rsidR="00CA287B">
        <w:rPr>
          <w:rFonts w:cs="Arial"/>
          <w:szCs w:val="24"/>
          <w:lang w:val="es-MX"/>
        </w:rPr>
        <w:t xml:space="preserve"> </w:t>
      </w:r>
      <w:r>
        <w:rPr>
          <w:rFonts w:cs="Arial"/>
          <w:szCs w:val="24"/>
          <w:lang w:val="es-MX"/>
        </w:rPr>
        <w:br/>
      </w:r>
    </w:p>
    <w:p w14:paraId="6BB779EB" w14:textId="08556875" w:rsidR="007E2172" w:rsidRPr="00FF0AAB" w:rsidRDefault="007D7697" w:rsidP="00FF0AAB">
      <w:pPr>
        <w:pStyle w:val="Prrafodelista"/>
        <w:numPr>
          <w:ilvl w:val="0"/>
          <w:numId w:val="8"/>
        </w:numPr>
        <w:spacing w:before="480" w:after="480"/>
        <w:ind w:left="714" w:hanging="357"/>
        <w:rPr>
          <w:rFonts w:cs="Arial"/>
          <w:szCs w:val="24"/>
          <w:lang w:val="es-MX"/>
        </w:rPr>
      </w:pPr>
      <w:r w:rsidRPr="00FF0AAB">
        <w:rPr>
          <w:rFonts w:cs="Arial"/>
          <w:szCs w:val="24"/>
          <w:lang w:val="es-MX"/>
        </w:rPr>
        <w:t>Definir el plan de acción mediante la evaluación del balance financiero proyectado, para garantizar el cumplimiento de las metas fiscales al 2035.</w:t>
      </w:r>
    </w:p>
    <w:p w14:paraId="6C1AE0CB" w14:textId="2A69928D" w:rsidR="00F70F7B" w:rsidRDefault="00F70F7B" w:rsidP="0030735D">
      <w:pPr>
        <w:pStyle w:val="Ttulo2"/>
      </w:pPr>
      <w:bookmarkStart w:id="43" w:name="_Toc231741438"/>
      <w:r>
        <w:lastRenderedPageBreak/>
        <w:t>2.5</w:t>
      </w:r>
      <w:r w:rsidR="00C1635B">
        <w:t>.</w:t>
      </w:r>
      <w:r>
        <w:t xml:space="preserve"> PLAN DE ACTIVIDADES</w:t>
      </w:r>
      <w:bookmarkEnd w:id="43"/>
      <w:r>
        <w:t xml:space="preserve"> </w:t>
      </w:r>
    </w:p>
    <w:p w14:paraId="3F765319" w14:textId="737BB4A6" w:rsidR="00F70F7B" w:rsidRDefault="004A4EF2" w:rsidP="004A4EF2">
      <w:pPr>
        <w:spacing w:after="480"/>
        <w:rPr>
          <w:rFonts w:cs="Arial"/>
          <w:szCs w:val="24"/>
        </w:rPr>
      </w:pPr>
      <w:r w:rsidRPr="004A4EF2">
        <w:rPr>
          <w:rFonts w:cs="Arial"/>
          <w:szCs w:val="24"/>
        </w:rPr>
        <w:t>El plan de actividades se estructuró a partir de los objetivos específicos definidos, organizando las acciones desarrolladas en bloques que responden a la lógica técnica del proceso de actualización del marco fiscal.</w:t>
      </w:r>
    </w:p>
    <w:p w14:paraId="51F0F027" w14:textId="31304317" w:rsidR="004A4EF2" w:rsidRDefault="004A4EF2" w:rsidP="004A4EF2">
      <w:pPr>
        <w:spacing w:after="480"/>
        <w:rPr>
          <w:rFonts w:cs="Arial"/>
          <w:szCs w:val="24"/>
        </w:rPr>
      </w:pPr>
      <w:r w:rsidRPr="004A4EF2">
        <w:rPr>
          <w:rFonts w:cs="Arial"/>
          <w:szCs w:val="24"/>
        </w:rPr>
        <w:t>En primer lugar, se adelantaron actividades orientadas a la consolidación de la base técnica y documental del municipio, tales como la inducción normativa, el reconocimiento institucional, la instalación y manejo de herramientas como CHIP y Suite Neptuno, la recolección y validación de ejecuciones presupuestales, así como la construcción de bases de datos históricas relacionadas con ingresos, gastos e indicadores clave.</w:t>
      </w:r>
    </w:p>
    <w:p w14:paraId="258FD0BC" w14:textId="43AE24FD" w:rsidR="00B63E21" w:rsidRDefault="005F7B7A" w:rsidP="004A4EF2">
      <w:pPr>
        <w:spacing w:after="480"/>
        <w:rPr>
          <w:rFonts w:cs="Arial"/>
          <w:szCs w:val="24"/>
        </w:rPr>
      </w:pPr>
      <w:r w:rsidRPr="005F7B7A">
        <w:rPr>
          <w:rFonts w:cs="Arial"/>
          <w:szCs w:val="24"/>
        </w:rPr>
        <w:t>En segundo lugar, se desarrollaron actividades enfocadas en el análisis de la sostenibilidad financiera, mediante el diagnóstico de la situación fiscal, la proyección de ingresos y gastos, y el estudio de la deuda, los pasivos contingentes y el sector descentralizado. A partir de este proceso, se avanzó en la evaluación del balance financiero y en la definición de medidas y acciones orientadas al cumplimiento de las metas fiscales del municipio</w:t>
      </w:r>
      <w:r w:rsidR="00B63E21">
        <w:rPr>
          <w:rFonts w:cs="Arial"/>
          <w:szCs w:val="24"/>
        </w:rPr>
        <w:t>.</w:t>
      </w:r>
    </w:p>
    <w:p w14:paraId="6A5A5D8B" w14:textId="32636BA1" w:rsidR="00B63E21" w:rsidRDefault="00330716" w:rsidP="004A4EF2">
      <w:pPr>
        <w:spacing w:after="480"/>
        <w:rPr>
          <w:rFonts w:cs="Arial"/>
          <w:szCs w:val="24"/>
        </w:rPr>
      </w:pPr>
      <w:r w:rsidRPr="00330716">
        <w:rPr>
          <w:rFonts w:cs="Arial"/>
          <w:szCs w:val="24"/>
        </w:rPr>
        <w:t>Finalmente, se incorporaron actividades complementarias propias del funcionamiento del área de presupuesto, como la elaboración de CDP y RP, el diseño del modelo del PAC en Excel y su implementación, la elaboración de gráficas para la rendición de cuentas, así como el análisis de cartera y la construcción y aplicación de indicadores financieros, las cuales fortalecieron el ejercicio técnico y aportaron al desarrollo integral de la práctica profesional.</w:t>
      </w:r>
    </w:p>
    <w:p w14:paraId="0CD01114" w14:textId="2CAC16DD" w:rsidR="00330716" w:rsidRDefault="00A64073" w:rsidP="00330716">
      <w:pPr>
        <w:sectPr w:rsidR="00330716" w:rsidSect="002824F1">
          <w:pgSz w:w="12242" w:h="15842" w:code="1"/>
          <w:pgMar w:top="1701" w:right="1134" w:bottom="1701" w:left="2268" w:header="720" w:footer="720" w:gutter="0"/>
          <w:cols w:space="708"/>
          <w:docGrid w:linePitch="360"/>
        </w:sectPr>
      </w:pPr>
      <w:r w:rsidRPr="00A64073">
        <w:t xml:space="preserve">El plan de actividades desarrollado evidencia una articulación directa con los objetivos planteados y responde a las necesidades identificadas en el diagnóstico del área de presupuesto. Cada una de las acciones ejecutadas contribuye al </w:t>
      </w:r>
      <w:r w:rsidR="00EA373F">
        <w:t xml:space="preserve">proceso </w:t>
      </w:r>
      <w:r w:rsidRPr="00A64073">
        <w:t>del proceso de actualización del Marco Fiscal de Mediano Plazo, integrando el análisis técnico de la información financiera con el desarrollo de competencias prácticas en la gestión presupuestal. De esta manera, el plan no solo orienta el desarrollo de la práctica profesional, sino que también se convierte en un instrumento que aporta al mejoramiento de los procesos internos del área.</w:t>
      </w:r>
    </w:p>
    <w:p w14:paraId="65A803C8" w14:textId="4D59BE9B" w:rsidR="00A857FE" w:rsidRPr="00E16F49" w:rsidRDefault="00A857FE" w:rsidP="00A857FE">
      <w:pPr>
        <w:pStyle w:val="Descripcin"/>
        <w:keepNext/>
        <w:rPr>
          <w:rFonts w:ascii="Arial" w:hAnsi="Arial" w:cs="Arial"/>
          <w:i w:val="0"/>
          <w:iCs w:val="0"/>
          <w:color w:val="auto"/>
          <w:sz w:val="24"/>
          <w:szCs w:val="24"/>
        </w:rPr>
      </w:pPr>
      <w:bookmarkStart w:id="44" w:name="_Toc231741481"/>
      <w:r w:rsidRPr="00E16F49">
        <w:rPr>
          <w:rFonts w:ascii="Arial" w:hAnsi="Arial" w:cs="Arial"/>
          <w:b/>
          <w:bCs/>
          <w:i w:val="0"/>
          <w:iCs w:val="0"/>
          <w:color w:val="auto"/>
          <w:sz w:val="24"/>
          <w:szCs w:val="24"/>
        </w:rPr>
        <w:lastRenderedPageBreak/>
        <w:t xml:space="preserve">Tabla </w:t>
      </w:r>
      <w:r w:rsidR="00591DB5" w:rsidRPr="00E16F49">
        <w:rPr>
          <w:rFonts w:ascii="Arial" w:hAnsi="Arial" w:cs="Arial"/>
          <w:b/>
          <w:bCs/>
          <w:i w:val="0"/>
          <w:iCs w:val="0"/>
          <w:color w:val="auto"/>
          <w:sz w:val="24"/>
          <w:szCs w:val="24"/>
        </w:rPr>
        <w:fldChar w:fldCharType="begin"/>
      </w:r>
      <w:r w:rsidR="00591DB5" w:rsidRPr="00E16F49">
        <w:rPr>
          <w:rFonts w:ascii="Arial" w:hAnsi="Arial" w:cs="Arial"/>
          <w:b/>
          <w:bCs/>
          <w:i w:val="0"/>
          <w:iCs w:val="0"/>
          <w:color w:val="auto"/>
          <w:sz w:val="24"/>
          <w:szCs w:val="24"/>
        </w:rPr>
        <w:instrText xml:space="preserve"> SEQ Tabla \* ARABIC </w:instrText>
      </w:r>
      <w:r w:rsidR="00591DB5" w:rsidRPr="00E16F49">
        <w:rPr>
          <w:rFonts w:ascii="Arial" w:hAnsi="Arial" w:cs="Arial"/>
          <w:b/>
          <w:bCs/>
          <w:i w:val="0"/>
          <w:iCs w:val="0"/>
          <w:color w:val="auto"/>
          <w:sz w:val="24"/>
          <w:szCs w:val="24"/>
        </w:rPr>
        <w:fldChar w:fldCharType="separate"/>
      </w:r>
      <w:r w:rsidR="002B0D85">
        <w:rPr>
          <w:rFonts w:ascii="Arial" w:hAnsi="Arial" w:cs="Arial"/>
          <w:b/>
          <w:bCs/>
          <w:i w:val="0"/>
          <w:iCs w:val="0"/>
          <w:noProof/>
          <w:color w:val="auto"/>
          <w:sz w:val="24"/>
          <w:szCs w:val="24"/>
        </w:rPr>
        <w:t>3</w:t>
      </w:r>
      <w:r w:rsidR="00591DB5" w:rsidRPr="00E16F49">
        <w:rPr>
          <w:rFonts w:ascii="Arial" w:hAnsi="Arial" w:cs="Arial"/>
          <w:b/>
          <w:bCs/>
          <w:i w:val="0"/>
          <w:iCs w:val="0"/>
          <w:noProof/>
          <w:color w:val="auto"/>
          <w:sz w:val="24"/>
          <w:szCs w:val="24"/>
        </w:rPr>
        <w:fldChar w:fldCharType="end"/>
      </w:r>
      <w:r w:rsidRPr="00E16F49">
        <w:rPr>
          <w:rFonts w:ascii="Arial" w:hAnsi="Arial" w:cs="Arial"/>
          <w:i w:val="0"/>
          <w:iCs w:val="0"/>
          <w:color w:val="auto"/>
          <w:sz w:val="24"/>
          <w:szCs w:val="24"/>
        </w:rPr>
        <w:t>. Plan de actividades de la práctica profesional en la Alcaldía Municipal de Aguachica</w:t>
      </w:r>
      <w:bookmarkEnd w:id="44"/>
    </w:p>
    <w:tbl>
      <w:tblPr>
        <w:tblW w:w="5084" w:type="pct"/>
        <w:tblCellMar>
          <w:left w:w="70" w:type="dxa"/>
          <w:right w:w="70" w:type="dxa"/>
        </w:tblCellMar>
        <w:tblLook w:val="04A0" w:firstRow="1" w:lastRow="0" w:firstColumn="1" w:lastColumn="0" w:noHBand="0" w:noVBand="1"/>
      </w:tblPr>
      <w:tblGrid>
        <w:gridCol w:w="6554"/>
        <w:gridCol w:w="215"/>
        <w:gridCol w:w="288"/>
        <w:gridCol w:w="354"/>
        <w:gridCol w:w="364"/>
        <w:gridCol w:w="215"/>
        <w:gridCol w:w="283"/>
        <w:gridCol w:w="354"/>
        <w:gridCol w:w="367"/>
        <w:gridCol w:w="215"/>
        <w:gridCol w:w="283"/>
        <w:gridCol w:w="354"/>
        <w:gridCol w:w="364"/>
        <w:gridCol w:w="215"/>
        <w:gridCol w:w="283"/>
        <w:gridCol w:w="356"/>
        <w:gridCol w:w="364"/>
        <w:gridCol w:w="215"/>
        <w:gridCol w:w="283"/>
        <w:gridCol w:w="354"/>
        <w:gridCol w:w="359"/>
      </w:tblGrid>
      <w:tr w:rsidR="00A50815" w:rsidRPr="00D24C05" w14:paraId="6BA87B59" w14:textId="77777777" w:rsidTr="002B0091">
        <w:trPr>
          <w:trHeight w:val="380"/>
        </w:trPr>
        <w:tc>
          <w:tcPr>
            <w:tcW w:w="2593" w:type="pct"/>
            <w:tcBorders>
              <w:top w:val="single" w:sz="4" w:space="0" w:color="auto"/>
              <w:left w:val="single" w:sz="4" w:space="0" w:color="auto"/>
              <w:bottom w:val="single" w:sz="4" w:space="0" w:color="auto"/>
              <w:right w:val="single" w:sz="4" w:space="0" w:color="auto"/>
            </w:tcBorders>
            <w:noWrap/>
            <w:vAlign w:val="center"/>
            <w:hideMark/>
          </w:tcPr>
          <w:p w14:paraId="7C82944D" w14:textId="77777777" w:rsidR="00A50815" w:rsidRPr="00D24C05" w:rsidRDefault="00A50815" w:rsidP="00A50815">
            <w:pPr>
              <w:spacing w:before="0" w:after="0"/>
              <w:jc w:val="center"/>
              <w:rPr>
                <w:rFonts w:eastAsia="Times New Roman" w:cs="Arial"/>
                <w:b/>
                <w:bCs/>
                <w:color w:val="000000"/>
                <w:sz w:val="20"/>
                <w:szCs w:val="20"/>
                <w:lang w:eastAsia="es-CO"/>
              </w:rPr>
            </w:pPr>
            <w:r w:rsidRPr="00D24C05">
              <w:rPr>
                <w:rFonts w:eastAsia="Times New Roman" w:cs="Arial"/>
                <w:b/>
                <w:bCs/>
                <w:color w:val="000000"/>
                <w:sz w:val="20"/>
                <w:szCs w:val="20"/>
                <w:lang w:eastAsia="es-CO"/>
              </w:rPr>
              <w:t>Meses</w:t>
            </w:r>
          </w:p>
        </w:tc>
        <w:tc>
          <w:tcPr>
            <w:tcW w:w="483" w:type="pct"/>
            <w:gridSpan w:val="4"/>
            <w:tcBorders>
              <w:top w:val="single" w:sz="4" w:space="0" w:color="auto"/>
              <w:left w:val="nil"/>
              <w:bottom w:val="single" w:sz="4" w:space="0" w:color="auto"/>
              <w:right w:val="single" w:sz="4" w:space="0" w:color="auto"/>
            </w:tcBorders>
            <w:noWrap/>
            <w:vAlign w:val="center"/>
            <w:hideMark/>
          </w:tcPr>
          <w:p w14:paraId="38804569" w14:textId="77777777" w:rsidR="00A50815" w:rsidRPr="00D24C05" w:rsidRDefault="00A50815" w:rsidP="00A50815">
            <w:pPr>
              <w:spacing w:before="0" w:after="0"/>
              <w:jc w:val="center"/>
              <w:rPr>
                <w:rFonts w:eastAsia="Times New Roman" w:cs="Arial"/>
                <w:b/>
                <w:bCs/>
                <w:color w:val="000000"/>
                <w:sz w:val="20"/>
                <w:szCs w:val="20"/>
                <w:lang w:eastAsia="es-CO"/>
              </w:rPr>
            </w:pPr>
            <w:r w:rsidRPr="00D24C05">
              <w:rPr>
                <w:rFonts w:eastAsia="Times New Roman" w:cs="Arial"/>
                <w:b/>
                <w:bCs/>
                <w:color w:val="000000"/>
                <w:sz w:val="20"/>
                <w:szCs w:val="20"/>
                <w:lang w:eastAsia="es-CO"/>
              </w:rPr>
              <w:t>Febrero</w:t>
            </w:r>
          </w:p>
        </w:tc>
        <w:tc>
          <w:tcPr>
            <w:tcW w:w="481" w:type="pct"/>
            <w:gridSpan w:val="4"/>
            <w:tcBorders>
              <w:top w:val="single" w:sz="4" w:space="0" w:color="auto"/>
              <w:left w:val="nil"/>
              <w:bottom w:val="single" w:sz="4" w:space="0" w:color="auto"/>
              <w:right w:val="single" w:sz="4" w:space="0" w:color="auto"/>
            </w:tcBorders>
            <w:noWrap/>
            <w:vAlign w:val="center"/>
            <w:hideMark/>
          </w:tcPr>
          <w:p w14:paraId="2BF3954D" w14:textId="77777777" w:rsidR="00A50815" w:rsidRPr="00D24C05" w:rsidRDefault="00A50815" w:rsidP="00A50815">
            <w:pPr>
              <w:spacing w:before="0" w:after="0"/>
              <w:jc w:val="center"/>
              <w:rPr>
                <w:rFonts w:eastAsia="Times New Roman" w:cs="Arial"/>
                <w:b/>
                <w:bCs/>
                <w:color w:val="000000"/>
                <w:sz w:val="20"/>
                <w:szCs w:val="20"/>
                <w:lang w:eastAsia="es-CO"/>
              </w:rPr>
            </w:pPr>
            <w:r w:rsidRPr="00D24C05">
              <w:rPr>
                <w:rFonts w:eastAsia="Times New Roman" w:cs="Arial"/>
                <w:b/>
                <w:bCs/>
                <w:color w:val="000000"/>
                <w:sz w:val="20"/>
                <w:szCs w:val="20"/>
                <w:lang w:eastAsia="es-CO"/>
              </w:rPr>
              <w:t>Marzo</w:t>
            </w:r>
          </w:p>
        </w:tc>
        <w:tc>
          <w:tcPr>
            <w:tcW w:w="481" w:type="pct"/>
            <w:gridSpan w:val="4"/>
            <w:tcBorders>
              <w:top w:val="single" w:sz="4" w:space="0" w:color="auto"/>
              <w:left w:val="nil"/>
              <w:bottom w:val="single" w:sz="4" w:space="0" w:color="auto"/>
              <w:right w:val="single" w:sz="4" w:space="0" w:color="auto"/>
            </w:tcBorders>
            <w:noWrap/>
            <w:vAlign w:val="center"/>
            <w:hideMark/>
          </w:tcPr>
          <w:p w14:paraId="3AB381BE" w14:textId="77777777" w:rsidR="00A50815" w:rsidRPr="00D24C05" w:rsidRDefault="00A50815" w:rsidP="00A50815">
            <w:pPr>
              <w:spacing w:before="0" w:after="0"/>
              <w:jc w:val="center"/>
              <w:rPr>
                <w:rFonts w:eastAsia="Times New Roman" w:cs="Arial"/>
                <w:b/>
                <w:bCs/>
                <w:color w:val="000000"/>
                <w:sz w:val="20"/>
                <w:szCs w:val="20"/>
                <w:lang w:eastAsia="es-CO"/>
              </w:rPr>
            </w:pPr>
            <w:r w:rsidRPr="00D24C05">
              <w:rPr>
                <w:rFonts w:eastAsia="Times New Roman" w:cs="Arial"/>
                <w:b/>
                <w:bCs/>
                <w:color w:val="000000"/>
                <w:sz w:val="20"/>
                <w:szCs w:val="20"/>
                <w:lang w:eastAsia="es-CO"/>
              </w:rPr>
              <w:t>Abril</w:t>
            </w:r>
          </w:p>
        </w:tc>
        <w:tc>
          <w:tcPr>
            <w:tcW w:w="482" w:type="pct"/>
            <w:gridSpan w:val="4"/>
            <w:tcBorders>
              <w:top w:val="single" w:sz="4" w:space="0" w:color="auto"/>
              <w:left w:val="nil"/>
              <w:bottom w:val="single" w:sz="4" w:space="0" w:color="auto"/>
              <w:right w:val="single" w:sz="4" w:space="0" w:color="auto"/>
            </w:tcBorders>
            <w:noWrap/>
            <w:vAlign w:val="center"/>
            <w:hideMark/>
          </w:tcPr>
          <w:p w14:paraId="1385168A" w14:textId="77777777" w:rsidR="00A50815" w:rsidRPr="00D24C05" w:rsidRDefault="00A50815" w:rsidP="00A50815">
            <w:pPr>
              <w:spacing w:before="0" w:after="0"/>
              <w:jc w:val="center"/>
              <w:rPr>
                <w:rFonts w:eastAsia="Times New Roman" w:cs="Arial"/>
                <w:b/>
                <w:bCs/>
                <w:color w:val="000000"/>
                <w:sz w:val="20"/>
                <w:szCs w:val="20"/>
                <w:lang w:eastAsia="es-CO"/>
              </w:rPr>
            </w:pPr>
            <w:r w:rsidRPr="00D24C05">
              <w:rPr>
                <w:rFonts w:eastAsia="Times New Roman" w:cs="Arial"/>
                <w:b/>
                <w:bCs/>
                <w:color w:val="000000"/>
                <w:sz w:val="20"/>
                <w:szCs w:val="20"/>
                <w:lang w:eastAsia="es-CO"/>
              </w:rPr>
              <w:t>Mayo</w:t>
            </w:r>
          </w:p>
        </w:tc>
        <w:tc>
          <w:tcPr>
            <w:tcW w:w="480" w:type="pct"/>
            <w:gridSpan w:val="4"/>
            <w:tcBorders>
              <w:top w:val="single" w:sz="4" w:space="0" w:color="auto"/>
              <w:left w:val="nil"/>
              <w:bottom w:val="single" w:sz="4" w:space="0" w:color="auto"/>
              <w:right w:val="single" w:sz="4" w:space="0" w:color="auto"/>
            </w:tcBorders>
            <w:noWrap/>
            <w:vAlign w:val="center"/>
            <w:hideMark/>
          </w:tcPr>
          <w:p w14:paraId="73BE6EAB" w14:textId="77777777" w:rsidR="00A50815" w:rsidRPr="00D24C05" w:rsidRDefault="00A50815" w:rsidP="00A50815">
            <w:pPr>
              <w:spacing w:before="0" w:after="0"/>
              <w:jc w:val="center"/>
              <w:rPr>
                <w:rFonts w:eastAsia="Times New Roman" w:cs="Arial"/>
                <w:b/>
                <w:bCs/>
                <w:color w:val="000000"/>
                <w:sz w:val="20"/>
                <w:szCs w:val="20"/>
                <w:lang w:eastAsia="es-CO"/>
              </w:rPr>
            </w:pPr>
            <w:r w:rsidRPr="00D24C05">
              <w:rPr>
                <w:rFonts w:eastAsia="Times New Roman" w:cs="Arial"/>
                <w:b/>
                <w:bCs/>
                <w:color w:val="000000"/>
                <w:sz w:val="20"/>
                <w:szCs w:val="20"/>
                <w:lang w:eastAsia="es-CO"/>
              </w:rPr>
              <w:t>Junio</w:t>
            </w:r>
          </w:p>
        </w:tc>
      </w:tr>
      <w:tr w:rsidR="002B0091" w:rsidRPr="00D24C05" w14:paraId="4EEB5E1F" w14:textId="77777777" w:rsidTr="002B0091">
        <w:trPr>
          <w:trHeight w:val="380"/>
        </w:trPr>
        <w:tc>
          <w:tcPr>
            <w:tcW w:w="2593" w:type="pct"/>
            <w:tcBorders>
              <w:top w:val="nil"/>
              <w:left w:val="single" w:sz="4" w:space="0" w:color="auto"/>
              <w:bottom w:val="single" w:sz="4" w:space="0" w:color="auto"/>
              <w:right w:val="single" w:sz="4" w:space="0" w:color="auto"/>
            </w:tcBorders>
            <w:noWrap/>
            <w:vAlign w:val="center"/>
            <w:hideMark/>
          </w:tcPr>
          <w:p w14:paraId="3990EE75" w14:textId="77777777" w:rsidR="00A50815" w:rsidRPr="00D24C05" w:rsidRDefault="00A50815" w:rsidP="00A50815">
            <w:pPr>
              <w:spacing w:before="0" w:after="0"/>
              <w:jc w:val="center"/>
              <w:rPr>
                <w:rFonts w:eastAsia="Times New Roman" w:cs="Arial"/>
                <w:b/>
                <w:bCs/>
                <w:i/>
                <w:iCs/>
                <w:color w:val="000000"/>
                <w:sz w:val="20"/>
                <w:szCs w:val="20"/>
                <w:lang w:eastAsia="es-CO"/>
              </w:rPr>
            </w:pPr>
            <w:r w:rsidRPr="00D24C05">
              <w:rPr>
                <w:rFonts w:eastAsia="Times New Roman" w:cs="Arial"/>
                <w:b/>
                <w:bCs/>
                <w:i/>
                <w:iCs/>
                <w:color w:val="000000"/>
                <w:sz w:val="20"/>
                <w:szCs w:val="20"/>
                <w:lang w:eastAsia="es-CO"/>
              </w:rPr>
              <w:t>Semanas</w:t>
            </w:r>
          </w:p>
        </w:tc>
        <w:tc>
          <w:tcPr>
            <w:tcW w:w="85" w:type="pct"/>
            <w:tcBorders>
              <w:top w:val="nil"/>
              <w:left w:val="nil"/>
              <w:bottom w:val="single" w:sz="4" w:space="0" w:color="auto"/>
              <w:right w:val="single" w:sz="4" w:space="0" w:color="auto"/>
            </w:tcBorders>
            <w:noWrap/>
            <w:vAlign w:val="center"/>
            <w:hideMark/>
          </w:tcPr>
          <w:p w14:paraId="0818D25A"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I</w:t>
            </w:r>
          </w:p>
        </w:tc>
        <w:tc>
          <w:tcPr>
            <w:tcW w:w="113" w:type="pct"/>
            <w:tcBorders>
              <w:top w:val="nil"/>
              <w:left w:val="nil"/>
              <w:bottom w:val="single" w:sz="4" w:space="0" w:color="auto"/>
              <w:right w:val="single" w:sz="4" w:space="0" w:color="auto"/>
            </w:tcBorders>
            <w:noWrap/>
            <w:vAlign w:val="center"/>
            <w:hideMark/>
          </w:tcPr>
          <w:p w14:paraId="3B4A83FD"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II</w:t>
            </w:r>
          </w:p>
        </w:tc>
        <w:tc>
          <w:tcPr>
            <w:tcW w:w="140" w:type="pct"/>
            <w:tcBorders>
              <w:top w:val="nil"/>
              <w:left w:val="nil"/>
              <w:bottom w:val="single" w:sz="4" w:space="0" w:color="auto"/>
              <w:right w:val="single" w:sz="4" w:space="0" w:color="auto"/>
            </w:tcBorders>
            <w:noWrap/>
            <w:vAlign w:val="center"/>
            <w:hideMark/>
          </w:tcPr>
          <w:p w14:paraId="34B64AB7"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III</w:t>
            </w:r>
          </w:p>
        </w:tc>
        <w:tc>
          <w:tcPr>
            <w:tcW w:w="144" w:type="pct"/>
            <w:tcBorders>
              <w:top w:val="nil"/>
              <w:left w:val="nil"/>
              <w:bottom w:val="single" w:sz="4" w:space="0" w:color="auto"/>
              <w:right w:val="single" w:sz="4" w:space="0" w:color="auto"/>
            </w:tcBorders>
            <w:noWrap/>
            <w:vAlign w:val="center"/>
            <w:hideMark/>
          </w:tcPr>
          <w:p w14:paraId="505D2519"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IV</w:t>
            </w:r>
          </w:p>
        </w:tc>
        <w:tc>
          <w:tcPr>
            <w:tcW w:w="85" w:type="pct"/>
            <w:tcBorders>
              <w:top w:val="nil"/>
              <w:left w:val="nil"/>
              <w:bottom w:val="single" w:sz="4" w:space="0" w:color="auto"/>
              <w:right w:val="single" w:sz="4" w:space="0" w:color="auto"/>
            </w:tcBorders>
            <w:noWrap/>
            <w:vAlign w:val="center"/>
            <w:hideMark/>
          </w:tcPr>
          <w:p w14:paraId="20650906"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I</w:t>
            </w:r>
          </w:p>
        </w:tc>
        <w:tc>
          <w:tcPr>
            <w:tcW w:w="112" w:type="pct"/>
            <w:tcBorders>
              <w:top w:val="nil"/>
              <w:left w:val="nil"/>
              <w:bottom w:val="single" w:sz="4" w:space="0" w:color="auto"/>
              <w:right w:val="single" w:sz="4" w:space="0" w:color="auto"/>
            </w:tcBorders>
            <w:noWrap/>
            <w:vAlign w:val="center"/>
            <w:hideMark/>
          </w:tcPr>
          <w:p w14:paraId="5F17F5F5"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II</w:t>
            </w:r>
          </w:p>
        </w:tc>
        <w:tc>
          <w:tcPr>
            <w:tcW w:w="140" w:type="pct"/>
            <w:tcBorders>
              <w:top w:val="nil"/>
              <w:left w:val="nil"/>
              <w:bottom w:val="single" w:sz="4" w:space="0" w:color="auto"/>
              <w:right w:val="single" w:sz="4" w:space="0" w:color="auto"/>
            </w:tcBorders>
            <w:noWrap/>
            <w:vAlign w:val="center"/>
            <w:hideMark/>
          </w:tcPr>
          <w:p w14:paraId="35439C7C"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III</w:t>
            </w:r>
          </w:p>
        </w:tc>
        <w:tc>
          <w:tcPr>
            <w:tcW w:w="145" w:type="pct"/>
            <w:tcBorders>
              <w:top w:val="nil"/>
              <w:left w:val="nil"/>
              <w:bottom w:val="single" w:sz="4" w:space="0" w:color="auto"/>
              <w:right w:val="single" w:sz="4" w:space="0" w:color="auto"/>
            </w:tcBorders>
            <w:noWrap/>
            <w:vAlign w:val="center"/>
            <w:hideMark/>
          </w:tcPr>
          <w:p w14:paraId="7DD70AC6"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IV</w:t>
            </w:r>
          </w:p>
        </w:tc>
        <w:tc>
          <w:tcPr>
            <w:tcW w:w="85" w:type="pct"/>
            <w:tcBorders>
              <w:top w:val="nil"/>
              <w:left w:val="nil"/>
              <w:bottom w:val="single" w:sz="4" w:space="0" w:color="auto"/>
              <w:right w:val="single" w:sz="4" w:space="0" w:color="auto"/>
            </w:tcBorders>
            <w:noWrap/>
            <w:vAlign w:val="center"/>
            <w:hideMark/>
          </w:tcPr>
          <w:p w14:paraId="3DC543F1"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I</w:t>
            </w:r>
          </w:p>
        </w:tc>
        <w:tc>
          <w:tcPr>
            <w:tcW w:w="112" w:type="pct"/>
            <w:tcBorders>
              <w:top w:val="nil"/>
              <w:left w:val="nil"/>
              <w:bottom w:val="single" w:sz="4" w:space="0" w:color="auto"/>
              <w:right w:val="single" w:sz="4" w:space="0" w:color="auto"/>
            </w:tcBorders>
            <w:noWrap/>
            <w:vAlign w:val="center"/>
            <w:hideMark/>
          </w:tcPr>
          <w:p w14:paraId="53CC51B0"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II</w:t>
            </w:r>
          </w:p>
        </w:tc>
        <w:tc>
          <w:tcPr>
            <w:tcW w:w="140" w:type="pct"/>
            <w:tcBorders>
              <w:top w:val="nil"/>
              <w:left w:val="nil"/>
              <w:bottom w:val="single" w:sz="4" w:space="0" w:color="auto"/>
              <w:right w:val="single" w:sz="4" w:space="0" w:color="auto"/>
            </w:tcBorders>
            <w:noWrap/>
            <w:vAlign w:val="center"/>
            <w:hideMark/>
          </w:tcPr>
          <w:p w14:paraId="60669E4F"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III</w:t>
            </w:r>
          </w:p>
        </w:tc>
        <w:tc>
          <w:tcPr>
            <w:tcW w:w="144" w:type="pct"/>
            <w:tcBorders>
              <w:top w:val="nil"/>
              <w:left w:val="nil"/>
              <w:bottom w:val="single" w:sz="4" w:space="0" w:color="auto"/>
              <w:right w:val="single" w:sz="4" w:space="0" w:color="auto"/>
            </w:tcBorders>
            <w:noWrap/>
            <w:vAlign w:val="center"/>
            <w:hideMark/>
          </w:tcPr>
          <w:p w14:paraId="5BD42094"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IV</w:t>
            </w:r>
          </w:p>
        </w:tc>
        <w:tc>
          <w:tcPr>
            <w:tcW w:w="85" w:type="pct"/>
            <w:tcBorders>
              <w:top w:val="nil"/>
              <w:left w:val="nil"/>
              <w:bottom w:val="single" w:sz="4" w:space="0" w:color="auto"/>
              <w:right w:val="single" w:sz="4" w:space="0" w:color="auto"/>
            </w:tcBorders>
            <w:noWrap/>
            <w:vAlign w:val="center"/>
            <w:hideMark/>
          </w:tcPr>
          <w:p w14:paraId="73F2AC79"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I</w:t>
            </w:r>
          </w:p>
        </w:tc>
        <w:tc>
          <w:tcPr>
            <w:tcW w:w="112" w:type="pct"/>
            <w:tcBorders>
              <w:top w:val="nil"/>
              <w:left w:val="nil"/>
              <w:bottom w:val="single" w:sz="4" w:space="0" w:color="auto"/>
              <w:right w:val="single" w:sz="4" w:space="0" w:color="auto"/>
            </w:tcBorders>
            <w:noWrap/>
            <w:vAlign w:val="center"/>
            <w:hideMark/>
          </w:tcPr>
          <w:p w14:paraId="3FCF8E93"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II</w:t>
            </w:r>
          </w:p>
        </w:tc>
        <w:tc>
          <w:tcPr>
            <w:tcW w:w="141" w:type="pct"/>
            <w:tcBorders>
              <w:top w:val="nil"/>
              <w:left w:val="nil"/>
              <w:bottom w:val="single" w:sz="4" w:space="0" w:color="auto"/>
              <w:right w:val="single" w:sz="4" w:space="0" w:color="auto"/>
            </w:tcBorders>
            <w:noWrap/>
            <w:vAlign w:val="center"/>
            <w:hideMark/>
          </w:tcPr>
          <w:p w14:paraId="189D778B"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III</w:t>
            </w:r>
          </w:p>
        </w:tc>
        <w:tc>
          <w:tcPr>
            <w:tcW w:w="144" w:type="pct"/>
            <w:tcBorders>
              <w:top w:val="nil"/>
              <w:left w:val="nil"/>
              <w:bottom w:val="single" w:sz="4" w:space="0" w:color="auto"/>
              <w:right w:val="single" w:sz="4" w:space="0" w:color="auto"/>
            </w:tcBorders>
            <w:noWrap/>
            <w:vAlign w:val="center"/>
            <w:hideMark/>
          </w:tcPr>
          <w:p w14:paraId="6BFFD6AD"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IV</w:t>
            </w:r>
          </w:p>
        </w:tc>
        <w:tc>
          <w:tcPr>
            <w:tcW w:w="85" w:type="pct"/>
            <w:tcBorders>
              <w:top w:val="nil"/>
              <w:left w:val="nil"/>
              <w:bottom w:val="single" w:sz="4" w:space="0" w:color="auto"/>
              <w:right w:val="single" w:sz="4" w:space="0" w:color="auto"/>
            </w:tcBorders>
            <w:noWrap/>
            <w:vAlign w:val="center"/>
            <w:hideMark/>
          </w:tcPr>
          <w:p w14:paraId="50DB9A1E"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I</w:t>
            </w:r>
          </w:p>
        </w:tc>
        <w:tc>
          <w:tcPr>
            <w:tcW w:w="112" w:type="pct"/>
            <w:tcBorders>
              <w:top w:val="nil"/>
              <w:left w:val="nil"/>
              <w:bottom w:val="single" w:sz="4" w:space="0" w:color="auto"/>
              <w:right w:val="single" w:sz="4" w:space="0" w:color="auto"/>
            </w:tcBorders>
            <w:noWrap/>
            <w:vAlign w:val="center"/>
            <w:hideMark/>
          </w:tcPr>
          <w:p w14:paraId="13B440B3"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II</w:t>
            </w:r>
          </w:p>
        </w:tc>
        <w:tc>
          <w:tcPr>
            <w:tcW w:w="140" w:type="pct"/>
            <w:tcBorders>
              <w:top w:val="nil"/>
              <w:left w:val="nil"/>
              <w:bottom w:val="single" w:sz="4" w:space="0" w:color="auto"/>
              <w:right w:val="single" w:sz="4" w:space="0" w:color="auto"/>
            </w:tcBorders>
            <w:noWrap/>
            <w:vAlign w:val="center"/>
            <w:hideMark/>
          </w:tcPr>
          <w:p w14:paraId="0522D7AA"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III</w:t>
            </w:r>
          </w:p>
        </w:tc>
        <w:tc>
          <w:tcPr>
            <w:tcW w:w="142" w:type="pct"/>
            <w:tcBorders>
              <w:top w:val="nil"/>
              <w:left w:val="nil"/>
              <w:bottom w:val="single" w:sz="4" w:space="0" w:color="auto"/>
              <w:right w:val="single" w:sz="4" w:space="0" w:color="auto"/>
            </w:tcBorders>
            <w:noWrap/>
            <w:vAlign w:val="center"/>
            <w:hideMark/>
          </w:tcPr>
          <w:p w14:paraId="24B856EC"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IV</w:t>
            </w:r>
          </w:p>
        </w:tc>
      </w:tr>
      <w:tr w:rsidR="00A50815" w:rsidRPr="00D24C05" w14:paraId="74161E36" w14:textId="77777777" w:rsidTr="002B0091">
        <w:trPr>
          <w:trHeight w:val="406"/>
        </w:trPr>
        <w:tc>
          <w:tcPr>
            <w:tcW w:w="2593" w:type="pct"/>
            <w:tcBorders>
              <w:top w:val="nil"/>
              <w:left w:val="single" w:sz="4" w:space="0" w:color="auto"/>
              <w:bottom w:val="single" w:sz="4" w:space="0" w:color="auto"/>
              <w:right w:val="single" w:sz="4" w:space="0" w:color="auto"/>
            </w:tcBorders>
            <w:vAlign w:val="bottom"/>
            <w:hideMark/>
          </w:tcPr>
          <w:p w14:paraId="3686A28E"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Inducción normativa y reconocimiento institucional</w:t>
            </w:r>
          </w:p>
        </w:tc>
        <w:tc>
          <w:tcPr>
            <w:tcW w:w="199" w:type="pct"/>
            <w:gridSpan w:val="2"/>
            <w:tcBorders>
              <w:top w:val="single" w:sz="4" w:space="0" w:color="auto"/>
              <w:left w:val="nil"/>
              <w:bottom w:val="single" w:sz="4" w:space="0" w:color="auto"/>
              <w:right w:val="single" w:sz="4" w:space="0" w:color="000000"/>
            </w:tcBorders>
            <w:shd w:val="clear" w:color="000000" w:fill="FFFF00"/>
            <w:noWrap/>
            <w:vAlign w:val="bottom"/>
            <w:hideMark/>
          </w:tcPr>
          <w:p w14:paraId="6616EC83"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2208" w:type="pct"/>
            <w:gridSpan w:val="18"/>
            <w:tcBorders>
              <w:top w:val="single" w:sz="4" w:space="0" w:color="auto"/>
              <w:left w:val="nil"/>
              <w:bottom w:val="single" w:sz="4" w:space="0" w:color="auto"/>
              <w:right w:val="single" w:sz="4" w:space="0" w:color="000000"/>
            </w:tcBorders>
            <w:noWrap/>
            <w:vAlign w:val="bottom"/>
            <w:hideMark/>
          </w:tcPr>
          <w:p w14:paraId="187C5002"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r>
      <w:tr w:rsidR="00A50815" w:rsidRPr="00D24C05" w14:paraId="270654DB" w14:textId="77777777" w:rsidTr="002B0091">
        <w:trPr>
          <w:trHeight w:val="325"/>
        </w:trPr>
        <w:tc>
          <w:tcPr>
            <w:tcW w:w="2593" w:type="pct"/>
            <w:tcBorders>
              <w:top w:val="nil"/>
              <w:left w:val="single" w:sz="4" w:space="0" w:color="auto"/>
              <w:bottom w:val="single" w:sz="4" w:space="0" w:color="auto"/>
              <w:right w:val="single" w:sz="4" w:space="0" w:color="auto"/>
            </w:tcBorders>
            <w:vAlign w:val="bottom"/>
            <w:hideMark/>
          </w:tcPr>
          <w:p w14:paraId="0F91F462"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Instalación y manejo de herramientas (CHIP, Suite Neptuno)</w:t>
            </w:r>
          </w:p>
        </w:tc>
        <w:tc>
          <w:tcPr>
            <w:tcW w:w="85" w:type="pct"/>
            <w:tcBorders>
              <w:top w:val="nil"/>
              <w:left w:val="nil"/>
              <w:bottom w:val="single" w:sz="4" w:space="0" w:color="auto"/>
              <w:right w:val="single" w:sz="4" w:space="0" w:color="auto"/>
            </w:tcBorders>
            <w:noWrap/>
            <w:vAlign w:val="bottom"/>
            <w:hideMark/>
          </w:tcPr>
          <w:p w14:paraId="6D590354" w14:textId="7AFA2785" w:rsidR="00A50815" w:rsidRPr="00D24C05" w:rsidRDefault="00A50815" w:rsidP="00A50815">
            <w:pPr>
              <w:spacing w:before="0" w:after="0"/>
              <w:rPr>
                <w:rFonts w:eastAsia="Times New Roman" w:cs="Arial"/>
                <w:color w:val="000000"/>
                <w:sz w:val="20"/>
                <w:szCs w:val="20"/>
                <w:lang w:eastAsia="es-CO"/>
              </w:rPr>
            </w:pPr>
          </w:p>
        </w:tc>
        <w:tc>
          <w:tcPr>
            <w:tcW w:w="254" w:type="pct"/>
            <w:gridSpan w:val="2"/>
            <w:tcBorders>
              <w:top w:val="single" w:sz="4" w:space="0" w:color="auto"/>
              <w:left w:val="nil"/>
              <w:bottom w:val="single" w:sz="4" w:space="0" w:color="auto"/>
              <w:right w:val="single" w:sz="4" w:space="0" w:color="000000"/>
            </w:tcBorders>
            <w:shd w:val="clear" w:color="000000" w:fill="B5E6A2"/>
            <w:noWrap/>
            <w:vAlign w:val="bottom"/>
            <w:hideMark/>
          </w:tcPr>
          <w:p w14:paraId="0AE1A268"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2068" w:type="pct"/>
            <w:gridSpan w:val="17"/>
            <w:tcBorders>
              <w:top w:val="single" w:sz="4" w:space="0" w:color="auto"/>
              <w:left w:val="nil"/>
              <w:bottom w:val="single" w:sz="4" w:space="0" w:color="000000"/>
              <w:right w:val="single" w:sz="4" w:space="0" w:color="000000"/>
            </w:tcBorders>
            <w:noWrap/>
            <w:vAlign w:val="bottom"/>
            <w:hideMark/>
          </w:tcPr>
          <w:p w14:paraId="0D20310C"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r>
      <w:tr w:rsidR="003E72B1" w:rsidRPr="00D24C05" w14:paraId="7EB8B9AB" w14:textId="77777777" w:rsidTr="002B0091">
        <w:trPr>
          <w:trHeight w:val="337"/>
        </w:trPr>
        <w:tc>
          <w:tcPr>
            <w:tcW w:w="2593" w:type="pct"/>
            <w:tcBorders>
              <w:top w:val="nil"/>
              <w:left w:val="single" w:sz="4" w:space="0" w:color="auto"/>
              <w:bottom w:val="single" w:sz="4" w:space="0" w:color="auto"/>
              <w:right w:val="single" w:sz="4" w:space="0" w:color="auto"/>
            </w:tcBorders>
            <w:vAlign w:val="bottom"/>
            <w:hideMark/>
          </w:tcPr>
          <w:p w14:paraId="38F21194" w14:textId="77777777" w:rsidR="003E72B1" w:rsidRPr="00D24C05" w:rsidRDefault="003E72B1"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Elaboración de CDP y RP</w:t>
            </w:r>
          </w:p>
        </w:tc>
        <w:tc>
          <w:tcPr>
            <w:tcW w:w="199" w:type="pct"/>
            <w:gridSpan w:val="2"/>
            <w:tcBorders>
              <w:top w:val="single" w:sz="4" w:space="0" w:color="auto"/>
              <w:left w:val="nil"/>
              <w:bottom w:val="single" w:sz="4" w:space="0" w:color="auto"/>
              <w:right w:val="nil"/>
            </w:tcBorders>
            <w:noWrap/>
            <w:vAlign w:val="bottom"/>
            <w:hideMark/>
          </w:tcPr>
          <w:p w14:paraId="39992133" w14:textId="6E84E2B5" w:rsidR="003E72B1" w:rsidRPr="00D24C05" w:rsidRDefault="003E72B1" w:rsidP="00A50815">
            <w:pPr>
              <w:spacing w:before="0" w:after="0"/>
              <w:jc w:val="center"/>
              <w:rPr>
                <w:rFonts w:eastAsia="Times New Roman" w:cs="Arial"/>
                <w:color w:val="000000"/>
                <w:sz w:val="20"/>
                <w:szCs w:val="20"/>
                <w:lang w:eastAsia="es-CO"/>
              </w:rPr>
            </w:pPr>
          </w:p>
        </w:tc>
        <w:tc>
          <w:tcPr>
            <w:tcW w:w="2208" w:type="pct"/>
            <w:gridSpan w:val="18"/>
            <w:tcBorders>
              <w:top w:val="single" w:sz="4" w:space="0" w:color="auto"/>
              <w:left w:val="single" w:sz="4" w:space="0" w:color="auto"/>
              <w:bottom w:val="single" w:sz="4" w:space="0" w:color="auto"/>
              <w:right w:val="single" w:sz="4" w:space="0" w:color="auto"/>
            </w:tcBorders>
            <w:shd w:val="clear" w:color="000000" w:fill="FBE2D5"/>
            <w:noWrap/>
            <w:vAlign w:val="bottom"/>
            <w:hideMark/>
          </w:tcPr>
          <w:p w14:paraId="70D0361C" w14:textId="49161087" w:rsidR="003E72B1" w:rsidRPr="00D24C05" w:rsidRDefault="003E72B1" w:rsidP="00A50815">
            <w:pPr>
              <w:spacing w:before="0" w:after="0"/>
              <w:jc w:val="center"/>
              <w:rPr>
                <w:rFonts w:eastAsia="Times New Roman" w:cs="Arial"/>
                <w:color w:val="000000"/>
                <w:sz w:val="20"/>
                <w:szCs w:val="20"/>
                <w:lang w:eastAsia="es-CO"/>
              </w:rPr>
            </w:pPr>
          </w:p>
        </w:tc>
      </w:tr>
      <w:tr w:rsidR="00A50815" w:rsidRPr="00D24C05" w14:paraId="3AFE7D6E" w14:textId="77777777" w:rsidTr="002B0091">
        <w:trPr>
          <w:trHeight w:val="301"/>
        </w:trPr>
        <w:tc>
          <w:tcPr>
            <w:tcW w:w="2593" w:type="pct"/>
            <w:tcBorders>
              <w:top w:val="nil"/>
              <w:left w:val="single" w:sz="4" w:space="0" w:color="auto"/>
              <w:bottom w:val="single" w:sz="4" w:space="0" w:color="auto"/>
              <w:right w:val="single" w:sz="4" w:space="0" w:color="auto"/>
            </w:tcBorders>
            <w:vAlign w:val="bottom"/>
            <w:hideMark/>
          </w:tcPr>
          <w:p w14:paraId="0FB7CBBC"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Recolección y validación de ejecuciones presupuestales</w:t>
            </w:r>
          </w:p>
        </w:tc>
        <w:tc>
          <w:tcPr>
            <w:tcW w:w="199" w:type="pct"/>
            <w:gridSpan w:val="2"/>
            <w:tcBorders>
              <w:top w:val="single" w:sz="4" w:space="0" w:color="auto"/>
              <w:left w:val="nil"/>
              <w:bottom w:val="single" w:sz="4" w:space="0" w:color="auto"/>
              <w:right w:val="single" w:sz="4" w:space="0" w:color="000000"/>
            </w:tcBorders>
            <w:noWrap/>
            <w:vAlign w:val="bottom"/>
            <w:hideMark/>
          </w:tcPr>
          <w:p w14:paraId="190FB375"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284" w:type="pct"/>
            <w:gridSpan w:val="2"/>
            <w:tcBorders>
              <w:top w:val="nil"/>
              <w:left w:val="nil"/>
              <w:bottom w:val="single" w:sz="4" w:space="0" w:color="auto"/>
              <w:right w:val="single" w:sz="4" w:space="0" w:color="000000"/>
            </w:tcBorders>
            <w:shd w:val="clear" w:color="000000" w:fill="F2CEEF"/>
            <w:noWrap/>
            <w:vAlign w:val="bottom"/>
            <w:hideMark/>
          </w:tcPr>
          <w:p w14:paraId="0A643FE9"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1924" w:type="pct"/>
            <w:gridSpan w:val="16"/>
            <w:tcBorders>
              <w:top w:val="nil"/>
              <w:left w:val="nil"/>
              <w:bottom w:val="single" w:sz="4" w:space="0" w:color="auto"/>
              <w:right w:val="single" w:sz="4" w:space="0" w:color="000000"/>
            </w:tcBorders>
            <w:shd w:val="clear" w:color="000000" w:fill="FFFFFF"/>
            <w:noWrap/>
            <w:vAlign w:val="bottom"/>
            <w:hideMark/>
          </w:tcPr>
          <w:p w14:paraId="42F48E28"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r>
      <w:tr w:rsidR="00A50815" w:rsidRPr="00D24C05" w14:paraId="4FD26F26" w14:textId="77777777" w:rsidTr="002B0091">
        <w:trPr>
          <w:trHeight w:val="324"/>
        </w:trPr>
        <w:tc>
          <w:tcPr>
            <w:tcW w:w="2593" w:type="pct"/>
            <w:tcBorders>
              <w:top w:val="nil"/>
              <w:left w:val="single" w:sz="4" w:space="0" w:color="auto"/>
              <w:bottom w:val="single" w:sz="4" w:space="0" w:color="auto"/>
              <w:right w:val="single" w:sz="4" w:space="0" w:color="auto"/>
            </w:tcBorders>
            <w:vAlign w:val="bottom"/>
            <w:hideMark/>
          </w:tcPr>
          <w:p w14:paraId="501ECA30"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Construcción de bases de datos históricas (ICLD, ingresos, gastos)</w:t>
            </w:r>
          </w:p>
        </w:tc>
        <w:tc>
          <w:tcPr>
            <w:tcW w:w="339" w:type="pct"/>
            <w:gridSpan w:val="3"/>
            <w:tcBorders>
              <w:top w:val="single" w:sz="4" w:space="0" w:color="auto"/>
              <w:left w:val="nil"/>
              <w:bottom w:val="single" w:sz="4" w:space="0" w:color="auto"/>
              <w:right w:val="single" w:sz="4" w:space="0" w:color="000000"/>
            </w:tcBorders>
            <w:noWrap/>
            <w:vAlign w:val="bottom"/>
            <w:hideMark/>
          </w:tcPr>
          <w:p w14:paraId="483F7C7D"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229" w:type="pct"/>
            <w:gridSpan w:val="2"/>
            <w:tcBorders>
              <w:top w:val="single" w:sz="4" w:space="0" w:color="auto"/>
              <w:left w:val="nil"/>
              <w:bottom w:val="single" w:sz="4" w:space="0" w:color="auto"/>
              <w:right w:val="single" w:sz="4" w:space="0" w:color="000000"/>
            </w:tcBorders>
            <w:shd w:val="clear" w:color="000000" w:fill="F1A983"/>
            <w:noWrap/>
            <w:vAlign w:val="bottom"/>
            <w:hideMark/>
          </w:tcPr>
          <w:p w14:paraId="46979436"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1839" w:type="pct"/>
            <w:gridSpan w:val="15"/>
            <w:tcBorders>
              <w:top w:val="single" w:sz="4" w:space="0" w:color="auto"/>
              <w:left w:val="nil"/>
              <w:bottom w:val="single" w:sz="4" w:space="0" w:color="auto"/>
              <w:right w:val="single" w:sz="4" w:space="0" w:color="000000"/>
            </w:tcBorders>
            <w:noWrap/>
            <w:vAlign w:val="bottom"/>
            <w:hideMark/>
          </w:tcPr>
          <w:p w14:paraId="401DBC6D"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r>
      <w:tr w:rsidR="00A50815" w:rsidRPr="00D24C05" w14:paraId="4A7B9F09" w14:textId="77777777" w:rsidTr="002B0091">
        <w:trPr>
          <w:trHeight w:val="328"/>
        </w:trPr>
        <w:tc>
          <w:tcPr>
            <w:tcW w:w="2593" w:type="pct"/>
            <w:tcBorders>
              <w:top w:val="nil"/>
              <w:left w:val="single" w:sz="4" w:space="0" w:color="auto"/>
              <w:bottom w:val="single" w:sz="4" w:space="0" w:color="auto"/>
              <w:right w:val="single" w:sz="4" w:space="0" w:color="auto"/>
            </w:tcBorders>
            <w:vAlign w:val="bottom"/>
            <w:hideMark/>
          </w:tcPr>
          <w:p w14:paraId="56FEDE91"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Diagnóstico de la situación fiscal y proyección de ingresos-gastos</w:t>
            </w:r>
          </w:p>
        </w:tc>
        <w:tc>
          <w:tcPr>
            <w:tcW w:w="568" w:type="pct"/>
            <w:gridSpan w:val="5"/>
            <w:tcBorders>
              <w:top w:val="single" w:sz="4" w:space="0" w:color="auto"/>
              <w:left w:val="nil"/>
              <w:bottom w:val="single" w:sz="4" w:space="0" w:color="auto"/>
              <w:right w:val="single" w:sz="4" w:space="0" w:color="000000"/>
            </w:tcBorders>
            <w:noWrap/>
            <w:vAlign w:val="bottom"/>
            <w:hideMark/>
          </w:tcPr>
          <w:p w14:paraId="0AAD51BF"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112" w:type="pct"/>
            <w:tcBorders>
              <w:top w:val="nil"/>
              <w:left w:val="nil"/>
              <w:bottom w:val="single" w:sz="4" w:space="0" w:color="auto"/>
              <w:right w:val="single" w:sz="4" w:space="0" w:color="auto"/>
            </w:tcBorders>
            <w:shd w:val="clear" w:color="000000" w:fill="DAE9F8"/>
            <w:noWrap/>
            <w:vAlign w:val="bottom"/>
            <w:hideMark/>
          </w:tcPr>
          <w:p w14:paraId="3625C389"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1727" w:type="pct"/>
            <w:gridSpan w:val="14"/>
            <w:tcBorders>
              <w:top w:val="single" w:sz="4" w:space="0" w:color="auto"/>
              <w:left w:val="nil"/>
              <w:bottom w:val="single" w:sz="4" w:space="0" w:color="auto"/>
              <w:right w:val="single" w:sz="4" w:space="0" w:color="000000"/>
            </w:tcBorders>
            <w:noWrap/>
            <w:vAlign w:val="bottom"/>
            <w:hideMark/>
          </w:tcPr>
          <w:p w14:paraId="61CB2C9E"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r>
      <w:tr w:rsidR="00A50815" w:rsidRPr="00D24C05" w14:paraId="22C116A4" w14:textId="77777777" w:rsidTr="002B0091">
        <w:trPr>
          <w:trHeight w:val="362"/>
        </w:trPr>
        <w:tc>
          <w:tcPr>
            <w:tcW w:w="2593" w:type="pct"/>
            <w:tcBorders>
              <w:top w:val="nil"/>
              <w:left w:val="single" w:sz="4" w:space="0" w:color="auto"/>
              <w:bottom w:val="single" w:sz="4" w:space="0" w:color="auto"/>
              <w:right w:val="single" w:sz="4" w:space="0" w:color="auto"/>
            </w:tcBorders>
            <w:vAlign w:val="bottom"/>
            <w:hideMark/>
          </w:tcPr>
          <w:p w14:paraId="0390FCDB"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Análisis de deuda, pasivos y contingencias</w:t>
            </w:r>
          </w:p>
        </w:tc>
        <w:tc>
          <w:tcPr>
            <w:tcW w:w="568" w:type="pct"/>
            <w:gridSpan w:val="5"/>
            <w:tcBorders>
              <w:top w:val="single" w:sz="4" w:space="0" w:color="auto"/>
              <w:left w:val="nil"/>
              <w:bottom w:val="single" w:sz="4" w:space="0" w:color="auto"/>
              <w:right w:val="single" w:sz="4" w:space="0" w:color="000000"/>
            </w:tcBorders>
            <w:noWrap/>
            <w:vAlign w:val="bottom"/>
            <w:hideMark/>
          </w:tcPr>
          <w:p w14:paraId="6C411634"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112" w:type="pct"/>
            <w:tcBorders>
              <w:top w:val="nil"/>
              <w:left w:val="nil"/>
              <w:bottom w:val="single" w:sz="4" w:space="0" w:color="auto"/>
              <w:right w:val="single" w:sz="4" w:space="0" w:color="auto"/>
            </w:tcBorders>
            <w:shd w:val="clear" w:color="000000" w:fill="808080"/>
            <w:noWrap/>
            <w:vAlign w:val="bottom"/>
            <w:hideMark/>
          </w:tcPr>
          <w:p w14:paraId="17FDAF05"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1727" w:type="pct"/>
            <w:gridSpan w:val="14"/>
            <w:tcBorders>
              <w:top w:val="single" w:sz="4" w:space="0" w:color="auto"/>
              <w:left w:val="nil"/>
              <w:bottom w:val="single" w:sz="4" w:space="0" w:color="auto"/>
              <w:right w:val="single" w:sz="4" w:space="0" w:color="000000"/>
            </w:tcBorders>
            <w:noWrap/>
            <w:vAlign w:val="bottom"/>
            <w:hideMark/>
          </w:tcPr>
          <w:p w14:paraId="7A301C78"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r>
      <w:tr w:rsidR="00A50815" w:rsidRPr="00D24C05" w14:paraId="05D77208" w14:textId="77777777" w:rsidTr="002B0091">
        <w:trPr>
          <w:trHeight w:val="362"/>
        </w:trPr>
        <w:tc>
          <w:tcPr>
            <w:tcW w:w="2593" w:type="pct"/>
            <w:tcBorders>
              <w:top w:val="nil"/>
              <w:left w:val="single" w:sz="4" w:space="0" w:color="auto"/>
              <w:bottom w:val="single" w:sz="4" w:space="0" w:color="auto"/>
              <w:right w:val="single" w:sz="4" w:space="0" w:color="auto"/>
            </w:tcBorders>
            <w:vAlign w:val="bottom"/>
            <w:hideMark/>
          </w:tcPr>
          <w:p w14:paraId="648E4C8B"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Análisis del sector descentralizado</w:t>
            </w:r>
          </w:p>
        </w:tc>
        <w:tc>
          <w:tcPr>
            <w:tcW w:w="568" w:type="pct"/>
            <w:gridSpan w:val="5"/>
            <w:tcBorders>
              <w:top w:val="single" w:sz="4" w:space="0" w:color="auto"/>
              <w:left w:val="nil"/>
              <w:bottom w:val="single" w:sz="4" w:space="0" w:color="auto"/>
              <w:right w:val="single" w:sz="4" w:space="0" w:color="000000"/>
            </w:tcBorders>
            <w:noWrap/>
            <w:vAlign w:val="bottom"/>
            <w:hideMark/>
          </w:tcPr>
          <w:p w14:paraId="421B6ED3"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252" w:type="pct"/>
            <w:gridSpan w:val="2"/>
            <w:tcBorders>
              <w:top w:val="single" w:sz="4" w:space="0" w:color="auto"/>
              <w:left w:val="nil"/>
              <w:bottom w:val="single" w:sz="4" w:space="0" w:color="auto"/>
              <w:right w:val="single" w:sz="4" w:space="0" w:color="000000"/>
            </w:tcBorders>
            <w:shd w:val="clear" w:color="000000" w:fill="E8E8E8"/>
            <w:noWrap/>
            <w:vAlign w:val="bottom"/>
            <w:hideMark/>
          </w:tcPr>
          <w:p w14:paraId="317777EF"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1587" w:type="pct"/>
            <w:gridSpan w:val="13"/>
            <w:tcBorders>
              <w:top w:val="single" w:sz="4" w:space="0" w:color="auto"/>
              <w:left w:val="nil"/>
              <w:bottom w:val="single" w:sz="4" w:space="0" w:color="auto"/>
              <w:right w:val="single" w:sz="4" w:space="0" w:color="000000"/>
            </w:tcBorders>
            <w:noWrap/>
            <w:vAlign w:val="bottom"/>
            <w:hideMark/>
          </w:tcPr>
          <w:p w14:paraId="4F40D926"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r>
      <w:tr w:rsidR="00A50815" w:rsidRPr="00D24C05" w14:paraId="228C3C0E" w14:textId="77777777" w:rsidTr="002B0091">
        <w:trPr>
          <w:trHeight w:val="362"/>
        </w:trPr>
        <w:tc>
          <w:tcPr>
            <w:tcW w:w="2593" w:type="pct"/>
            <w:tcBorders>
              <w:top w:val="nil"/>
              <w:left w:val="single" w:sz="4" w:space="0" w:color="auto"/>
              <w:bottom w:val="single" w:sz="4" w:space="0" w:color="auto"/>
              <w:right w:val="single" w:sz="4" w:space="0" w:color="auto"/>
            </w:tcBorders>
            <w:vAlign w:val="bottom"/>
            <w:hideMark/>
          </w:tcPr>
          <w:p w14:paraId="353E4D9C"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Evaluación del balance financiero</w:t>
            </w:r>
          </w:p>
        </w:tc>
        <w:tc>
          <w:tcPr>
            <w:tcW w:w="568" w:type="pct"/>
            <w:gridSpan w:val="5"/>
            <w:tcBorders>
              <w:top w:val="single" w:sz="4" w:space="0" w:color="auto"/>
              <w:left w:val="nil"/>
              <w:bottom w:val="single" w:sz="4" w:space="0" w:color="auto"/>
              <w:right w:val="single" w:sz="4" w:space="0" w:color="000000"/>
            </w:tcBorders>
            <w:noWrap/>
            <w:vAlign w:val="bottom"/>
            <w:hideMark/>
          </w:tcPr>
          <w:p w14:paraId="3234360F"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396" w:type="pct"/>
            <w:gridSpan w:val="3"/>
            <w:tcBorders>
              <w:top w:val="single" w:sz="4" w:space="0" w:color="auto"/>
              <w:left w:val="nil"/>
              <w:bottom w:val="single" w:sz="4" w:space="0" w:color="auto"/>
              <w:right w:val="single" w:sz="4" w:space="0" w:color="000000"/>
            </w:tcBorders>
            <w:shd w:val="clear" w:color="000000" w:fill="7030A0"/>
            <w:noWrap/>
            <w:vAlign w:val="bottom"/>
            <w:hideMark/>
          </w:tcPr>
          <w:p w14:paraId="180AB5DE"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1442" w:type="pct"/>
            <w:gridSpan w:val="12"/>
            <w:tcBorders>
              <w:top w:val="single" w:sz="4" w:space="0" w:color="auto"/>
              <w:left w:val="nil"/>
              <w:bottom w:val="single" w:sz="4" w:space="0" w:color="auto"/>
              <w:right w:val="single" w:sz="4" w:space="0" w:color="000000"/>
            </w:tcBorders>
            <w:noWrap/>
            <w:vAlign w:val="bottom"/>
            <w:hideMark/>
          </w:tcPr>
          <w:p w14:paraId="6DEFC602"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r>
      <w:tr w:rsidR="00A50815" w:rsidRPr="00D24C05" w14:paraId="7805B974" w14:textId="77777777" w:rsidTr="002B0091">
        <w:trPr>
          <w:trHeight w:val="362"/>
        </w:trPr>
        <w:tc>
          <w:tcPr>
            <w:tcW w:w="2593" w:type="pct"/>
            <w:tcBorders>
              <w:top w:val="nil"/>
              <w:left w:val="single" w:sz="4" w:space="0" w:color="auto"/>
              <w:bottom w:val="single" w:sz="4" w:space="0" w:color="auto"/>
              <w:right w:val="single" w:sz="4" w:space="0" w:color="auto"/>
            </w:tcBorders>
            <w:vAlign w:val="bottom"/>
            <w:hideMark/>
          </w:tcPr>
          <w:p w14:paraId="78E8AC57"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Definición de medidas, y plan de acción</w:t>
            </w:r>
          </w:p>
        </w:tc>
        <w:tc>
          <w:tcPr>
            <w:tcW w:w="820" w:type="pct"/>
            <w:gridSpan w:val="7"/>
            <w:tcBorders>
              <w:top w:val="single" w:sz="4" w:space="0" w:color="auto"/>
              <w:left w:val="nil"/>
              <w:bottom w:val="single" w:sz="4" w:space="0" w:color="auto"/>
              <w:right w:val="single" w:sz="4" w:space="0" w:color="000000"/>
            </w:tcBorders>
            <w:noWrap/>
            <w:vAlign w:val="bottom"/>
            <w:hideMark/>
          </w:tcPr>
          <w:p w14:paraId="11287BD8"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145" w:type="pct"/>
            <w:tcBorders>
              <w:top w:val="nil"/>
              <w:left w:val="nil"/>
              <w:bottom w:val="single" w:sz="4" w:space="0" w:color="auto"/>
              <w:right w:val="single" w:sz="4" w:space="0" w:color="auto"/>
            </w:tcBorders>
            <w:shd w:val="clear" w:color="000000" w:fill="FF0000"/>
            <w:noWrap/>
            <w:vAlign w:val="bottom"/>
            <w:hideMark/>
          </w:tcPr>
          <w:p w14:paraId="5923D938" w14:textId="77777777" w:rsidR="00A50815" w:rsidRPr="00D24C05" w:rsidRDefault="00A50815" w:rsidP="00A50815">
            <w:pPr>
              <w:spacing w:before="0" w:after="0"/>
              <w:rPr>
                <w:rFonts w:eastAsia="Times New Roman" w:cs="Arial"/>
                <w:color w:val="FF0000"/>
                <w:sz w:val="20"/>
                <w:szCs w:val="20"/>
                <w:lang w:eastAsia="es-CO"/>
              </w:rPr>
            </w:pPr>
            <w:r w:rsidRPr="00D24C05">
              <w:rPr>
                <w:rFonts w:eastAsia="Times New Roman" w:cs="Arial"/>
                <w:color w:val="FF0000"/>
                <w:sz w:val="20"/>
                <w:szCs w:val="20"/>
                <w:lang w:eastAsia="es-CO"/>
              </w:rPr>
              <w:t> </w:t>
            </w:r>
          </w:p>
        </w:tc>
        <w:tc>
          <w:tcPr>
            <w:tcW w:w="1442" w:type="pct"/>
            <w:gridSpan w:val="12"/>
            <w:tcBorders>
              <w:top w:val="single" w:sz="4" w:space="0" w:color="auto"/>
              <w:left w:val="nil"/>
              <w:bottom w:val="single" w:sz="4" w:space="0" w:color="auto"/>
              <w:right w:val="single" w:sz="4" w:space="0" w:color="000000"/>
            </w:tcBorders>
            <w:noWrap/>
            <w:vAlign w:val="bottom"/>
            <w:hideMark/>
          </w:tcPr>
          <w:p w14:paraId="4F512BAF"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r>
      <w:tr w:rsidR="00A50815" w:rsidRPr="00D24C05" w14:paraId="6D464A15" w14:textId="77777777" w:rsidTr="002B0091">
        <w:trPr>
          <w:trHeight w:val="388"/>
        </w:trPr>
        <w:tc>
          <w:tcPr>
            <w:tcW w:w="2593" w:type="pct"/>
            <w:tcBorders>
              <w:top w:val="nil"/>
              <w:left w:val="single" w:sz="4" w:space="0" w:color="auto"/>
              <w:bottom w:val="single" w:sz="4" w:space="0" w:color="auto"/>
              <w:right w:val="single" w:sz="4" w:space="0" w:color="auto"/>
            </w:tcBorders>
            <w:vAlign w:val="bottom"/>
            <w:hideMark/>
          </w:tcPr>
          <w:p w14:paraId="0EA89207"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Diseño del modelo del PAC en Excel y apoyo en la implementación</w:t>
            </w:r>
          </w:p>
        </w:tc>
        <w:tc>
          <w:tcPr>
            <w:tcW w:w="965" w:type="pct"/>
            <w:gridSpan w:val="8"/>
            <w:tcBorders>
              <w:top w:val="single" w:sz="4" w:space="0" w:color="auto"/>
              <w:left w:val="nil"/>
              <w:bottom w:val="single" w:sz="4" w:space="0" w:color="auto"/>
              <w:right w:val="single" w:sz="4" w:space="0" w:color="000000"/>
            </w:tcBorders>
            <w:noWrap/>
            <w:vAlign w:val="bottom"/>
            <w:hideMark/>
          </w:tcPr>
          <w:p w14:paraId="73F6C5D2"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197" w:type="pct"/>
            <w:gridSpan w:val="2"/>
            <w:tcBorders>
              <w:top w:val="single" w:sz="4" w:space="0" w:color="auto"/>
              <w:left w:val="nil"/>
              <w:bottom w:val="single" w:sz="4" w:space="0" w:color="auto"/>
              <w:right w:val="single" w:sz="4" w:space="0" w:color="000000"/>
            </w:tcBorders>
            <w:shd w:val="clear" w:color="000000" w:fill="4EA72E"/>
            <w:noWrap/>
            <w:vAlign w:val="bottom"/>
            <w:hideMark/>
          </w:tcPr>
          <w:p w14:paraId="5D0FFABB"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1245" w:type="pct"/>
            <w:gridSpan w:val="10"/>
            <w:tcBorders>
              <w:top w:val="single" w:sz="4" w:space="0" w:color="auto"/>
              <w:left w:val="nil"/>
              <w:bottom w:val="single" w:sz="4" w:space="0" w:color="auto"/>
              <w:right w:val="single" w:sz="4" w:space="0" w:color="000000"/>
            </w:tcBorders>
            <w:noWrap/>
            <w:vAlign w:val="bottom"/>
            <w:hideMark/>
          </w:tcPr>
          <w:p w14:paraId="4912B212"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r>
      <w:tr w:rsidR="00A50815" w:rsidRPr="00D24C05" w14:paraId="12949568" w14:textId="77777777" w:rsidTr="002B0091">
        <w:trPr>
          <w:trHeight w:val="309"/>
        </w:trPr>
        <w:tc>
          <w:tcPr>
            <w:tcW w:w="2593" w:type="pct"/>
            <w:tcBorders>
              <w:top w:val="nil"/>
              <w:left w:val="single" w:sz="4" w:space="0" w:color="auto"/>
              <w:bottom w:val="single" w:sz="4" w:space="0" w:color="auto"/>
              <w:right w:val="single" w:sz="4" w:space="0" w:color="auto"/>
            </w:tcBorders>
            <w:vAlign w:val="bottom"/>
            <w:hideMark/>
          </w:tcPr>
          <w:p w14:paraId="3C94F6E6"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Elaboración de gráficas para rendición de cuentas</w:t>
            </w:r>
          </w:p>
        </w:tc>
        <w:tc>
          <w:tcPr>
            <w:tcW w:w="1050" w:type="pct"/>
            <w:gridSpan w:val="9"/>
            <w:tcBorders>
              <w:top w:val="single" w:sz="4" w:space="0" w:color="auto"/>
              <w:left w:val="nil"/>
              <w:bottom w:val="single" w:sz="4" w:space="0" w:color="auto"/>
              <w:right w:val="single" w:sz="4" w:space="0" w:color="000000"/>
            </w:tcBorders>
            <w:noWrap/>
            <w:vAlign w:val="bottom"/>
            <w:hideMark/>
          </w:tcPr>
          <w:p w14:paraId="39D0A55B"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112" w:type="pct"/>
            <w:tcBorders>
              <w:top w:val="nil"/>
              <w:left w:val="nil"/>
              <w:bottom w:val="single" w:sz="4" w:space="0" w:color="auto"/>
              <w:right w:val="single" w:sz="4" w:space="0" w:color="auto"/>
            </w:tcBorders>
            <w:shd w:val="clear" w:color="000000" w:fill="FFC000"/>
            <w:noWrap/>
            <w:vAlign w:val="bottom"/>
            <w:hideMark/>
          </w:tcPr>
          <w:p w14:paraId="146458B2"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1245" w:type="pct"/>
            <w:gridSpan w:val="10"/>
            <w:tcBorders>
              <w:top w:val="single" w:sz="4" w:space="0" w:color="auto"/>
              <w:left w:val="nil"/>
              <w:bottom w:val="single" w:sz="4" w:space="0" w:color="auto"/>
              <w:right w:val="single" w:sz="4" w:space="0" w:color="000000"/>
            </w:tcBorders>
            <w:noWrap/>
            <w:vAlign w:val="bottom"/>
            <w:hideMark/>
          </w:tcPr>
          <w:p w14:paraId="68AB66D3"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r>
      <w:tr w:rsidR="00A50815" w:rsidRPr="00D24C05" w14:paraId="5F56805C" w14:textId="77777777" w:rsidTr="002B0091">
        <w:trPr>
          <w:trHeight w:val="362"/>
        </w:trPr>
        <w:tc>
          <w:tcPr>
            <w:tcW w:w="2593" w:type="pct"/>
            <w:tcBorders>
              <w:top w:val="nil"/>
              <w:left w:val="single" w:sz="4" w:space="0" w:color="auto"/>
              <w:bottom w:val="single" w:sz="4" w:space="0" w:color="auto"/>
              <w:right w:val="single" w:sz="4" w:space="0" w:color="auto"/>
            </w:tcBorders>
            <w:vAlign w:val="bottom"/>
            <w:hideMark/>
          </w:tcPr>
          <w:p w14:paraId="693467B5"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Análisis de cartera (predial, ICA)</w:t>
            </w:r>
          </w:p>
        </w:tc>
        <w:tc>
          <w:tcPr>
            <w:tcW w:w="85" w:type="pct"/>
            <w:tcBorders>
              <w:top w:val="nil"/>
              <w:left w:val="nil"/>
              <w:bottom w:val="single" w:sz="4" w:space="0" w:color="auto"/>
              <w:right w:val="nil"/>
            </w:tcBorders>
            <w:noWrap/>
            <w:vAlign w:val="bottom"/>
            <w:hideMark/>
          </w:tcPr>
          <w:p w14:paraId="1A7B7C0C"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113" w:type="pct"/>
            <w:tcBorders>
              <w:top w:val="nil"/>
              <w:left w:val="nil"/>
              <w:bottom w:val="single" w:sz="4" w:space="0" w:color="auto"/>
              <w:right w:val="nil"/>
            </w:tcBorders>
            <w:noWrap/>
            <w:vAlign w:val="bottom"/>
            <w:hideMark/>
          </w:tcPr>
          <w:p w14:paraId="0E52A46A"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140" w:type="pct"/>
            <w:tcBorders>
              <w:top w:val="nil"/>
              <w:left w:val="nil"/>
              <w:bottom w:val="single" w:sz="4" w:space="0" w:color="auto"/>
              <w:right w:val="nil"/>
            </w:tcBorders>
            <w:noWrap/>
            <w:vAlign w:val="bottom"/>
            <w:hideMark/>
          </w:tcPr>
          <w:p w14:paraId="137A3800"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144" w:type="pct"/>
            <w:tcBorders>
              <w:top w:val="nil"/>
              <w:left w:val="nil"/>
              <w:bottom w:val="single" w:sz="4" w:space="0" w:color="auto"/>
              <w:right w:val="nil"/>
            </w:tcBorders>
            <w:noWrap/>
            <w:vAlign w:val="bottom"/>
            <w:hideMark/>
          </w:tcPr>
          <w:p w14:paraId="52C30209"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85" w:type="pct"/>
            <w:tcBorders>
              <w:top w:val="nil"/>
              <w:left w:val="nil"/>
              <w:bottom w:val="single" w:sz="4" w:space="0" w:color="auto"/>
              <w:right w:val="nil"/>
            </w:tcBorders>
            <w:noWrap/>
            <w:vAlign w:val="bottom"/>
            <w:hideMark/>
          </w:tcPr>
          <w:p w14:paraId="1E31E94A"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112" w:type="pct"/>
            <w:tcBorders>
              <w:top w:val="nil"/>
              <w:left w:val="nil"/>
              <w:bottom w:val="single" w:sz="4" w:space="0" w:color="auto"/>
              <w:right w:val="nil"/>
            </w:tcBorders>
            <w:noWrap/>
            <w:vAlign w:val="bottom"/>
            <w:hideMark/>
          </w:tcPr>
          <w:p w14:paraId="7BCF8370"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140" w:type="pct"/>
            <w:tcBorders>
              <w:top w:val="nil"/>
              <w:left w:val="nil"/>
              <w:bottom w:val="single" w:sz="4" w:space="0" w:color="auto"/>
              <w:right w:val="nil"/>
            </w:tcBorders>
            <w:noWrap/>
            <w:vAlign w:val="bottom"/>
            <w:hideMark/>
          </w:tcPr>
          <w:p w14:paraId="62F24B6F"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145" w:type="pct"/>
            <w:tcBorders>
              <w:top w:val="nil"/>
              <w:left w:val="nil"/>
              <w:bottom w:val="single" w:sz="4" w:space="0" w:color="auto"/>
              <w:right w:val="nil"/>
            </w:tcBorders>
            <w:noWrap/>
            <w:vAlign w:val="bottom"/>
            <w:hideMark/>
          </w:tcPr>
          <w:p w14:paraId="0444C2F6"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85" w:type="pct"/>
            <w:tcBorders>
              <w:top w:val="nil"/>
              <w:left w:val="nil"/>
              <w:bottom w:val="single" w:sz="4" w:space="0" w:color="auto"/>
              <w:right w:val="single" w:sz="4" w:space="0" w:color="auto"/>
            </w:tcBorders>
            <w:noWrap/>
            <w:vAlign w:val="bottom"/>
            <w:hideMark/>
          </w:tcPr>
          <w:p w14:paraId="5CF7FE7A"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734" w:type="pct"/>
            <w:gridSpan w:val="6"/>
            <w:tcBorders>
              <w:top w:val="single" w:sz="4" w:space="0" w:color="auto"/>
              <w:left w:val="nil"/>
              <w:bottom w:val="single" w:sz="4" w:space="0" w:color="auto"/>
              <w:right w:val="single" w:sz="4" w:space="0" w:color="000000"/>
            </w:tcBorders>
            <w:shd w:val="clear" w:color="000000" w:fill="44B3E1"/>
            <w:noWrap/>
            <w:vAlign w:val="bottom"/>
            <w:hideMark/>
          </w:tcPr>
          <w:p w14:paraId="30EA877B"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624" w:type="pct"/>
            <w:gridSpan w:val="5"/>
            <w:tcBorders>
              <w:top w:val="single" w:sz="4" w:space="0" w:color="auto"/>
              <w:left w:val="nil"/>
              <w:bottom w:val="single" w:sz="4" w:space="0" w:color="auto"/>
              <w:right w:val="single" w:sz="4" w:space="0" w:color="000000"/>
            </w:tcBorders>
            <w:noWrap/>
            <w:vAlign w:val="bottom"/>
            <w:hideMark/>
          </w:tcPr>
          <w:p w14:paraId="305C4882"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r>
      <w:tr w:rsidR="00A50815" w:rsidRPr="00D24C05" w14:paraId="6867B9A0" w14:textId="77777777" w:rsidTr="002B0091">
        <w:trPr>
          <w:trHeight w:val="301"/>
        </w:trPr>
        <w:tc>
          <w:tcPr>
            <w:tcW w:w="2593" w:type="pct"/>
            <w:tcBorders>
              <w:top w:val="nil"/>
              <w:left w:val="single" w:sz="4" w:space="0" w:color="auto"/>
              <w:bottom w:val="single" w:sz="4" w:space="0" w:color="auto"/>
              <w:right w:val="single" w:sz="4" w:space="0" w:color="auto"/>
            </w:tcBorders>
            <w:vAlign w:val="bottom"/>
            <w:hideMark/>
          </w:tcPr>
          <w:p w14:paraId="14874129"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Construcción de indicadores (deuda, pasivos, cartera)</w:t>
            </w:r>
          </w:p>
        </w:tc>
        <w:tc>
          <w:tcPr>
            <w:tcW w:w="1161" w:type="pct"/>
            <w:gridSpan w:val="10"/>
            <w:tcBorders>
              <w:top w:val="single" w:sz="4" w:space="0" w:color="auto"/>
              <w:left w:val="nil"/>
              <w:bottom w:val="single" w:sz="4" w:space="0" w:color="auto"/>
              <w:right w:val="single" w:sz="4" w:space="0" w:color="000000"/>
            </w:tcBorders>
            <w:noWrap/>
            <w:vAlign w:val="bottom"/>
            <w:hideMark/>
          </w:tcPr>
          <w:p w14:paraId="23DB7F6A"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851" w:type="pct"/>
            <w:gridSpan w:val="7"/>
            <w:tcBorders>
              <w:top w:val="single" w:sz="4" w:space="0" w:color="auto"/>
              <w:left w:val="nil"/>
              <w:bottom w:val="single" w:sz="4" w:space="0" w:color="auto"/>
              <w:right w:val="single" w:sz="4" w:space="0" w:color="000000"/>
            </w:tcBorders>
            <w:shd w:val="clear" w:color="000000" w:fill="FFFFCC"/>
            <w:noWrap/>
            <w:vAlign w:val="bottom"/>
            <w:hideMark/>
          </w:tcPr>
          <w:p w14:paraId="36B3BDDB"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394" w:type="pct"/>
            <w:gridSpan w:val="3"/>
            <w:tcBorders>
              <w:top w:val="single" w:sz="4" w:space="0" w:color="auto"/>
              <w:left w:val="nil"/>
              <w:bottom w:val="single" w:sz="4" w:space="0" w:color="auto"/>
              <w:right w:val="single" w:sz="4" w:space="0" w:color="000000"/>
            </w:tcBorders>
            <w:noWrap/>
            <w:vAlign w:val="bottom"/>
            <w:hideMark/>
          </w:tcPr>
          <w:p w14:paraId="288744D0"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r>
      <w:tr w:rsidR="00A50815" w:rsidRPr="00D24C05" w14:paraId="34DDA2E5" w14:textId="77777777" w:rsidTr="002B0091">
        <w:trPr>
          <w:trHeight w:val="322"/>
        </w:trPr>
        <w:tc>
          <w:tcPr>
            <w:tcW w:w="2593" w:type="pct"/>
            <w:tcBorders>
              <w:top w:val="nil"/>
              <w:left w:val="single" w:sz="4" w:space="0" w:color="auto"/>
              <w:bottom w:val="single" w:sz="4" w:space="0" w:color="auto"/>
              <w:right w:val="single" w:sz="4" w:space="0" w:color="auto"/>
            </w:tcBorders>
            <w:vAlign w:val="bottom"/>
            <w:hideMark/>
          </w:tcPr>
          <w:p w14:paraId="6E4915B3" w14:textId="77777777" w:rsidR="00A50815" w:rsidRPr="00D24C05" w:rsidRDefault="00A50815" w:rsidP="00A50815">
            <w:pPr>
              <w:spacing w:before="0" w:after="0"/>
              <w:rPr>
                <w:rFonts w:eastAsia="Times New Roman" w:cs="Arial"/>
                <w:color w:val="000000"/>
                <w:sz w:val="20"/>
                <w:szCs w:val="20"/>
                <w:lang w:eastAsia="es-CO"/>
              </w:rPr>
            </w:pPr>
            <w:r w:rsidRPr="00D24C05">
              <w:rPr>
                <w:rFonts w:eastAsia="Times New Roman" w:cs="Arial"/>
                <w:color w:val="000000"/>
                <w:sz w:val="20"/>
                <w:szCs w:val="20"/>
                <w:lang w:eastAsia="es-CO"/>
              </w:rPr>
              <w:t>Análisis financiero mediante los nuevos indicadores (deuda, pasivos, cartera)</w:t>
            </w:r>
          </w:p>
        </w:tc>
        <w:tc>
          <w:tcPr>
            <w:tcW w:w="1301" w:type="pct"/>
            <w:gridSpan w:val="11"/>
            <w:tcBorders>
              <w:top w:val="single" w:sz="4" w:space="0" w:color="auto"/>
              <w:left w:val="nil"/>
              <w:bottom w:val="single" w:sz="4" w:space="0" w:color="auto"/>
              <w:right w:val="single" w:sz="4" w:space="0" w:color="000000"/>
            </w:tcBorders>
            <w:noWrap/>
            <w:vAlign w:val="bottom"/>
            <w:hideMark/>
          </w:tcPr>
          <w:p w14:paraId="04D2676C"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c>
          <w:tcPr>
            <w:tcW w:w="1105" w:type="pct"/>
            <w:gridSpan w:val="9"/>
            <w:tcBorders>
              <w:top w:val="single" w:sz="4" w:space="0" w:color="auto"/>
              <w:left w:val="nil"/>
              <w:bottom w:val="single" w:sz="4" w:space="0" w:color="auto"/>
              <w:right w:val="single" w:sz="4" w:space="0" w:color="000000"/>
            </w:tcBorders>
            <w:shd w:val="clear" w:color="000000" w:fill="D86DCD"/>
            <w:noWrap/>
            <w:vAlign w:val="bottom"/>
            <w:hideMark/>
          </w:tcPr>
          <w:p w14:paraId="16D64339" w14:textId="77777777" w:rsidR="00A50815" w:rsidRPr="00D24C05" w:rsidRDefault="00A50815" w:rsidP="00A50815">
            <w:pPr>
              <w:spacing w:before="0" w:after="0"/>
              <w:jc w:val="center"/>
              <w:rPr>
                <w:rFonts w:eastAsia="Times New Roman" w:cs="Arial"/>
                <w:color w:val="000000"/>
                <w:sz w:val="20"/>
                <w:szCs w:val="20"/>
                <w:lang w:eastAsia="es-CO"/>
              </w:rPr>
            </w:pPr>
            <w:r w:rsidRPr="00D24C05">
              <w:rPr>
                <w:rFonts w:eastAsia="Times New Roman" w:cs="Arial"/>
                <w:color w:val="000000"/>
                <w:sz w:val="20"/>
                <w:szCs w:val="20"/>
                <w:lang w:eastAsia="es-CO"/>
              </w:rPr>
              <w:t> </w:t>
            </w:r>
          </w:p>
        </w:tc>
      </w:tr>
    </w:tbl>
    <w:p w14:paraId="67D5C800" w14:textId="40AA7924" w:rsidR="005F7B7A" w:rsidRDefault="00A857FE" w:rsidP="00D24C05">
      <w:pPr>
        <w:spacing w:before="0" w:after="480"/>
        <w:rPr>
          <w:rFonts w:cs="Arial"/>
          <w:szCs w:val="24"/>
        </w:rPr>
      </w:pPr>
      <w:r w:rsidRPr="00A857FE">
        <w:rPr>
          <w:rFonts w:cs="Arial"/>
          <w:b/>
          <w:bCs/>
          <w:szCs w:val="24"/>
        </w:rPr>
        <w:t>Fuente</w:t>
      </w:r>
      <w:r>
        <w:rPr>
          <w:rFonts w:cs="Arial"/>
          <w:szCs w:val="24"/>
        </w:rPr>
        <w:t>: elaboración propia.</w:t>
      </w:r>
    </w:p>
    <w:p w14:paraId="2587B980" w14:textId="77777777" w:rsidR="005F7B7A" w:rsidRDefault="005F7B7A" w:rsidP="004A4EF2">
      <w:pPr>
        <w:spacing w:after="480"/>
        <w:rPr>
          <w:rFonts w:cs="Arial"/>
          <w:szCs w:val="24"/>
        </w:rPr>
      </w:pPr>
    </w:p>
    <w:p w14:paraId="1A62752E" w14:textId="77777777" w:rsidR="005F7B7A" w:rsidRDefault="005F7B7A" w:rsidP="004A4EF2">
      <w:pPr>
        <w:spacing w:after="480"/>
        <w:rPr>
          <w:rFonts w:cs="Arial"/>
          <w:szCs w:val="24"/>
        </w:rPr>
      </w:pPr>
    </w:p>
    <w:p w14:paraId="252BF506" w14:textId="77777777" w:rsidR="005F7B7A" w:rsidRDefault="005F7B7A" w:rsidP="004A4EF2">
      <w:pPr>
        <w:spacing w:after="480"/>
        <w:rPr>
          <w:rFonts w:cs="Arial"/>
          <w:szCs w:val="24"/>
        </w:rPr>
        <w:sectPr w:rsidR="005F7B7A" w:rsidSect="005F7B7A">
          <w:pgSz w:w="15842" w:h="12242" w:orient="landscape" w:code="1"/>
          <w:pgMar w:top="2268" w:right="1701" w:bottom="1134" w:left="1701" w:header="720" w:footer="720" w:gutter="0"/>
          <w:cols w:space="708"/>
          <w:docGrid w:linePitch="360"/>
        </w:sectPr>
      </w:pPr>
    </w:p>
    <w:p w14:paraId="761A82D5" w14:textId="1B6D631D" w:rsidR="00636D92" w:rsidRDefault="00636D92" w:rsidP="005239F3">
      <w:pPr>
        <w:spacing w:after="480"/>
      </w:pPr>
      <w:r w:rsidRPr="00636D92">
        <w:lastRenderedPageBreak/>
        <w:t>A partir del diagnóstico y la formulación de estrategias, se identificaron oportunidades de mejora orientadas a</w:t>
      </w:r>
      <w:r w:rsidR="00EA373F">
        <w:t xml:space="preserve"> lo </w:t>
      </w:r>
      <w:r w:rsidRPr="00636D92">
        <w:t>organizacional, la optimización de los procesos y la modernización de la gestión presupuestal. Estos elementos constituyen la base para el desarrollo del siguiente capítulo, en el cual se profundiza en los resultados obtenidos y el aporte del trabajo realizado.</w:t>
      </w:r>
    </w:p>
    <w:p w14:paraId="4E387A7B" w14:textId="5D317972" w:rsidR="00EB0F1F" w:rsidRDefault="00EB0F1F" w:rsidP="0030735D">
      <w:pPr>
        <w:pStyle w:val="Ttulo2"/>
      </w:pPr>
      <w:bookmarkStart w:id="45" w:name="_Toc231741439"/>
      <w:r>
        <w:t xml:space="preserve">2.6. </w:t>
      </w:r>
      <w:r w:rsidR="0030735D" w:rsidRPr="0030735D">
        <w:t>PROPUESTA DE MODERNIZACIÓN PRESUPUESTAL</w:t>
      </w:r>
      <w:bookmarkEnd w:id="45"/>
    </w:p>
    <w:p w14:paraId="47C63446" w14:textId="0C2ADBDD" w:rsidR="00636D92" w:rsidRDefault="0030735D" w:rsidP="005239F3">
      <w:pPr>
        <w:spacing w:before="120" w:after="480"/>
      </w:pPr>
      <w:r w:rsidRPr="0030735D">
        <w:t>A partir del diagnóstico elaborado y de las estrategias derivadas de la matriz DOFA, se formula la presente propuesta de modernización para el área de Presupuesto de la Alcaldía Municipal de Aguachica. Su objetivo es transformar las limitaciones identificadas en oportunidades de mejora concreta, fortaleciendo la eficiencia operativa, la transparencia y la sostenibilidad de la gestión presupuestal. La propuesta se articula en cinco componentes complementarios que pueden implementarse de manera progresiva y con los recursos disponibles en la entidad.</w:t>
      </w:r>
    </w:p>
    <w:p w14:paraId="57AB6B82" w14:textId="6451C185" w:rsidR="0030735D" w:rsidRDefault="0030735D" w:rsidP="005239F3">
      <w:pPr>
        <w:spacing w:after="480"/>
      </w:pPr>
      <w:bookmarkStart w:id="46" w:name="_Toc231741440"/>
      <w:r w:rsidRPr="0030735D">
        <w:rPr>
          <w:rStyle w:val="Ttulo3Car"/>
        </w:rPr>
        <w:t>2.6.1 Digitalización documental</w:t>
      </w:r>
      <w:bookmarkEnd w:id="46"/>
      <w:r>
        <w:t>. El área de Presupuesto mantiene un volumen considerable de documentos en formato físico CDP, RP, actos de modificación, informes, soportes de gestión que dificultan la consulta ágil de información y generan riesgos de pérdida o deterioro. La digitalización documental busca migrar estos archivos a un repositorio digital estructurado, organizado por vigencia fiscal y tipo de documento, con acceso controlado según el nivel de responsabilidad de cada integrante del área.</w:t>
      </w:r>
    </w:p>
    <w:p w14:paraId="66482D78" w14:textId="77777777" w:rsidR="0030735D" w:rsidRDefault="0030735D" w:rsidP="005239F3">
      <w:pPr>
        <w:spacing w:after="480"/>
      </w:pPr>
      <w:r>
        <w:t>Para su implementación se propone comenzar con los documentos del período más reciente (vigencia 2024-2025), establecer criterios de nomenclatura uniformes para los archivos digitales, y utilizar las herramientas ofimáticas ya disponibles en la entidad (Google Drive institucional o el servidor de la Secretaría de Hacienda) como repositorio inicial. Esta acción reduce el tiempo de búsqueda de información, facilita la respuesta a requerimientos de entes de control y contribuye a la preservación del patrimonio documental del municipio.</w:t>
      </w:r>
    </w:p>
    <w:p w14:paraId="7A054D3A" w14:textId="77777777" w:rsidR="0030735D" w:rsidRDefault="0030735D" w:rsidP="005239F3">
      <w:pPr>
        <w:pStyle w:val="Prrafodelista"/>
        <w:numPr>
          <w:ilvl w:val="0"/>
          <w:numId w:val="15"/>
        </w:numPr>
        <w:spacing w:after="480"/>
      </w:pPr>
      <w:r w:rsidRPr="005239F3">
        <w:rPr>
          <w:b/>
          <w:bCs/>
        </w:rPr>
        <w:t>Resultado esperado</w:t>
      </w:r>
      <w:r>
        <w:t>: reducción del 60% del tiempo dedicado a búsqueda de documentos físicos; acceso remoto a los soportes presupuestales desde cualquier equipo autorizado.</w:t>
      </w:r>
    </w:p>
    <w:p w14:paraId="387094D8" w14:textId="3A954A07" w:rsidR="0030735D" w:rsidRDefault="0030735D" w:rsidP="005239F3">
      <w:pPr>
        <w:pStyle w:val="Prrafodelista"/>
        <w:numPr>
          <w:ilvl w:val="0"/>
          <w:numId w:val="15"/>
        </w:numPr>
        <w:spacing w:after="480"/>
      </w:pPr>
      <w:r w:rsidRPr="005239F3">
        <w:rPr>
          <w:b/>
          <w:bCs/>
        </w:rPr>
        <w:t xml:space="preserve">Impacto </w:t>
      </w:r>
      <w:proofErr w:type="spellStart"/>
      <w:proofErr w:type="gramStart"/>
      <w:r w:rsidRPr="005239F3">
        <w:rPr>
          <w:b/>
          <w:bCs/>
        </w:rPr>
        <w:t>administrativo</w:t>
      </w:r>
      <w:r>
        <w:t>:</w:t>
      </w:r>
      <w:r w:rsidR="00EA373F">
        <w:t>alta</w:t>
      </w:r>
      <w:proofErr w:type="spellEnd"/>
      <w:proofErr w:type="gramEnd"/>
      <w:r>
        <w:t xml:space="preserve"> rendición de cuentas y mejora en los procesos de auditoría interna y externa.</w:t>
      </w:r>
    </w:p>
    <w:p w14:paraId="09927EFB" w14:textId="3FD7826D" w:rsidR="0030735D" w:rsidRDefault="0030735D" w:rsidP="005239F3">
      <w:pPr>
        <w:spacing w:after="480"/>
      </w:pPr>
      <w:bookmarkStart w:id="47" w:name="_Toc231741441"/>
      <w:r w:rsidRPr="0030735D">
        <w:rPr>
          <w:rStyle w:val="Ttulo3Car"/>
        </w:rPr>
        <w:t>2.6.2 Manual de procesos</w:t>
      </w:r>
      <w:bookmarkEnd w:id="47"/>
      <w:r>
        <w:t xml:space="preserve">. La ausencia de documentación formal es una de las debilidades más críticas del área, ya que concentra el conocimiento técnico en </w:t>
      </w:r>
      <w:r>
        <w:lastRenderedPageBreak/>
        <w:t>personas específicas y genera riesgos de continuidad ante cambios en el personal. El manual de procesos documenta de manera clara y estructurada los procedimientos más frecuentes: expedición de CDP, RP, adiciones presupuestales, traslados y cierres de vigencia.</w:t>
      </w:r>
    </w:p>
    <w:p w14:paraId="541E0EDE" w14:textId="7BC3169A" w:rsidR="0030735D" w:rsidRDefault="0030735D" w:rsidP="005239F3">
      <w:pPr>
        <w:spacing w:after="480"/>
      </w:pPr>
      <w:r>
        <w:t>Cada procedimiento documentado debe incluir: objetivo, normatividad aplicable, responsables, flujograma del proceso, formatos utilizados y criterios de validación. El lenguaje empleado debe ser accesible para los estudiantes en práctica, de modo que sirva como herramienta de inducción y consulta permanente. Su elaboración puede desarrollarse en el propio equipo del área, dado que los integrantes conocen los procesos de primera mano.</w:t>
      </w:r>
      <w:r w:rsidR="0082304C" w:rsidRPr="0082304C">
        <w:t xml:space="preserve"> El flujograma completo del proceso se presenta en el Anexo A del presente informe</w:t>
      </w:r>
      <w:r w:rsidR="0082304C">
        <w:t>, donde se puede evidenciar lo antes dicho.</w:t>
      </w:r>
    </w:p>
    <w:p w14:paraId="202D3085" w14:textId="77777777" w:rsidR="0030735D" w:rsidRDefault="0030735D" w:rsidP="005239F3">
      <w:pPr>
        <w:pStyle w:val="Prrafodelista"/>
        <w:numPr>
          <w:ilvl w:val="0"/>
          <w:numId w:val="16"/>
        </w:numPr>
        <w:spacing w:after="480"/>
      </w:pPr>
      <w:r w:rsidRPr="005239F3">
        <w:rPr>
          <w:b/>
          <w:bCs/>
        </w:rPr>
        <w:t>Resultado esperado</w:t>
      </w:r>
      <w:r>
        <w:t>: reducción del tiempo de inducción de nuevos integrantes del equipo; estandarización de procedimientos y disminución de errores por desconocimiento.</w:t>
      </w:r>
    </w:p>
    <w:p w14:paraId="00AB17F1" w14:textId="1916C119" w:rsidR="0030735D" w:rsidRDefault="0030735D" w:rsidP="005239F3">
      <w:pPr>
        <w:pStyle w:val="Prrafodelista"/>
        <w:numPr>
          <w:ilvl w:val="0"/>
          <w:numId w:val="16"/>
        </w:numPr>
        <w:spacing w:after="480"/>
      </w:pPr>
      <w:r w:rsidRPr="005239F3">
        <w:rPr>
          <w:b/>
          <w:bCs/>
        </w:rPr>
        <w:t>Impacto administrativo</w:t>
      </w:r>
      <w:r>
        <w:t>: independencia del conocimiento individual y mejora en la calidad técnica de los documentos producidos.</w:t>
      </w:r>
    </w:p>
    <w:p w14:paraId="3C2DE8A8" w14:textId="2713C789" w:rsidR="0030735D" w:rsidRDefault="0030735D" w:rsidP="005239F3">
      <w:pPr>
        <w:spacing w:after="480"/>
      </w:pPr>
      <w:bookmarkStart w:id="48" w:name="_Toc231741442"/>
      <w:r w:rsidRPr="009D12C4">
        <w:rPr>
          <w:rStyle w:val="Ttulo3Car"/>
        </w:rPr>
        <w:t>2.6.3 Automatización parcial de tareas recurrentes</w:t>
      </w:r>
      <w:bookmarkEnd w:id="48"/>
      <w:r w:rsidR="009D12C4">
        <w:t xml:space="preserve">. </w:t>
      </w:r>
      <w:r>
        <w:t>Varias de las tareas diarias del área</w:t>
      </w:r>
      <w:r w:rsidR="002C7B0F">
        <w:t xml:space="preserve"> como el r</w:t>
      </w:r>
      <w:r>
        <w:t>egistro de ejecuciones presupuestales, consolidación de datos para el Marco Fiscal, construcción del PAC mensual, elaboración de tablas de seguimiento de cartera son repetitivas y requieren manejo manual de información en hojas de cálculo. La automatización parcial de estas tareas, mediante macros en Excel o plantillas con fórmulas dinámicas, puede reducir significativamente el tiempo operativo y los riesgos de error.</w:t>
      </w:r>
    </w:p>
    <w:p w14:paraId="48434AE6" w14:textId="77777777" w:rsidR="0030735D" w:rsidRDefault="0030735D" w:rsidP="005239F3">
      <w:pPr>
        <w:spacing w:after="480"/>
      </w:pPr>
      <w:r>
        <w:t>Durante la práctica profesional se identificaron tareas específicas susceptibles de automatización: la actualización mensual del PAC, el cálculo de indicadores de cartera y deuda, y la generación de gráficas para informes de gestión. La propuesta contempla el diseño de plantillas automatizadas para cada una de estas actividades, con instrucciones de uso incluidas en el manual de procesos.</w:t>
      </w:r>
    </w:p>
    <w:p w14:paraId="589D3989" w14:textId="77777777" w:rsidR="0030735D" w:rsidRDefault="0030735D" w:rsidP="00C871F0">
      <w:pPr>
        <w:pStyle w:val="Prrafodelista"/>
        <w:numPr>
          <w:ilvl w:val="0"/>
          <w:numId w:val="17"/>
        </w:numPr>
        <w:spacing w:after="480"/>
      </w:pPr>
      <w:r w:rsidRPr="00C871F0">
        <w:rPr>
          <w:b/>
          <w:bCs/>
        </w:rPr>
        <w:t>Resultado esperado</w:t>
      </w:r>
      <w:r>
        <w:t>: reducción del 40% del tiempo destinado a tareas repetitivas de consolidación y cálculo de información.</w:t>
      </w:r>
    </w:p>
    <w:p w14:paraId="22B530C3" w14:textId="77777777" w:rsidR="0030735D" w:rsidRDefault="0030735D" w:rsidP="00C871F0">
      <w:pPr>
        <w:pStyle w:val="Prrafodelista"/>
        <w:numPr>
          <w:ilvl w:val="0"/>
          <w:numId w:val="17"/>
        </w:numPr>
        <w:spacing w:after="480"/>
      </w:pPr>
      <w:r w:rsidRPr="00C871F0">
        <w:rPr>
          <w:b/>
          <w:bCs/>
        </w:rPr>
        <w:t>Impacto administrativo</w:t>
      </w:r>
      <w:r>
        <w:t>: mayor disponibilidad del equipo para actividades analíticas de mayor valor agregado, como la interpretación de indicadores y la formulación de estrategias fiscales.</w:t>
      </w:r>
    </w:p>
    <w:p w14:paraId="0816D534" w14:textId="619A5569" w:rsidR="0030735D" w:rsidRDefault="0030735D" w:rsidP="005239F3">
      <w:pPr>
        <w:spacing w:after="480"/>
      </w:pPr>
      <w:bookmarkStart w:id="49" w:name="_Toc231741443"/>
      <w:r w:rsidRPr="002D4D51">
        <w:rPr>
          <w:rStyle w:val="Ttulo3Car"/>
        </w:rPr>
        <w:lastRenderedPageBreak/>
        <w:t>2.6.4 Indicadores financieros para la gestión presupuestal</w:t>
      </w:r>
      <w:bookmarkEnd w:id="49"/>
      <w:r w:rsidR="002D4D51">
        <w:t xml:space="preserve">. </w:t>
      </w:r>
      <w:r>
        <w:t>El área actualmente elabora proyecciones e informes de gestión, pero no cuenta con un conjunto sistemático de indicadores de seguimiento que permitan evaluar el desempeño fiscal en tiempo real. La construcción de indicadores propios fortalece la trazabilidad de la gestión y proporciona insumos técnicos más sólidos para la toma de decisiones de la Secretaría de Hacienda.</w:t>
      </w:r>
    </w:p>
    <w:p w14:paraId="6EFDE369" w14:textId="77777777" w:rsidR="0030735D" w:rsidRDefault="0030735D" w:rsidP="005239F3">
      <w:pPr>
        <w:spacing w:after="480"/>
      </w:pPr>
      <w:r>
        <w:t>Se proponen los siguientes indicadores financieros, construidos a partir de la información disponible en el área:</w:t>
      </w:r>
    </w:p>
    <w:p w14:paraId="08489840" w14:textId="71DBFDC5" w:rsidR="00591DB5" w:rsidRPr="005239F3" w:rsidRDefault="00591DB5" w:rsidP="00591DB5">
      <w:pPr>
        <w:pStyle w:val="Descripcin"/>
        <w:keepNext/>
        <w:rPr>
          <w:rFonts w:ascii="Arial" w:hAnsi="Arial" w:cs="Arial"/>
          <w:i w:val="0"/>
          <w:iCs w:val="0"/>
          <w:color w:val="auto"/>
          <w:sz w:val="24"/>
          <w:szCs w:val="24"/>
        </w:rPr>
      </w:pPr>
      <w:bookmarkStart w:id="50" w:name="_Toc231741482"/>
      <w:r w:rsidRPr="005239F3">
        <w:rPr>
          <w:rFonts w:ascii="Arial" w:hAnsi="Arial" w:cs="Arial"/>
          <w:b/>
          <w:bCs/>
          <w:i w:val="0"/>
          <w:iCs w:val="0"/>
          <w:color w:val="auto"/>
          <w:sz w:val="24"/>
          <w:szCs w:val="24"/>
        </w:rPr>
        <w:t xml:space="preserve">Tabla </w:t>
      </w:r>
      <w:r w:rsidRPr="005239F3">
        <w:rPr>
          <w:rFonts w:ascii="Arial" w:hAnsi="Arial" w:cs="Arial"/>
          <w:b/>
          <w:bCs/>
          <w:i w:val="0"/>
          <w:iCs w:val="0"/>
          <w:color w:val="auto"/>
          <w:sz w:val="24"/>
          <w:szCs w:val="24"/>
        </w:rPr>
        <w:fldChar w:fldCharType="begin"/>
      </w:r>
      <w:r w:rsidRPr="005239F3">
        <w:rPr>
          <w:rFonts w:ascii="Arial" w:hAnsi="Arial" w:cs="Arial"/>
          <w:b/>
          <w:bCs/>
          <w:i w:val="0"/>
          <w:iCs w:val="0"/>
          <w:color w:val="auto"/>
          <w:sz w:val="24"/>
          <w:szCs w:val="24"/>
        </w:rPr>
        <w:instrText xml:space="preserve"> SEQ Tabla \* ARABIC </w:instrText>
      </w:r>
      <w:r w:rsidRPr="005239F3">
        <w:rPr>
          <w:rFonts w:ascii="Arial" w:hAnsi="Arial" w:cs="Arial"/>
          <w:b/>
          <w:bCs/>
          <w:i w:val="0"/>
          <w:iCs w:val="0"/>
          <w:color w:val="auto"/>
          <w:sz w:val="24"/>
          <w:szCs w:val="24"/>
        </w:rPr>
        <w:fldChar w:fldCharType="separate"/>
      </w:r>
      <w:r w:rsidR="002B0D85">
        <w:rPr>
          <w:rFonts w:ascii="Arial" w:hAnsi="Arial" w:cs="Arial"/>
          <w:b/>
          <w:bCs/>
          <w:i w:val="0"/>
          <w:iCs w:val="0"/>
          <w:noProof/>
          <w:color w:val="auto"/>
          <w:sz w:val="24"/>
          <w:szCs w:val="24"/>
        </w:rPr>
        <w:t>4</w:t>
      </w:r>
      <w:r w:rsidRPr="005239F3">
        <w:rPr>
          <w:rFonts w:ascii="Arial" w:hAnsi="Arial" w:cs="Arial"/>
          <w:b/>
          <w:bCs/>
          <w:i w:val="0"/>
          <w:iCs w:val="0"/>
          <w:noProof/>
          <w:color w:val="auto"/>
          <w:sz w:val="24"/>
          <w:szCs w:val="24"/>
        </w:rPr>
        <w:fldChar w:fldCharType="end"/>
      </w:r>
      <w:r w:rsidRPr="005239F3">
        <w:rPr>
          <w:rFonts w:ascii="Arial" w:hAnsi="Arial" w:cs="Arial"/>
          <w:i w:val="0"/>
          <w:iCs w:val="0"/>
          <w:color w:val="auto"/>
          <w:sz w:val="24"/>
          <w:szCs w:val="24"/>
        </w:rPr>
        <w:t>. Indicadores financieros propuestos para el área de Presupuesto</w:t>
      </w:r>
      <w:bookmarkEnd w:id="50"/>
    </w:p>
    <w:tbl>
      <w:tblPr>
        <w:tblStyle w:val="Tablaconcuadrcula4-nfasis6"/>
        <w:tblW w:w="0" w:type="auto"/>
        <w:tblLook w:val="04A0" w:firstRow="1" w:lastRow="0" w:firstColumn="1" w:lastColumn="0" w:noHBand="0" w:noVBand="1"/>
      </w:tblPr>
      <w:tblGrid>
        <w:gridCol w:w="2590"/>
        <w:gridCol w:w="3221"/>
        <w:gridCol w:w="1362"/>
        <w:gridCol w:w="1657"/>
      </w:tblGrid>
      <w:tr w:rsidR="00591DB5" w:rsidRPr="00591DB5" w14:paraId="7BAB8097" w14:textId="77777777" w:rsidTr="005239F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AFF0DD5" w14:textId="77777777" w:rsidR="00591DB5" w:rsidRPr="00591DB5" w:rsidRDefault="00591DB5" w:rsidP="00EF5381">
            <w:pPr>
              <w:jc w:val="center"/>
              <w:rPr>
                <w:rFonts w:cs="Arial"/>
                <w:szCs w:val="24"/>
              </w:rPr>
            </w:pPr>
            <w:r w:rsidRPr="00591DB5">
              <w:rPr>
                <w:rFonts w:eastAsia="Times New Roman" w:cs="Arial"/>
                <w:color w:val="FFFFFF"/>
                <w:szCs w:val="24"/>
              </w:rPr>
              <w:t>Indicador</w:t>
            </w:r>
          </w:p>
        </w:tc>
        <w:tc>
          <w:tcPr>
            <w:tcW w:w="0" w:type="auto"/>
          </w:tcPr>
          <w:p w14:paraId="75C24E30" w14:textId="77777777" w:rsidR="00591DB5" w:rsidRPr="00591DB5" w:rsidRDefault="00591DB5" w:rsidP="00EF5381">
            <w:pPr>
              <w:jc w:val="center"/>
              <w:cnfStyle w:val="100000000000" w:firstRow="1" w:lastRow="0" w:firstColumn="0" w:lastColumn="0" w:oddVBand="0" w:evenVBand="0" w:oddHBand="0" w:evenHBand="0" w:firstRowFirstColumn="0" w:firstRowLastColumn="0" w:lastRowFirstColumn="0" w:lastRowLastColumn="0"/>
              <w:rPr>
                <w:rFonts w:cs="Arial"/>
                <w:szCs w:val="24"/>
              </w:rPr>
            </w:pPr>
            <w:r w:rsidRPr="00591DB5">
              <w:rPr>
                <w:rFonts w:eastAsia="Times New Roman" w:cs="Arial"/>
                <w:color w:val="FFFFFF"/>
                <w:szCs w:val="24"/>
              </w:rPr>
              <w:t>Fórmula</w:t>
            </w:r>
          </w:p>
        </w:tc>
        <w:tc>
          <w:tcPr>
            <w:tcW w:w="0" w:type="auto"/>
          </w:tcPr>
          <w:p w14:paraId="3A3E6EEA" w14:textId="5960581E" w:rsidR="00591DB5" w:rsidRPr="00591DB5" w:rsidRDefault="00591DB5" w:rsidP="00EF5381">
            <w:pPr>
              <w:jc w:val="center"/>
              <w:cnfStyle w:val="100000000000" w:firstRow="1" w:lastRow="0" w:firstColumn="0" w:lastColumn="0" w:oddVBand="0" w:evenVBand="0" w:oddHBand="0" w:evenHBand="0" w:firstRowFirstColumn="0" w:firstRowLastColumn="0" w:lastRowFirstColumn="0" w:lastRowLastColumn="0"/>
              <w:rPr>
                <w:rFonts w:cs="Arial"/>
                <w:szCs w:val="24"/>
              </w:rPr>
            </w:pPr>
            <w:r w:rsidRPr="00591DB5">
              <w:rPr>
                <w:rFonts w:eastAsia="Times New Roman" w:cs="Arial"/>
                <w:color w:val="FFFFFF"/>
                <w:szCs w:val="24"/>
              </w:rPr>
              <w:t xml:space="preserve">Meta </w:t>
            </w:r>
          </w:p>
        </w:tc>
        <w:tc>
          <w:tcPr>
            <w:tcW w:w="0" w:type="auto"/>
          </w:tcPr>
          <w:p w14:paraId="0831DB02" w14:textId="77777777" w:rsidR="00591DB5" w:rsidRPr="00591DB5" w:rsidRDefault="00591DB5" w:rsidP="00EF5381">
            <w:pPr>
              <w:jc w:val="center"/>
              <w:cnfStyle w:val="100000000000" w:firstRow="1" w:lastRow="0" w:firstColumn="0" w:lastColumn="0" w:oddVBand="0" w:evenVBand="0" w:oddHBand="0" w:evenHBand="0" w:firstRowFirstColumn="0" w:firstRowLastColumn="0" w:lastRowFirstColumn="0" w:lastRowLastColumn="0"/>
              <w:rPr>
                <w:rFonts w:cs="Arial"/>
                <w:szCs w:val="24"/>
              </w:rPr>
            </w:pPr>
            <w:r w:rsidRPr="00591DB5">
              <w:rPr>
                <w:rFonts w:eastAsia="Times New Roman" w:cs="Arial"/>
                <w:color w:val="FFFFFF"/>
                <w:szCs w:val="24"/>
              </w:rPr>
              <w:t>Periodicidad</w:t>
            </w:r>
          </w:p>
        </w:tc>
      </w:tr>
      <w:tr w:rsidR="00591DB5" w:rsidRPr="00591DB5" w14:paraId="2D625B5B" w14:textId="77777777" w:rsidTr="005239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7D7108C7" w14:textId="77777777" w:rsidR="00591DB5" w:rsidRPr="00591DB5" w:rsidRDefault="00591DB5" w:rsidP="00EF5381">
            <w:pPr>
              <w:rPr>
                <w:rFonts w:cs="Arial"/>
                <w:szCs w:val="24"/>
              </w:rPr>
            </w:pPr>
            <w:r w:rsidRPr="00591DB5">
              <w:rPr>
                <w:rFonts w:eastAsia="Times New Roman" w:cs="Arial"/>
                <w:szCs w:val="24"/>
              </w:rPr>
              <w:t>Tasa de ejecución presupuestal</w:t>
            </w:r>
          </w:p>
        </w:tc>
        <w:tc>
          <w:tcPr>
            <w:tcW w:w="0" w:type="auto"/>
          </w:tcPr>
          <w:p w14:paraId="746AB818" w14:textId="77777777" w:rsidR="00591DB5" w:rsidRPr="00591DB5" w:rsidRDefault="00591DB5" w:rsidP="00EF5381">
            <w:pPr>
              <w:cnfStyle w:val="000000100000" w:firstRow="0" w:lastRow="0" w:firstColumn="0" w:lastColumn="0" w:oddVBand="0" w:evenVBand="0" w:oddHBand="1" w:evenHBand="0" w:firstRowFirstColumn="0" w:firstRowLastColumn="0" w:lastRowFirstColumn="0" w:lastRowLastColumn="0"/>
              <w:rPr>
                <w:rFonts w:cs="Arial"/>
                <w:szCs w:val="24"/>
              </w:rPr>
            </w:pPr>
            <w:r w:rsidRPr="00591DB5">
              <w:rPr>
                <w:rFonts w:eastAsia="Times New Roman" w:cs="Arial"/>
                <w:szCs w:val="24"/>
              </w:rPr>
              <w:t>Gastos ejecutados / Presupuesto aprobado</w:t>
            </w:r>
          </w:p>
        </w:tc>
        <w:tc>
          <w:tcPr>
            <w:tcW w:w="0" w:type="auto"/>
          </w:tcPr>
          <w:p w14:paraId="3D257006" w14:textId="77777777" w:rsidR="00591DB5" w:rsidRPr="00591DB5" w:rsidRDefault="00591DB5" w:rsidP="00EF5381">
            <w:pPr>
              <w:cnfStyle w:val="000000100000" w:firstRow="0" w:lastRow="0" w:firstColumn="0" w:lastColumn="0" w:oddVBand="0" w:evenVBand="0" w:oddHBand="1" w:evenHBand="0" w:firstRowFirstColumn="0" w:firstRowLastColumn="0" w:lastRowFirstColumn="0" w:lastRowLastColumn="0"/>
              <w:rPr>
                <w:rFonts w:cs="Arial"/>
                <w:szCs w:val="24"/>
              </w:rPr>
            </w:pPr>
            <w:r w:rsidRPr="00591DB5">
              <w:rPr>
                <w:rFonts w:eastAsia="Times New Roman" w:cs="Arial"/>
                <w:szCs w:val="24"/>
              </w:rPr>
              <w:t>≥ 85%</w:t>
            </w:r>
          </w:p>
        </w:tc>
        <w:tc>
          <w:tcPr>
            <w:tcW w:w="0" w:type="auto"/>
          </w:tcPr>
          <w:p w14:paraId="60476108" w14:textId="77777777" w:rsidR="00591DB5" w:rsidRPr="00591DB5" w:rsidRDefault="00591DB5" w:rsidP="00EF5381">
            <w:pPr>
              <w:cnfStyle w:val="000000100000" w:firstRow="0" w:lastRow="0" w:firstColumn="0" w:lastColumn="0" w:oddVBand="0" w:evenVBand="0" w:oddHBand="1" w:evenHBand="0" w:firstRowFirstColumn="0" w:firstRowLastColumn="0" w:lastRowFirstColumn="0" w:lastRowLastColumn="0"/>
              <w:rPr>
                <w:rFonts w:cs="Arial"/>
                <w:szCs w:val="24"/>
              </w:rPr>
            </w:pPr>
            <w:r w:rsidRPr="00591DB5">
              <w:rPr>
                <w:rFonts w:eastAsia="Times New Roman" w:cs="Arial"/>
                <w:szCs w:val="24"/>
              </w:rPr>
              <w:t>Mensual</w:t>
            </w:r>
          </w:p>
        </w:tc>
      </w:tr>
      <w:tr w:rsidR="00591DB5" w:rsidRPr="00591DB5" w14:paraId="2433E9D8" w14:textId="77777777" w:rsidTr="005239F3">
        <w:tc>
          <w:tcPr>
            <w:cnfStyle w:val="001000000000" w:firstRow="0" w:lastRow="0" w:firstColumn="1" w:lastColumn="0" w:oddVBand="0" w:evenVBand="0" w:oddHBand="0" w:evenHBand="0" w:firstRowFirstColumn="0" w:firstRowLastColumn="0" w:lastRowFirstColumn="0" w:lastRowLastColumn="0"/>
            <w:tcW w:w="0" w:type="auto"/>
          </w:tcPr>
          <w:p w14:paraId="315777AB" w14:textId="77777777" w:rsidR="00591DB5" w:rsidRPr="00591DB5" w:rsidRDefault="00591DB5" w:rsidP="00EF5381">
            <w:pPr>
              <w:rPr>
                <w:rFonts w:cs="Arial"/>
                <w:szCs w:val="24"/>
              </w:rPr>
            </w:pPr>
            <w:r w:rsidRPr="00591DB5">
              <w:rPr>
                <w:rFonts w:eastAsia="Times New Roman" w:cs="Arial"/>
                <w:szCs w:val="24"/>
              </w:rPr>
              <w:t>Tasa de recaudo tributario</w:t>
            </w:r>
          </w:p>
        </w:tc>
        <w:tc>
          <w:tcPr>
            <w:tcW w:w="0" w:type="auto"/>
          </w:tcPr>
          <w:p w14:paraId="0396AB26" w14:textId="77777777" w:rsidR="00591DB5" w:rsidRPr="00591DB5" w:rsidRDefault="00591DB5" w:rsidP="00EF5381">
            <w:pPr>
              <w:cnfStyle w:val="000000000000" w:firstRow="0" w:lastRow="0" w:firstColumn="0" w:lastColumn="0" w:oddVBand="0" w:evenVBand="0" w:oddHBand="0" w:evenHBand="0" w:firstRowFirstColumn="0" w:firstRowLastColumn="0" w:lastRowFirstColumn="0" w:lastRowLastColumn="0"/>
              <w:rPr>
                <w:rFonts w:cs="Arial"/>
                <w:szCs w:val="24"/>
              </w:rPr>
            </w:pPr>
            <w:r w:rsidRPr="00591DB5">
              <w:rPr>
                <w:rFonts w:eastAsia="Times New Roman" w:cs="Arial"/>
                <w:szCs w:val="24"/>
              </w:rPr>
              <w:t>Ingresos tributarios recaudados / Ingresos tributarios proyectados</w:t>
            </w:r>
          </w:p>
        </w:tc>
        <w:tc>
          <w:tcPr>
            <w:tcW w:w="0" w:type="auto"/>
          </w:tcPr>
          <w:p w14:paraId="463083FB" w14:textId="77777777" w:rsidR="00591DB5" w:rsidRPr="00591DB5" w:rsidRDefault="00591DB5" w:rsidP="00EF5381">
            <w:pPr>
              <w:cnfStyle w:val="000000000000" w:firstRow="0" w:lastRow="0" w:firstColumn="0" w:lastColumn="0" w:oddVBand="0" w:evenVBand="0" w:oddHBand="0" w:evenHBand="0" w:firstRowFirstColumn="0" w:firstRowLastColumn="0" w:lastRowFirstColumn="0" w:lastRowLastColumn="0"/>
              <w:rPr>
                <w:rFonts w:cs="Arial"/>
                <w:szCs w:val="24"/>
              </w:rPr>
            </w:pPr>
            <w:r w:rsidRPr="00591DB5">
              <w:rPr>
                <w:rFonts w:eastAsia="Times New Roman" w:cs="Arial"/>
                <w:szCs w:val="24"/>
              </w:rPr>
              <w:t>≥ 80%</w:t>
            </w:r>
          </w:p>
        </w:tc>
        <w:tc>
          <w:tcPr>
            <w:tcW w:w="0" w:type="auto"/>
          </w:tcPr>
          <w:p w14:paraId="4E441058" w14:textId="77777777" w:rsidR="00591DB5" w:rsidRPr="00591DB5" w:rsidRDefault="00591DB5" w:rsidP="00EF5381">
            <w:pPr>
              <w:cnfStyle w:val="000000000000" w:firstRow="0" w:lastRow="0" w:firstColumn="0" w:lastColumn="0" w:oddVBand="0" w:evenVBand="0" w:oddHBand="0" w:evenHBand="0" w:firstRowFirstColumn="0" w:firstRowLastColumn="0" w:lastRowFirstColumn="0" w:lastRowLastColumn="0"/>
              <w:rPr>
                <w:rFonts w:cs="Arial"/>
                <w:szCs w:val="24"/>
              </w:rPr>
            </w:pPr>
            <w:r w:rsidRPr="00591DB5">
              <w:rPr>
                <w:rFonts w:eastAsia="Times New Roman" w:cs="Arial"/>
                <w:szCs w:val="24"/>
              </w:rPr>
              <w:t>Trimestral</w:t>
            </w:r>
          </w:p>
        </w:tc>
      </w:tr>
      <w:tr w:rsidR="00591DB5" w:rsidRPr="00591DB5" w14:paraId="02C4F584" w14:textId="77777777" w:rsidTr="005239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769ED031" w14:textId="77777777" w:rsidR="00591DB5" w:rsidRPr="00591DB5" w:rsidRDefault="00591DB5" w:rsidP="00EF5381">
            <w:pPr>
              <w:rPr>
                <w:rFonts w:cs="Arial"/>
                <w:szCs w:val="24"/>
              </w:rPr>
            </w:pPr>
            <w:r w:rsidRPr="00591DB5">
              <w:rPr>
                <w:rFonts w:eastAsia="Times New Roman" w:cs="Arial"/>
                <w:szCs w:val="24"/>
              </w:rPr>
              <w:t>Índice de endeudamiento</w:t>
            </w:r>
          </w:p>
        </w:tc>
        <w:tc>
          <w:tcPr>
            <w:tcW w:w="0" w:type="auto"/>
          </w:tcPr>
          <w:p w14:paraId="45A5E801" w14:textId="77777777" w:rsidR="00591DB5" w:rsidRPr="00591DB5" w:rsidRDefault="00591DB5" w:rsidP="00EF5381">
            <w:pPr>
              <w:cnfStyle w:val="000000100000" w:firstRow="0" w:lastRow="0" w:firstColumn="0" w:lastColumn="0" w:oddVBand="0" w:evenVBand="0" w:oddHBand="1" w:evenHBand="0" w:firstRowFirstColumn="0" w:firstRowLastColumn="0" w:lastRowFirstColumn="0" w:lastRowLastColumn="0"/>
              <w:rPr>
                <w:rFonts w:cs="Arial"/>
                <w:szCs w:val="24"/>
              </w:rPr>
            </w:pPr>
            <w:r w:rsidRPr="00591DB5">
              <w:rPr>
                <w:rFonts w:eastAsia="Times New Roman" w:cs="Arial"/>
                <w:szCs w:val="24"/>
              </w:rPr>
              <w:t>Saldo deuda / ICLD</w:t>
            </w:r>
          </w:p>
        </w:tc>
        <w:tc>
          <w:tcPr>
            <w:tcW w:w="0" w:type="auto"/>
          </w:tcPr>
          <w:p w14:paraId="08C2401D" w14:textId="77777777" w:rsidR="00591DB5" w:rsidRPr="00591DB5" w:rsidRDefault="00591DB5" w:rsidP="00EF5381">
            <w:pPr>
              <w:cnfStyle w:val="000000100000" w:firstRow="0" w:lastRow="0" w:firstColumn="0" w:lastColumn="0" w:oddVBand="0" w:evenVBand="0" w:oddHBand="1" w:evenHBand="0" w:firstRowFirstColumn="0" w:firstRowLastColumn="0" w:lastRowFirstColumn="0" w:lastRowLastColumn="0"/>
              <w:rPr>
                <w:rFonts w:cs="Arial"/>
                <w:szCs w:val="24"/>
              </w:rPr>
            </w:pPr>
            <w:r w:rsidRPr="00591DB5">
              <w:rPr>
                <w:rFonts w:eastAsia="Times New Roman" w:cs="Arial"/>
                <w:szCs w:val="24"/>
              </w:rPr>
              <w:t>&lt; 80% (Ley 358/97)</w:t>
            </w:r>
          </w:p>
        </w:tc>
        <w:tc>
          <w:tcPr>
            <w:tcW w:w="0" w:type="auto"/>
          </w:tcPr>
          <w:p w14:paraId="1F225288" w14:textId="77777777" w:rsidR="00591DB5" w:rsidRPr="00591DB5" w:rsidRDefault="00591DB5" w:rsidP="00EF5381">
            <w:pPr>
              <w:cnfStyle w:val="000000100000" w:firstRow="0" w:lastRow="0" w:firstColumn="0" w:lastColumn="0" w:oddVBand="0" w:evenVBand="0" w:oddHBand="1" w:evenHBand="0" w:firstRowFirstColumn="0" w:firstRowLastColumn="0" w:lastRowFirstColumn="0" w:lastRowLastColumn="0"/>
              <w:rPr>
                <w:rFonts w:cs="Arial"/>
                <w:szCs w:val="24"/>
              </w:rPr>
            </w:pPr>
            <w:r w:rsidRPr="00591DB5">
              <w:rPr>
                <w:rFonts w:eastAsia="Times New Roman" w:cs="Arial"/>
                <w:szCs w:val="24"/>
              </w:rPr>
              <w:t>Semestral</w:t>
            </w:r>
          </w:p>
        </w:tc>
      </w:tr>
      <w:tr w:rsidR="00591DB5" w:rsidRPr="00591DB5" w14:paraId="07FC2E6A" w14:textId="77777777" w:rsidTr="005239F3">
        <w:tc>
          <w:tcPr>
            <w:cnfStyle w:val="001000000000" w:firstRow="0" w:lastRow="0" w:firstColumn="1" w:lastColumn="0" w:oddVBand="0" w:evenVBand="0" w:oddHBand="0" w:evenHBand="0" w:firstRowFirstColumn="0" w:firstRowLastColumn="0" w:lastRowFirstColumn="0" w:lastRowLastColumn="0"/>
            <w:tcW w:w="0" w:type="auto"/>
          </w:tcPr>
          <w:p w14:paraId="590B6EB7" w14:textId="77777777" w:rsidR="00591DB5" w:rsidRPr="00591DB5" w:rsidRDefault="00591DB5" w:rsidP="00EF5381">
            <w:pPr>
              <w:rPr>
                <w:rFonts w:cs="Arial"/>
                <w:szCs w:val="24"/>
              </w:rPr>
            </w:pPr>
            <w:r w:rsidRPr="00591DB5">
              <w:rPr>
                <w:rFonts w:eastAsia="Times New Roman" w:cs="Arial"/>
                <w:szCs w:val="24"/>
              </w:rPr>
              <w:t>Índice de sostenibilidad de la deuda</w:t>
            </w:r>
          </w:p>
        </w:tc>
        <w:tc>
          <w:tcPr>
            <w:tcW w:w="0" w:type="auto"/>
          </w:tcPr>
          <w:p w14:paraId="26A3514E" w14:textId="77777777" w:rsidR="00591DB5" w:rsidRPr="00591DB5" w:rsidRDefault="00591DB5" w:rsidP="00EF5381">
            <w:pPr>
              <w:cnfStyle w:val="000000000000" w:firstRow="0" w:lastRow="0" w:firstColumn="0" w:lastColumn="0" w:oddVBand="0" w:evenVBand="0" w:oddHBand="0" w:evenHBand="0" w:firstRowFirstColumn="0" w:firstRowLastColumn="0" w:lastRowFirstColumn="0" w:lastRowLastColumn="0"/>
              <w:rPr>
                <w:rFonts w:cs="Arial"/>
                <w:szCs w:val="24"/>
              </w:rPr>
            </w:pPr>
            <w:r w:rsidRPr="00591DB5">
              <w:rPr>
                <w:rFonts w:eastAsia="Times New Roman" w:cs="Arial"/>
                <w:szCs w:val="24"/>
              </w:rPr>
              <w:t>Servicio de deuda / ICLD</w:t>
            </w:r>
          </w:p>
        </w:tc>
        <w:tc>
          <w:tcPr>
            <w:tcW w:w="0" w:type="auto"/>
          </w:tcPr>
          <w:p w14:paraId="6272DA40" w14:textId="77777777" w:rsidR="00591DB5" w:rsidRPr="00591DB5" w:rsidRDefault="00591DB5" w:rsidP="00EF5381">
            <w:pPr>
              <w:cnfStyle w:val="000000000000" w:firstRow="0" w:lastRow="0" w:firstColumn="0" w:lastColumn="0" w:oddVBand="0" w:evenVBand="0" w:oddHBand="0" w:evenHBand="0" w:firstRowFirstColumn="0" w:firstRowLastColumn="0" w:lastRowFirstColumn="0" w:lastRowLastColumn="0"/>
              <w:rPr>
                <w:rFonts w:cs="Arial"/>
                <w:szCs w:val="24"/>
              </w:rPr>
            </w:pPr>
            <w:r w:rsidRPr="00591DB5">
              <w:rPr>
                <w:rFonts w:eastAsia="Times New Roman" w:cs="Arial"/>
                <w:szCs w:val="24"/>
              </w:rPr>
              <w:t>&lt; 40% (Ley 358/97)</w:t>
            </w:r>
          </w:p>
        </w:tc>
        <w:tc>
          <w:tcPr>
            <w:tcW w:w="0" w:type="auto"/>
          </w:tcPr>
          <w:p w14:paraId="6B2BBCF0" w14:textId="77777777" w:rsidR="00591DB5" w:rsidRPr="00591DB5" w:rsidRDefault="00591DB5" w:rsidP="00EF5381">
            <w:pPr>
              <w:cnfStyle w:val="000000000000" w:firstRow="0" w:lastRow="0" w:firstColumn="0" w:lastColumn="0" w:oddVBand="0" w:evenVBand="0" w:oddHBand="0" w:evenHBand="0" w:firstRowFirstColumn="0" w:firstRowLastColumn="0" w:lastRowFirstColumn="0" w:lastRowLastColumn="0"/>
              <w:rPr>
                <w:rFonts w:cs="Arial"/>
                <w:szCs w:val="24"/>
              </w:rPr>
            </w:pPr>
            <w:r w:rsidRPr="00591DB5">
              <w:rPr>
                <w:rFonts w:eastAsia="Times New Roman" w:cs="Arial"/>
                <w:szCs w:val="24"/>
              </w:rPr>
              <w:t>Semestral</w:t>
            </w:r>
          </w:p>
        </w:tc>
      </w:tr>
      <w:tr w:rsidR="00591DB5" w:rsidRPr="00591DB5" w14:paraId="68B325CC" w14:textId="77777777" w:rsidTr="005239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708D4949" w14:textId="77777777" w:rsidR="00591DB5" w:rsidRPr="00591DB5" w:rsidRDefault="00591DB5" w:rsidP="00EF5381">
            <w:pPr>
              <w:rPr>
                <w:rFonts w:cs="Arial"/>
                <w:szCs w:val="24"/>
              </w:rPr>
            </w:pPr>
            <w:r w:rsidRPr="00591DB5">
              <w:rPr>
                <w:rFonts w:eastAsia="Times New Roman" w:cs="Arial"/>
                <w:szCs w:val="24"/>
              </w:rPr>
              <w:t>Índice de morosidad de cartera</w:t>
            </w:r>
          </w:p>
        </w:tc>
        <w:tc>
          <w:tcPr>
            <w:tcW w:w="0" w:type="auto"/>
          </w:tcPr>
          <w:p w14:paraId="774158DF" w14:textId="77777777" w:rsidR="00591DB5" w:rsidRPr="00591DB5" w:rsidRDefault="00591DB5" w:rsidP="00EF5381">
            <w:pPr>
              <w:cnfStyle w:val="000000100000" w:firstRow="0" w:lastRow="0" w:firstColumn="0" w:lastColumn="0" w:oddVBand="0" w:evenVBand="0" w:oddHBand="1" w:evenHBand="0" w:firstRowFirstColumn="0" w:firstRowLastColumn="0" w:lastRowFirstColumn="0" w:lastRowLastColumn="0"/>
              <w:rPr>
                <w:rFonts w:cs="Arial"/>
                <w:szCs w:val="24"/>
              </w:rPr>
            </w:pPr>
            <w:r w:rsidRPr="00591DB5">
              <w:rPr>
                <w:rFonts w:eastAsia="Times New Roman" w:cs="Arial"/>
                <w:szCs w:val="24"/>
              </w:rPr>
              <w:t>Cartera vencida / Cartera total</w:t>
            </w:r>
          </w:p>
        </w:tc>
        <w:tc>
          <w:tcPr>
            <w:tcW w:w="0" w:type="auto"/>
          </w:tcPr>
          <w:p w14:paraId="20FB5DD2" w14:textId="77777777" w:rsidR="00591DB5" w:rsidRPr="00591DB5" w:rsidRDefault="00591DB5" w:rsidP="00EF5381">
            <w:pPr>
              <w:cnfStyle w:val="000000100000" w:firstRow="0" w:lastRow="0" w:firstColumn="0" w:lastColumn="0" w:oddVBand="0" w:evenVBand="0" w:oddHBand="1" w:evenHBand="0" w:firstRowFirstColumn="0" w:firstRowLastColumn="0" w:lastRowFirstColumn="0" w:lastRowLastColumn="0"/>
              <w:rPr>
                <w:rFonts w:cs="Arial"/>
                <w:szCs w:val="24"/>
              </w:rPr>
            </w:pPr>
            <w:r w:rsidRPr="00591DB5">
              <w:rPr>
                <w:rFonts w:eastAsia="Times New Roman" w:cs="Arial"/>
                <w:szCs w:val="24"/>
              </w:rPr>
              <w:t>&lt; 20%</w:t>
            </w:r>
          </w:p>
        </w:tc>
        <w:tc>
          <w:tcPr>
            <w:tcW w:w="0" w:type="auto"/>
          </w:tcPr>
          <w:p w14:paraId="664B1009" w14:textId="77777777" w:rsidR="00591DB5" w:rsidRPr="00591DB5" w:rsidRDefault="00591DB5" w:rsidP="00EF5381">
            <w:pPr>
              <w:cnfStyle w:val="000000100000" w:firstRow="0" w:lastRow="0" w:firstColumn="0" w:lastColumn="0" w:oddVBand="0" w:evenVBand="0" w:oddHBand="1" w:evenHBand="0" w:firstRowFirstColumn="0" w:firstRowLastColumn="0" w:lastRowFirstColumn="0" w:lastRowLastColumn="0"/>
              <w:rPr>
                <w:rFonts w:cs="Arial"/>
                <w:szCs w:val="24"/>
              </w:rPr>
            </w:pPr>
            <w:r w:rsidRPr="00591DB5">
              <w:rPr>
                <w:rFonts w:eastAsia="Times New Roman" w:cs="Arial"/>
                <w:szCs w:val="24"/>
              </w:rPr>
              <w:t>Bimestral</w:t>
            </w:r>
          </w:p>
        </w:tc>
      </w:tr>
      <w:tr w:rsidR="00591DB5" w:rsidRPr="00591DB5" w14:paraId="6B597E9C" w14:textId="77777777" w:rsidTr="005239F3">
        <w:tc>
          <w:tcPr>
            <w:cnfStyle w:val="001000000000" w:firstRow="0" w:lastRow="0" w:firstColumn="1" w:lastColumn="0" w:oddVBand="0" w:evenVBand="0" w:oddHBand="0" w:evenHBand="0" w:firstRowFirstColumn="0" w:firstRowLastColumn="0" w:lastRowFirstColumn="0" w:lastRowLastColumn="0"/>
            <w:tcW w:w="0" w:type="auto"/>
          </w:tcPr>
          <w:p w14:paraId="3BBDFEF7" w14:textId="77777777" w:rsidR="00591DB5" w:rsidRPr="00591DB5" w:rsidRDefault="00591DB5" w:rsidP="00EF5381">
            <w:pPr>
              <w:rPr>
                <w:rFonts w:cs="Arial"/>
                <w:szCs w:val="24"/>
              </w:rPr>
            </w:pPr>
            <w:r w:rsidRPr="00591DB5">
              <w:rPr>
                <w:rFonts w:eastAsia="Times New Roman" w:cs="Arial"/>
                <w:szCs w:val="24"/>
              </w:rPr>
              <w:t>Índice de solvencia fiscal</w:t>
            </w:r>
          </w:p>
        </w:tc>
        <w:tc>
          <w:tcPr>
            <w:tcW w:w="0" w:type="auto"/>
          </w:tcPr>
          <w:p w14:paraId="02EB2D3D" w14:textId="77777777" w:rsidR="00591DB5" w:rsidRPr="00591DB5" w:rsidRDefault="00591DB5" w:rsidP="00EF5381">
            <w:pPr>
              <w:cnfStyle w:val="000000000000" w:firstRow="0" w:lastRow="0" w:firstColumn="0" w:lastColumn="0" w:oddVBand="0" w:evenVBand="0" w:oddHBand="0" w:evenHBand="0" w:firstRowFirstColumn="0" w:firstRowLastColumn="0" w:lastRowFirstColumn="0" w:lastRowLastColumn="0"/>
              <w:rPr>
                <w:rFonts w:cs="Arial"/>
                <w:szCs w:val="24"/>
              </w:rPr>
            </w:pPr>
            <w:r w:rsidRPr="00591DB5">
              <w:rPr>
                <w:rFonts w:eastAsia="Times New Roman" w:cs="Arial"/>
                <w:szCs w:val="24"/>
              </w:rPr>
              <w:t>Ingresos corrientes / Gastos de funcionamiento</w:t>
            </w:r>
          </w:p>
        </w:tc>
        <w:tc>
          <w:tcPr>
            <w:tcW w:w="0" w:type="auto"/>
          </w:tcPr>
          <w:p w14:paraId="13333908" w14:textId="77777777" w:rsidR="00591DB5" w:rsidRPr="00591DB5" w:rsidRDefault="00591DB5" w:rsidP="00EF5381">
            <w:pPr>
              <w:cnfStyle w:val="000000000000" w:firstRow="0" w:lastRow="0" w:firstColumn="0" w:lastColumn="0" w:oddVBand="0" w:evenVBand="0" w:oddHBand="0" w:evenHBand="0" w:firstRowFirstColumn="0" w:firstRowLastColumn="0" w:lastRowFirstColumn="0" w:lastRowLastColumn="0"/>
              <w:rPr>
                <w:rFonts w:cs="Arial"/>
                <w:szCs w:val="24"/>
              </w:rPr>
            </w:pPr>
            <w:r w:rsidRPr="00591DB5">
              <w:rPr>
                <w:rFonts w:eastAsia="Times New Roman" w:cs="Arial"/>
                <w:szCs w:val="24"/>
              </w:rPr>
              <w:t>≥ 1,0</w:t>
            </w:r>
          </w:p>
        </w:tc>
        <w:tc>
          <w:tcPr>
            <w:tcW w:w="0" w:type="auto"/>
          </w:tcPr>
          <w:p w14:paraId="2F1FA068" w14:textId="77777777" w:rsidR="00591DB5" w:rsidRPr="00591DB5" w:rsidRDefault="00591DB5" w:rsidP="00EF5381">
            <w:pPr>
              <w:cnfStyle w:val="000000000000" w:firstRow="0" w:lastRow="0" w:firstColumn="0" w:lastColumn="0" w:oddVBand="0" w:evenVBand="0" w:oddHBand="0" w:evenHBand="0" w:firstRowFirstColumn="0" w:firstRowLastColumn="0" w:lastRowFirstColumn="0" w:lastRowLastColumn="0"/>
              <w:rPr>
                <w:rFonts w:cs="Arial"/>
                <w:szCs w:val="24"/>
              </w:rPr>
            </w:pPr>
            <w:r w:rsidRPr="00591DB5">
              <w:rPr>
                <w:rFonts w:eastAsia="Times New Roman" w:cs="Arial"/>
                <w:szCs w:val="24"/>
              </w:rPr>
              <w:t>Anual</w:t>
            </w:r>
          </w:p>
        </w:tc>
      </w:tr>
    </w:tbl>
    <w:p w14:paraId="373A2C17" w14:textId="6FAB1AFD" w:rsidR="0030735D" w:rsidRDefault="00591DB5" w:rsidP="00C44208">
      <w:pPr>
        <w:spacing w:before="0" w:after="480"/>
      </w:pPr>
      <w:r w:rsidRPr="005239F3">
        <w:rPr>
          <w:b/>
          <w:bCs/>
        </w:rPr>
        <w:t>Fuente</w:t>
      </w:r>
      <w:r w:rsidRPr="00591DB5">
        <w:t>: elaboración propia.</w:t>
      </w:r>
    </w:p>
    <w:p w14:paraId="6B5C05BA" w14:textId="1FFCBD9F" w:rsidR="00085BC4" w:rsidRDefault="00085BC4" w:rsidP="00C44208">
      <w:pPr>
        <w:spacing w:before="0" w:after="480"/>
      </w:pPr>
      <w:r>
        <w:t>Igualmente, e</w:t>
      </w:r>
      <w:r w:rsidRPr="00085BC4">
        <w:t>l tablero consolidado de los indicadores con los resultados de la vigencia 2025 se presenta en el Anexo B del presente informe</w:t>
      </w:r>
      <w:r w:rsidR="003E1832">
        <w:t xml:space="preserve"> con el fin de detallar la realidad fiscal del municipio.</w:t>
      </w:r>
    </w:p>
    <w:p w14:paraId="7F704C53" w14:textId="4DD1FBEC" w:rsidR="0030735D" w:rsidRDefault="0030735D" w:rsidP="00C44208">
      <w:pPr>
        <w:spacing w:after="480"/>
      </w:pPr>
      <w:bookmarkStart w:id="51" w:name="_Toc231741444"/>
      <w:r w:rsidRPr="00E67C01">
        <w:rPr>
          <w:rStyle w:val="Ttulo3Car"/>
        </w:rPr>
        <w:t>2.6.5 Trazabilidad presupuesta</w:t>
      </w:r>
      <w:r w:rsidR="00E67C01" w:rsidRPr="00E67C01">
        <w:rPr>
          <w:rStyle w:val="Ttulo3Car"/>
        </w:rPr>
        <w:t>l</w:t>
      </w:r>
      <w:bookmarkEnd w:id="51"/>
      <w:r w:rsidR="00E67C01">
        <w:t xml:space="preserve">. </w:t>
      </w:r>
      <w:r>
        <w:t>La trazabilidad presupuestal se refiere a la capacidad de seguir el recorrido completo de un recurso público</w:t>
      </w:r>
      <w:r w:rsidR="00C44208">
        <w:t xml:space="preserve">, </w:t>
      </w:r>
      <w:r>
        <w:t xml:space="preserve">desde su </w:t>
      </w:r>
      <w:r>
        <w:lastRenderedPageBreak/>
        <w:t>programación hasta su ejecución y pago</w:t>
      </w:r>
      <w:r w:rsidR="00C44208">
        <w:t>,</w:t>
      </w:r>
      <w:r>
        <w:t xml:space="preserve"> de manera que cualquier decisión administrativa pueda ser verificada, auditada y justificada con evidencia documental. </w:t>
      </w:r>
    </w:p>
    <w:p w14:paraId="122CF667" w14:textId="77777777" w:rsidR="0030735D" w:rsidRDefault="0030735D" w:rsidP="00C44208">
      <w:pPr>
        <w:spacing w:after="480"/>
      </w:pPr>
      <w:r>
        <w:t>La propuesta de trazabilidad contempla tres acciones: primero, la vinculación explícita entre el CDP y el RP correspondiente dentro del archivo digital, de modo que cada compromiso tenga su cadena documental completa; segundo, el registro de fechas de solicitud, expedición y entrega de documentos para medir los tiempos de respuesta del área; y tercero, la incorporación de un campo de estado en las planillas de seguimiento que permita identificar en qué etapa del proceso presupuestal se encuentra cada solicitud.</w:t>
      </w:r>
    </w:p>
    <w:p w14:paraId="61F596C5" w14:textId="77777777" w:rsidR="0030735D" w:rsidRDefault="0030735D" w:rsidP="00C44208">
      <w:pPr>
        <w:pStyle w:val="Prrafodelista"/>
        <w:numPr>
          <w:ilvl w:val="0"/>
          <w:numId w:val="18"/>
        </w:numPr>
        <w:spacing w:after="480"/>
      </w:pPr>
      <w:r w:rsidRPr="00C44208">
        <w:rPr>
          <w:b/>
          <w:bCs/>
        </w:rPr>
        <w:t>Resultado esperado</w:t>
      </w:r>
      <w:r>
        <w:t>: posibilidad de reconstruir la historia documental de cualquier compromiso presupuestal en menos de diez minutos; reducción de observaciones de entes de control relacionadas con inconsistencias documentales.</w:t>
      </w:r>
    </w:p>
    <w:p w14:paraId="25A5FD1A" w14:textId="0C45C59D" w:rsidR="0030735D" w:rsidRDefault="0030735D" w:rsidP="00C44208">
      <w:pPr>
        <w:pStyle w:val="Prrafodelista"/>
        <w:numPr>
          <w:ilvl w:val="0"/>
          <w:numId w:val="18"/>
        </w:numPr>
        <w:spacing w:after="480"/>
      </w:pPr>
      <w:r w:rsidRPr="00C44208">
        <w:rPr>
          <w:b/>
          <w:bCs/>
        </w:rPr>
        <w:t>Impacto administrativo</w:t>
      </w:r>
      <w:r>
        <w:t>: mayor transparencia en el uso de los recursos públicos y de los mecanismos de control interno.</w:t>
      </w:r>
    </w:p>
    <w:p w14:paraId="7C871AA6" w14:textId="77777777" w:rsidR="00C44208" w:rsidRDefault="0030735D" w:rsidP="00C44208">
      <w:pPr>
        <w:spacing w:after="480"/>
      </w:pPr>
      <w:r>
        <w:t>En síntesis, los cinco componentes de esta propuesta</w:t>
      </w:r>
      <w:r w:rsidR="009E2961">
        <w:t xml:space="preserve"> que son </w:t>
      </w:r>
      <w:r>
        <w:t>digitalización documental, manual de procesos, automatización parcial, indicadores financieros y trazabilidad presupuestal</w:t>
      </w:r>
      <w:r w:rsidR="009E2961">
        <w:t xml:space="preserve"> </w:t>
      </w:r>
      <w:r>
        <w:t>conforman un sistema de mejora organizacional que responde directamente a las debilidades identificadas en el diagnóstico. Su implementación no requiere reformas estructurales ni grandes inversione</w:t>
      </w:r>
      <w:r w:rsidR="009E2961">
        <w:t xml:space="preserve">s, pues </w:t>
      </w:r>
      <w:r>
        <w:t xml:space="preserve">parte del conocimiento técnico existente, los recursos disponibles y la voluntad del equipo de trabajo. </w:t>
      </w:r>
    </w:p>
    <w:p w14:paraId="77345466" w14:textId="3C35F1B9" w:rsidR="0030735D" w:rsidRDefault="0030735D" w:rsidP="00C44208">
      <w:pPr>
        <w:spacing w:after="480"/>
      </w:pPr>
      <w:r>
        <w:t>El resultado esperado es un área de Presupuesto más eficiente, con procesos más sólidos y con mayor capacidad para responder a los retos de la gestión fiscal municipal en el mediano plazo.</w:t>
      </w:r>
    </w:p>
    <w:p w14:paraId="638482FD" w14:textId="055089D1" w:rsidR="00636D92" w:rsidRDefault="002B0D85" w:rsidP="002B0D85">
      <w:pPr>
        <w:pStyle w:val="Ttulo2"/>
        <w:spacing w:line="240" w:lineRule="auto"/>
      </w:pPr>
      <w:bookmarkStart w:id="52" w:name="_Toc231741445"/>
      <w:r>
        <w:t xml:space="preserve">2.7 </w:t>
      </w:r>
      <w:r w:rsidRPr="002B0D85">
        <w:t>RESULTADOS ESPERADOS DE LA PROPUESTA DE MODERNIZACIÓN PRESUPUESTAL</w:t>
      </w:r>
      <w:bookmarkEnd w:id="52"/>
    </w:p>
    <w:p w14:paraId="407E88D3" w14:textId="1C3D51DF" w:rsidR="002B0D85" w:rsidRDefault="002B0D85" w:rsidP="002B0D85">
      <w:pPr>
        <w:spacing w:after="480"/>
      </w:pPr>
      <w:r>
        <w:t>La propuesta de modernización presupuestal formulada en la sección anterior es la traducción de un diagnóstico técnico en un producto concreto de mejora organizacional. Su implementación genera resultados verificables en cuatro dimensiones que se describen a continuación, organizadas desde los efectos más inmediatos hasta los de mayor alcance institucional y fiscal.</w:t>
      </w:r>
    </w:p>
    <w:p w14:paraId="5153D494" w14:textId="77777777" w:rsidR="002B0D85" w:rsidRDefault="002B0D85" w:rsidP="002B0D85">
      <w:pPr>
        <w:pStyle w:val="Ttulo3"/>
      </w:pPr>
      <w:bookmarkStart w:id="53" w:name="_Toc231741446"/>
      <w:r>
        <w:lastRenderedPageBreak/>
        <w:t>2.7.1  Resultados operativos</w:t>
      </w:r>
      <w:bookmarkEnd w:id="53"/>
    </w:p>
    <w:p w14:paraId="180F0803" w14:textId="77777777" w:rsidR="002B0D85" w:rsidRDefault="002B0D85" w:rsidP="002B0D85">
      <w:pPr>
        <w:spacing w:after="480"/>
      </w:pPr>
      <w:r>
        <w:t>La digitalización documental y la automatización de tareas recurrentes generarán una reducción estimada del 60 % en el tiempo destinado a búsqueda y consulta de documentos físicos, así como una disminución del 40 % en el tiempo operativo dedicado a consolidación manual de datos en hojas de cálculo. Las plantillas automatizadas para el Programa Anual Mensualizado de Caja (PAC), el seguimiento de cartera y la generación de gráficas de gestión eliminarán reprocesos, reducirán errores de digitación y liberarán capacidad del equipo para actividades de mayor valor analítico. El manual de procesos acortará el tiempo de inducción de nuevos integrantes del equipo y reducirá la dependencia operativa del conocimiento individual acumulado en la profesional encargada, que actualmente representa el principal riesgo de continuidad del área.</w:t>
      </w:r>
    </w:p>
    <w:p w14:paraId="13B31131" w14:textId="77777777" w:rsidR="002B0D85" w:rsidRDefault="002B0D85" w:rsidP="002B0D85">
      <w:pPr>
        <w:pStyle w:val="Ttulo3"/>
      </w:pPr>
      <w:bookmarkStart w:id="54" w:name="_Toc231741447"/>
      <w:r>
        <w:t>2.7.2  Resultados administrativos</w:t>
      </w:r>
      <w:bookmarkEnd w:id="54"/>
    </w:p>
    <w:p w14:paraId="57A73DD2" w14:textId="77777777" w:rsidR="002B0D85" w:rsidRDefault="002B0D85" w:rsidP="002B0D85">
      <w:pPr>
        <w:spacing w:after="480"/>
      </w:pPr>
      <w:r>
        <w:t>La implementación del manual de procesos, la trazabilidad presupuestal y la digitalización documental fortalecerá la estructura institucional del área de Presupuesto en tres sentidos concretos. Primero, cualquier compromiso presupuestal podrá ser auditado y verificado en menos de diez minutos, gracias a la cadena documental digital entre CDP, RP y soportes asociados. Segundo, el registro sistemático de fechas de solicitud, expedición y entrega de documentos permitirá medir los tiempos de respuesta del área y detectar cuellos de botella en los procesos de aprobación. Tercero, la reducción de observaciones de entes de control relacionadas con inconsistencias documentales fortalecerá la posición de la entidad en auditorías y en los procesos de rendición de cuentas a nivel nacional, incluyendo las reportadas al sistema MIPG.</w:t>
      </w:r>
    </w:p>
    <w:p w14:paraId="45FB83E5" w14:textId="77777777" w:rsidR="002B0D85" w:rsidRDefault="002B0D85" w:rsidP="002B0D85">
      <w:pPr>
        <w:pStyle w:val="Ttulo3"/>
      </w:pPr>
      <w:bookmarkStart w:id="55" w:name="_Toc231741448"/>
      <w:r>
        <w:t>2.7.3  Resultados tecnológicos</w:t>
      </w:r>
      <w:bookmarkEnd w:id="55"/>
    </w:p>
    <w:p w14:paraId="5CFFC387" w14:textId="1095346C" w:rsidR="002B0D85" w:rsidRDefault="002B0D85" w:rsidP="002B0D85">
      <w:pPr>
        <w:spacing w:after="480"/>
      </w:pPr>
      <w:r>
        <w:t>La propuesta establece una arquitectura documental digital organizada por vigencia fiscal y tipo de documento, con acceso controlado según el rol de cada integrante del área. Esta estructura, implementable con las herramientas ofimáticas ya disponibles en la entidad, Google Drive institucional o el servidor de la Secretaría de Hacienda, constituye el primer nivel de modernización tecnológica del área sin requerir inversión adicional en software. Las plantillas automatizadas en Excel desarrolladas durante la práctica profesional, en particular el modelo del PAC y las herramientas de seguimiento de indicadores de deuda, pasivos y cartera, son los primeros productos de este componente y pueden ser adoptados de manera inmediata por el equipo vigente.</w:t>
      </w:r>
    </w:p>
    <w:p w14:paraId="5AFCFBFE" w14:textId="77777777" w:rsidR="002B0D85" w:rsidRDefault="002B0D85" w:rsidP="002B0D85">
      <w:pPr>
        <w:pStyle w:val="Ttulo3"/>
      </w:pPr>
      <w:bookmarkStart w:id="56" w:name="_Toc231741449"/>
      <w:r>
        <w:lastRenderedPageBreak/>
        <w:t>2.7.4  Resultados fiscales</w:t>
      </w:r>
      <w:bookmarkEnd w:id="56"/>
    </w:p>
    <w:p w14:paraId="7C7C0A4E" w14:textId="2D84D307" w:rsidR="00636D92" w:rsidRDefault="002B0D85" w:rsidP="002B0D85">
      <w:pPr>
        <w:spacing w:after="480"/>
      </w:pPr>
      <w:r>
        <w:t>El sistema de indicadores financieros propuesto, que incluye la tasa de ejecución presupuestal, la tasa de recaudo tributario, el índice de endeudamiento, el índice de sostenibilidad de la deuda, el índice de morosidad de cartera y el índice de solvencia fiscal, dotará al área de una herramienta de monitoreo continuo que hoy no existe en el municipio. Su aplicación periódica permitirá detectar desviaciones sobre las metas fiscales antes de que se conviertan en problemas estructurales, fortalecer la argumentación técnica en las decisiones de la Secretaría de Hacienda y mejorar la calidad de los insumos que alimentan la actualización anual del Marco Fiscal de Mediano Plazo. En conjunto, estos resultados contribuyen directamente a la sostenibilidad fiscal del municipio de Aguachica en el horizonte 2026–2035.</w:t>
      </w:r>
    </w:p>
    <w:p w14:paraId="0F2D0A9C" w14:textId="19E89363" w:rsidR="002B0D85" w:rsidRPr="002B0D85" w:rsidRDefault="002B0D85" w:rsidP="002B0D85">
      <w:pPr>
        <w:pStyle w:val="Descripcin"/>
        <w:keepNext/>
        <w:rPr>
          <w:rFonts w:ascii="Arial" w:hAnsi="Arial" w:cs="Arial"/>
          <w:i w:val="0"/>
          <w:iCs w:val="0"/>
          <w:color w:val="auto"/>
          <w:sz w:val="24"/>
          <w:szCs w:val="24"/>
        </w:rPr>
      </w:pPr>
      <w:bookmarkStart w:id="57" w:name="_Toc231741483"/>
      <w:r w:rsidRPr="002B0D85">
        <w:rPr>
          <w:rFonts w:ascii="Arial" w:hAnsi="Arial" w:cs="Arial"/>
          <w:b/>
          <w:bCs/>
          <w:i w:val="0"/>
          <w:iCs w:val="0"/>
          <w:color w:val="auto"/>
          <w:sz w:val="24"/>
          <w:szCs w:val="24"/>
        </w:rPr>
        <w:t xml:space="preserve">Tabla </w:t>
      </w:r>
      <w:r w:rsidRPr="002B0D85">
        <w:rPr>
          <w:rFonts w:ascii="Arial" w:hAnsi="Arial" w:cs="Arial"/>
          <w:b/>
          <w:bCs/>
          <w:i w:val="0"/>
          <w:iCs w:val="0"/>
          <w:color w:val="auto"/>
          <w:sz w:val="24"/>
          <w:szCs w:val="24"/>
        </w:rPr>
        <w:fldChar w:fldCharType="begin"/>
      </w:r>
      <w:r w:rsidRPr="002B0D85">
        <w:rPr>
          <w:rFonts w:ascii="Arial" w:hAnsi="Arial" w:cs="Arial"/>
          <w:b/>
          <w:bCs/>
          <w:i w:val="0"/>
          <w:iCs w:val="0"/>
          <w:color w:val="auto"/>
          <w:sz w:val="24"/>
          <w:szCs w:val="24"/>
        </w:rPr>
        <w:instrText xml:space="preserve"> SEQ Tabla \* ARABIC </w:instrText>
      </w:r>
      <w:r w:rsidRPr="002B0D85">
        <w:rPr>
          <w:rFonts w:ascii="Arial" w:hAnsi="Arial" w:cs="Arial"/>
          <w:b/>
          <w:bCs/>
          <w:i w:val="0"/>
          <w:iCs w:val="0"/>
          <w:color w:val="auto"/>
          <w:sz w:val="24"/>
          <w:szCs w:val="24"/>
        </w:rPr>
        <w:fldChar w:fldCharType="separate"/>
      </w:r>
      <w:r w:rsidRPr="002B0D85">
        <w:rPr>
          <w:rFonts w:ascii="Arial" w:hAnsi="Arial" w:cs="Arial"/>
          <w:b/>
          <w:bCs/>
          <w:i w:val="0"/>
          <w:iCs w:val="0"/>
          <w:noProof/>
          <w:color w:val="auto"/>
          <w:sz w:val="24"/>
          <w:szCs w:val="24"/>
        </w:rPr>
        <w:t>5</w:t>
      </w:r>
      <w:r w:rsidRPr="002B0D85">
        <w:rPr>
          <w:rFonts w:ascii="Arial" w:hAnsi="Arial" w:cs="Arial"/>
          <w:b/>
          <w:bCs/>
          <w:i w:val="0"/>
          <w:iCs w:val="0"/>
          <w:color w:val="auto"/>
          <w:sz w:val="24"/>
          <w:szCs w:val="24"/>
        </w:rPr>
        <w:fldChar w:fldCharType="end"/>
      </w:r>
      <w:r w:rsidRPr="002B0D85">
        <w:rPr>
          <w:rFonts w:ascii="Arial" w:hAnsi="Arial" w:cs="Arial"/>
          <w:i w:val="0"/>
          <w:iCs w:val="0"/>
          <w:color w:val="auto"/>
          <w:sz w:val="24"/>
          <w:szCs w:val="24"/>
        </w:rPr>
        <w:t>. Tabla resumen de resultados esperados por componente</w:t>
      </w:r>
      <w:bookmarkEnd w:id="57"/>
    </w:p>
    <w:tbl>
      <w:tblPr>
        <w:tblW w:w="92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2200"/>
        <w:gridCol w:w="3600"/>
        <w:gridCol w:w="3413"/>
      </w:tblGrid>
      <w:tr w:rsidR="002B0D85" w14:paraId="3ABE681E" w14:textId="77777777" w:rsidTr="002B0D85">
        <w:tc>
          <w:tcPr>
            <w:tcW w:w="2200" w:type="dxa"/>
            <w:tcBorders>
              <w:top w:val="single" w:sz="1" w:space="0" w:color="AAAAAA"/>
              <w:left w:val="single" w:sz="1" w:space="0" w:color="AAAAAA"/>
              <w:bottom w:val="single" w:sz="1" w:space="0" w:color="AAAAAA"/>
              <w:right w:val="single" w:sz="1" w:space="0" w:color="AAAAAA"/>
            </w:tcBorders>
            <w:shd w:val="clear" w:color="auto" w:fill="4EA72E" w:themeFill="accent6"/>
            <w:tcMar>
              <w:top w:w="80" w:type="dxa"/>
              <w:left w:w="120" w:type="dxa"/>
              <w:bottom w:w="80" w:type="dxa"/>
              <w:right w:w="120" w:type="dxa"/>
            </w:tcMar>
          </w:tcPr>
          <w:p w14:paraId="78B881B3" w14:textId="77777777" w:rsidR="002B0D85" w:rsidRDefault="002B0D85" w:rsidP="00844373">
            <w:pPr>
              <w:jc w:val="center"/>
            </w:pPr>
            <w:r>
              <w:rPr>
                <w:rFonts w:eastAsia="Arial" w:cs="Arial"/>
                <w:b/>
                <w:bCs/>
                <w:color w:val="FFFFFF"/>
                <w:sz w:val="20"/>
                <w:szCs w:val="20"/>
              </w:rPr>
              <w:t>Dimensión</w:t>
            </w:r>
          </w:p>
        </w:tc>
        <w:tc>
          <w:tcPr>
            <w:tcW w:w="3600" w:type="dxa"/>
            <w:tcBorders>
              <w:top w:val="single" w:sz="1" w:space="0" w:color="AAAAAA"/>
              <w:left w:val="single" w:sz="1" w:space="0" w:color="AAAAAA"/>
              <w:bottom w:val="single" w:sz="1" w:space="0" w:color="AAAAAA"/>
              <w:right w:val="single" w:sz="1" w:space="0" w:color="AAAAAA"/>
            </w:tcBorders>
            <w:shd w:val="clear" w:color="auto" w:fill="4EA72E" w:themeFill="accent6"/>
            <w:tcMar>
              <w:top w:w="80" w:type="dxa"/>
              <w:left w:w="120" w:type="dxa"/>
              <w:bottom w:w="80" w:type="dxa"/>
              <w:right w:w="120" w:type="dxa"/>
            </w:tcMar>
          </w:tcPr>
          <w:p w14:paraId="59549627" w14:textId="77777777" w:rsidR="002B0D85" w:rsidRDefault="002B0D85" w:rsidP="00844373">
            <w:pPr>
              <w:jc w:val="center"/>
            </w:pPr>
            <w:r>
              <w:rPr>
                <w:rFonts w:eastAsia="Arial" w:cs="Arial"/>
                <w:b/>
                <w:bCs/>
                <w:color w:val="FFFFFF"/>
                <w:sz w:val="20"/>
                <w:szCs w:val="20"/>
              </w:rPr>
              <w:t>Resultado esperado</w:t>
            </w:r>
          </w:p>
        </w:tc>
        <w:tc>
          <w:tcPr>
            <w:tcW w:w="3413" w:type="dxa"/>
            <w:tcBorders>
              <w:top w:val="single" w:sz="1" w:space="0" w:color="AAAAAA"/>
              <w:left w:val="single" w:sz="1" w:space="0" w:color="AAAAAA"/>
              <w:bottom w:val="single" w:sz="1" w:space="0" w:color="AAAAAA"/>
              <w:right w:val="single" w:sz="1" w:space="0" w:color="AAAAAA"/>
            </w:tcBorders>
            <w:shd w:val="clear" w:color="auto" w:fill="4EA72E" w:themeFill="accent6"/>
            <w:tcMar>
              <w:top w:w="80" w:type="dxa"/>
              <w:left w:w="120" w:type="dxa"/>
              <w:bottom w:w="80" w:type="dxa"/>
              <w:right w:w="120" w:type="dxa"/>
            </w:tcMar>
          </w:tcPr>
          <w:p w14:paraId="1D114630" w14:textId="77777777" w:rsidR="002B0D85" w:rsidRDefault="002B0D85" w:rsidP="00844373">
            <w:pPr>
              <w:jc w:val="center"/>
            </w:pPr>
            <w:r>
              <w:rPr>
                <w:rFonts w:eastAsia="Arial" w:cs="Arial"/>
                <w:b/>
                <w:bCs/>
                <w:color w:val="FFFFFF"/>
                <w:sz w:val="20"/>
                <w:szCs w:val="20"/>
              </w:rPr>
              <w:t>Indicador de verificación</w:t>
            </w:r>
          </w:p>
        </w:tc>
      </w:tr>
      <w:tr w:rsidR="002B0D85" w14:paraId="3F203B2A" w14:textId="77777777" w:rsidTr="002B0D85">
        <w:tc>
          <w:tcPr>
            <w:tcW w:w="22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vAlign w:val="center"/>
          </w:tcPr>
          <w:p w14:paraId="35AD2815" w14:textId="77777777" w:rsidR="002B0D85" w:rsidRPr="002B0D85" w:rsidRDefault="002B0D85" w:rsidP="00844373">
            <w:pPr>
              <w:jc w:val="center"/>
            </w:pPr>
            <w:r w:rsidRPr="002B0D85">
              <w:rPr>
                <w:rFonts w:eastAsia="Arial" w:cs="Arial"/>
                <w:b/>
                <w:bCs/>
                <w:sz w:val="20"/>
                <w:szCs w:val="20"/>
              </w:rPr>
              <w:t>Operativo</w:t>
            </w:r>
          </w:p>
        </w:tc>
        <w:tc>
          <w:tcPr>
            <w:tcW w:w="3600" w:type="dxa"/>
            <w:tcBorders>
              <w:top w:val="single" w:sz="1" w:space="0" w:color="AAAAAA"/>
              <w:left w:val="single" w:sz="1" w:space="0" w:color="AAAAAA"/>
              <w:bottom w:val="single" w:sz="1" w:space="0" w:color="AAAAAA"/>
              <w:right w:val="single" w:sz="1" w:space="0" w:color="AAAAAA"/>
            </w:tcBorders>
            <w:tcMar>
              <w:top w:w="80" w:type="dxa"/>
              <w:left w:w="120" w:type="dxa"/>
              <w:bottom w:w="80" w:type="dxa"/>
              <w:right w:w="120" w:type="dxa"/>
            </w:tcMar>
          </w:tcPr>
          <w:p w14:paraId="4EE777A8" w14:textId="77777777" w:rsidR="002B0D85" w:rsidRDefault="002B0D85" w:rsidP="00844373">
            <w:r>
              <w:rPr>
                <w:rFonts w:eastAsia="Arial" w:cs="Arial"/>
                <w:sz w:val="21"/>
                <w:szCs w:val="21"/>
              </w:rPr>
              <w:t>Reducción del 60% en tiempo de búsqueda documental. Reducción del 40% en tiempo de consolidación manual.</w:t>
            </w:r>
          </w:p>
        </w:tc>
        <w:tc>
          <w:tcPr>
            <w:tcW w:w="3413" w:type="dxa"/>
            <w:tcBorders>
              <w:top w:val="single" w:sz="1" w:space="0" w:color="AAAAAA"/>
              <w:left w:val="single" w:sz="1" w:space="0" w:color="AAAAAA"/>
              <w:bottom w:val="single" w:sz="1" w:space="0" w:color="AAAAAA"/>
              <w:right w:val="single" w:sz="1" w:space="0" w:color="AAAAAA"/>
            </w:tcBorders>
            <w:tcMar>
              <w:top w:w="80" w:type="dxa"/>
              <w:left w:w="120" w:type="dxa"/>
              <w:bottom w:w="80" w:type="dxa"/>
              <w:right w:w="120" w:type="dxa"/>
            </w:tcMar>
          </w:tcPr>
          <w:p w14:paraId="20E6538E" w14:textId="77777777" w:rsidR="002B0D85" w:rsidRDefault="002B0D85" w:rsidP="00844373">
            <w:r>
              <w:rPr>
                <w:rFonts w:eastAsia="Arial" w:cs="Arial"/>
                <w:sz w:val="21"/>
                <w:szCs w:val="21"/>
              </w:rPr>
              <w:t>Tiempo promedio de búsqueda de CDP/RP antes y después de la digitalización.</w:t>
            </w:r>
          </w:p>
        </w:tc>
      </w:tr>
      <w:tr w:rsidR="002B0D85" w14:paraId="0DBE6261" w14:textId="77777777" w:rsidTr="002B0D85">
        <w:tc>
          <w:tcPr>
            <w:tcW w:w="22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vAlign w:val="center"/>
          </w:tcPr>
          <w:p w14:paraId="528A8629" w14:textId="77777777" w:rsidR="002B0D85" w:rsidRPr="002B0D85" w:rsidRDefault="002B0D85" w:rsidP="00844373">
            <w:pPr>
              <w:jc w:val="center"/>
            </w:pPr>
            <w:r w:rsidRPr="002B0D85">
              <w:rPr>
                <w:rFonts w:eastAsia="Arial" w:cs="Arial"/>
                <w:b/>
                <w:bCs/>
                <w:sz w:val="20"/>
                <w:szCs w:val="20"/>
              </w:rPr>
              <w:t>Administrativo</w:t>
            </w:r>
          </w:p>
        </w:tc>
        <w:tc>
          <w:tcPr>
            <w:tcW w:w="3600" w:type="dxa"/>
            <w:tcBorders>
              <w:top w:val="single" w:sz="1" w:space="0" w:color="AAAAAA"/>
              <w:left w:val="single" w:sz="1" w:space="0" w:color="AAAAAA"/>
              <w:bottom w:val="single" w:sz="1" w:space="0" w:color="AAAAAA"/>
              <w:right w:val="single" w:sz="1" w:space="0" w:color="AAAAAA"/>
            </w:tcBorders>
            <w:tcMar>
              <w:top w:w="80" w:type="dxa"/>
              <w:left w:w="120" w:type="dxa"/>
              <w:bottom w:w="80" w:type="dxa"/>
              <w:right w:w="120" w:type="dxa"/>
            </w:tcMar>
          </w:tcPr>
          <w:p w14:paraId="2749ACCF" w14:textId="77777777" w:rsidR="002B0D85" w:rsidRDefault="002B0D85" w:rsidP="00844373">
            <w:r>
              <w:rPr>
                <w:rFonts w:eastAsia="Arial" w:cs="Arial"/>
                <w:sz w:val="21"/>
                <w:szCs w:val="21"/>
              </w:rPr>
              <w:t>Trazabilidad completa de cada compromiso presupuestal. Reducción de observaciones de entes de control.</w:t>
            </w:r>
          </w:p>
        </w:tc>
        <w:tc>
          <w:tcPr>
            <w:tcW w:w="3413" w:type="dxa"/>
            <w:tcBorders>
              <w:top w:val="single" w:sz="1" w:space="0" w:color="AAAAAA"/>
              <w:left w:val="single" w:sz="1" w:space="0" w:color="AAAAAA"/>
              <w:bottom w:val="single" w:sz="1" w:space="0" w:color="AAAAAA"/>
              <w:right w:val="single" w:sz="1" w:space="0" w:color="AAAAAA"/>
            </w:tcBorders>
            <w:tcMar>
              <w:top w:w="80" w:type="dxa"/>
              <w:left w:w="120" w:type="dxa"/>
              <w:bottom w:w="80" w:type="dxa"/>
              <w:right w:w="120" w:type="dxa"/>
            </w:tcMar>
          </w:tcPr>
          <w:p w14:paraId="507759D7" w14:textId="77777777" w:rsidR="002B0D85" w:rsidRDefault="002B0D85" w:rsidP="00844373">
            <w:r>
              <w:rPr>
                <w:rFonts w:eastAsia="Arial" w:cs="Arial"/>
                <w:sz w:val="21"/>
                <w:szCs w:val="21"/>
              </w:rPr>
              <w:t>Número de observaciones documentales en auditoría / Tiempo de respuesta a requerimientos.</w:t>
            </w:r>
          </w:p>
        </w:tc>
      </w:tr>
      <w:tr w:rsidR="002B0D85" w14:paraId="671E66D5" w14:textId="77777777" w:rsidTr="002B0D85">
        <w:tc>
          <w:tcPr>
            <w:tcW w:w="22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vAlign w:val="center"/>
          </w:tcPr>
          <w:p w14:paraId="5BD0CB79" w14:textId="77777777" w:rsidR="002B0D85" w:rsidRPr="002B0D85" w:rsidRDefault="002B0D85" w:rsidP="00844373">
            <w:pPr>
              <w:jc w:val="center"/>
            </w:pPr>
            <w:r w:rsidRPr="002B0D85">
              <w:rPr>
                <w:rFonts w:eastAsia="Arial" w:cs="Arial"/>
                <w:b/>
                <w:bCs/>
                <w:sz w:val="20"/>
                <w:szCs w:val="20"/>
              </w:rPr>
              <w:t>Tecnológico</w:t>
            </w:r>
          </w:p>
        </w:tc>
        <w:tc>
          <w:tcPr>
            <w:tcW w:w="3600" w:type="dxa"/>
            <w:tcBorders>
              <w:top w:val="single" w:sz="1" w:space="0" w:color="AAAAAA"/>
              <w:left w:val="single" w:sz="1" w:space="0" w:color="AAAAAA"/>
              <w:bottom w:val="single" w:sz="1" w:space="0" w:color="AAAAAA"/>
              <w:right w:val="single" w:sz="1" w:space="0" w:color="AAAAAA"/>
            </w:tcBorders>
            <w:tcMar>
              <w:top w:w="80" w:type="dxa"/>
              <w:left w:w="120" w:type="dxa"/>
              <w:bottom w:w="80" w:type="dxa"/>
              <w:right w:w="120" w:type="dxa"/>
            </w:tcMar>
          </w:tcPr>
          <w:p w14:paraId="741ACF8C" w14:textId="77777777" w:rsidR="002B0D85" w:rsidRDefault="002B0D85" w:rsidP="00844373">
            <w:r>
              <w:rPr>
                <w:rFonts w:eastAsia="Arial" w:cs="Arial"/>
                <w:sz w:val="21"/>
                <w:szCs w:val="21"/>
              </w:rPr>
              <w:t>Repositorio digital organizado operativo. Plantillas automatizadas en uso por el equipo.</w:t>
            </w:r>
          </w:p>
        </w:tc>
        <w:tc>
          <w:tcPr>
            <w:tcW w:w="3413" w:type="dxa"/>
            <w:tcBorders>
              <w:top w:val="single" w:sz="1" w:space="0" w:color="AAAAAA"/>
              <w:left w:val="single" w:sz="1" w:space="0" w:color="AAAAAA"/>
              <w:bottom w:val="single" w:sz="1" w:space="0" w:color="AAAAAA"/>
              <w:right w:val="single" w:sz="1" w:space="0" w:color="AAAAAA"/>
            </w:tcBorders>
            <w:tcMar>
              <w:top w:w="80" w:type="dxa"/>
              <w:left w:w="120" w:type="dxa"/>
              <w:bottom w:w="80" w:type="dxa"/>
              <w:right w:w="120" w:type="dxa"/>
            </w:tcMar>
          </w:tcPr>
          <w:p w14:paraId="439931F5" w14:textId="77777777" w:rsidR="002B0D85" w:rsidRDefault="002B0D85" w:rsidP="00844373">
            <w:r>
              <w:rPr>
                <w:rFonts w:eastAsia="Arial" w:cs="Arial"/>
                <w:sz w:val="21"/>
                <w:szCs w:val="21"/>
              </w:rPr>
              <w:t>Porcentaje de documentos de vigencias recientes digitalizados. Uso efectivo de plantillas en el PAC.</w:t>
            </w:r>
          </w:p>
        </w:tc>
      </w:tr>
      <w:tr w:rsidR="002B0D85" w14:paraId="0A45C853" w14:textId="77777777" w:rsidTr="002B0D85">
        <w:tc>
          <w:tcPr>
            <w:tcW w:w="22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vAlign w:val="center"/>
          </w:tcPr>
          <w:p w14:paraId="145BE9A0" w14:textId="77777777" w:rsidR="002B0D85" w:rsidRPr="002B0D85" w:rsidRDefault="002B0D85" w:rsidP="00844373">
            <w:pPr>
              <w:jc w:val="center"/>
            </w:pPr>
            <w:r w:rsidRPr="002B0D85">
              <w:rPr>
                <w:rFonts w:eastAsia="Arial" w:cs="Arial"/>
                <w:b/>
                <w:bCs/>
                <w:sz w:val="20"/>
                <w:szCs w:val="20"/>
              </w:rPr>
              <w:t>Fiscal</w:t>
            </w:r>
          </w:p>
        </w:tc>
        <w:tc>
          <w:tcPr>
            <w:tcW w:w="3600" w:type="dxa"/>
            <w:tcBorders>
              <w:top w:val="single" w:sz="1" w:space="0" w:color="AAAAAA"/>
              <w:left w:val="single" w:sz="1" w:space="0" w:color="AAAAAA"/>
              <w:bottom w:val="single" w:sz="1" w:space="0" w:color="AAAAAA"/>
              <w:right w:val="single" w:sz="1" w:space="0" w:color="AAAAAA"/>
            </w:tcBorders>
            <w:tcMar>
              <w:top w:w="80" w:type="dxa"/>
              <w:left w:w="120" w:type="dxa"/>
              <w:bottom w:w="80" w:type="dxa"/>
              <w:right w:w="120" w:type="dxa"/>
            </w:tcMar>
          </w:tcPr>
          <w:p w14:paraId="251E5659" w14:textId="77777777" w:rsidR="002B0D85" w:rsidRDefault="002B0D85" w:rsidP="00844373">
            <w:r>
              <w:rPr>
                <w:rFonts w:eastAsia="Arial" w:cs="Arial"/>
                <w:sz w:val="21"/>
                <w:szCs w:val="21"/>
              </w:rPr>
              <w:t>Indicadores financieros monitoreados con periodicidad definida. Mejora en la calidad de insumos del MFMP.</w:t>
            </w:r>
          </w:p>
        </w:tc>
        <w:tc>
          <w:tcPr>
            <w:tcW w:w="3413" w:type="dxa"/>
            <w:tcBorders>
              <w:top w:val="single" w:sz="1" w:space="0" w:color="AAAAAA"/>
              <w:left w:val="single" w:sz="1" w:space="0" w:color="AAAAAA"/>
              <w:bottom w:val="single" w:sz="1" w:space="0" w:color="AAAAAA"/>
              <w:right w:val="single" w:sz="1" w:space="0" w:color="AAAAAA"/>
            </w:tcBorders>
            <w:tcMar>
              <w:top w:w="80" w:type="dxa"/>
              <w:left w:w="120" w:type="dxa"/>
              <w:bottom w:w="80" w:type="dxa"/>
              <w:right w:w="120" w:type="dxa"/>
            </w:tcMar>
          </w:tcPr>
          <w:p w14:paraId="17E36927" w14:textId="77777777" w:rsidR="002B0D85" w:rsidRDefault="002B0D85" w:rsidP="00844373">
            <w:r>
              <w:rPr>
                <w:rFonts w:eastAsia="Arial" w:cs="Arial"/>
                <w:sz w:val="21"/>
                <w:szCs w:val="21"/>
              </w:rPr>
              <w:t>Número de indicadores calculados y reportados. Calidad técnica de la actualización anual del MFMP.</w:t>
            </w:r>
          </w:p>
        </w:tc>
      </w:tr>
    </w:tbl>
    <w:p w14:paraId="61D1A2F8" w14:textId="4261E692" w:rsidR="00636D92" w:rsidRDefault="002B0D85" w:rsidP="00636D92">
      <w:r w:rsidRPr="002B0D85">
        <w:rPr>
          <w:b/>
        </w:rPr>
        <w:t>Fuente</w:t>
      </w:r>
      <w:r w:rsidRPr="002B0D85">
        <w:t>: elaboración propia.</w:t>
      </w:r>
    </w:p>
    <w:p w14:paraId="590E4AD9" w14:textId="77777777" w:rsidR="00636D92" w:rsidRDefault="00636D92" w:rsidP="00636D92"/>
    <w:p w14:paraId="6807DA48" w14:textId="77777777" w:rsidR="00636D92" w:rsidRDefault="00636D92" w:rsidP="00636D92"/>
    <w:p w14:paraId="683EC83B" w14:textId="77777777" w:rsidR="003C5C8E" w:rsidRDefault="003C5C8E" w:rsidP="00636D92"/>
    <w:p w14:paraId="1F5882CC" w14:textId="77777777" w:rsidR="002B0D85" w:rsidRDefault="002B0D85" w:rsidP="00636D92"/>
    <w:p w14:paraId="4E0D6331" w14:textId="5148EF8B" w:rsidR="005F7B7A" w:rsidRDefault="00B63E21" w:rsidP="00B63E21">
      <w:pPr>
        <w:spacing w:after="480"/>
        <w:jc w:val="center"/>
        <w:rPr>
          <w:rFonts w:cs="Arial"/>
          <w:szCs w:val="24"/>
        </w:rPr>
      </w:pPr>
      <w:r>
        <w:rPr>
          <w:rFonts w:cs="Arial"/>
          <w:szCs w:val="24"/>
        </w:rPr>
        <w:t>CAPÍTULO III</w:t>
      </w:r>
    </w:p>
    <w:p w14:paraId="64447496" w14:textId="3061E71C" w:rsidR="003D5215" w:rsidRDefault="003D5215" w:rsidP="003D5215">
      <w:pPr>
        <w:pStyle w:val="Ttulo1"/>
      </w:pPr>
      <w:bookmarkStart w:id="58" w:name="_Toc231741450"/>
      <w:r w:rsidRPr="003D5215">
        <w:t>3.</w:t>
      </w:r>
      <w:r>
        <w:t xml:space="preserve">  </w:t>
      </w:r>
      <w:r w:rsidRPr="003D5215">
        <w:t>DESARROLLO DE LA PRÁCTICA</w:t>
      </w:r>
      <w:bookmarkEnd w:id="58"/>
    </w:p>
    <w:p w14:paraId="790595A4" w14:textId="11E67030" w:rsidR="004A4EF2" w:rsidRDefault="003A6996" w:rsidP="00590728">
      <w:pPr>
        <w:spacing w:after="480"/>
        <w:rPr>
          <w:rFonts w:cs="Arial"/>
          <w:szCs w:val="24"/>
        </w:rPr>
      </w:pPr>
      <w:r w:rsidRPr="003A6996">
        <w:rPr>
          <w:rFonts w:cs="Arial"/>
          <w:szCs w:val="24"/>
        </w:rPr>
        <w:t>El desarrollo de la práctica implicó una articulación constante entre el conocimiento normativo, la revisión documental y el análisis cuantitativo de variables fiscales. Esta dinámica permitió no solo cumplir con las tareas asignadas en el área de presupuesto de la Alcaldía Municipal, sino también aportar criterios técnicos que fundamentan las proyecciones y medidas del MFMP actualizado.</w:t>
      </w:r>
    </w:p>
    <w:p w14:paraId="3B82BE57" w14:textId="1A97BF05" w:rsidR="003D5215" w:rsidRDefault="003D5215" w:rsidP="003D5215">
      <w:pPr>
        <w:pStyle w:val="Ttulo2"/>
        <w:spacing w:line="240" w:lineRule="auto"/>
      </w:pPr>
      <w:bookmarkStart w:id="59" w:name="_Toc231741451"/>
      <w:r w:rsidRPr="0075756E">
        <w:t>3.1 OBJETIVO ESPECÍFICO 1</w:t>
      </w:r>
      <w:r w:rsidRPr="003D5215">
        <w:t>: Consolidar la base técnica y documental del municipio mediante la recolección de información histórica, para establecer los supuestos fiscales</w:t>
      </w:r>
      <w:bookmarkEnd w:id="59"/>
    </w:p>
    <w:p w14:paraId="41695DD5" w14:textId="1AB9F8B0" w:rsidR="003D5215" w:rsidRDefault="003A6BA2" w:rsidP="00590728">
      <w:pPr>
        <w:spacing w:before="360" w:after="480"/>
        <w:rPr>
          <w:rFonts w:cs="Arial"/>
          <w:szCs w:val="24"/>
        </w:rPr>
      </w:pPr>
      <w:r w:rsidRPr="003A6BA2">
        <w:rPr>
          <w:rFonts w:cs="Arial"/>
          <w:szCs w:val="24"/>
        </w:rPr>
        <w:t>La formulación de un Marco Fiscal de Mediano Plazo técnicamente sólido no empieza con las proyecciones sino con una pregunta anterior y más exigente: ¿con qué información se cuenta, quién la tiene, en qué condiciones está y qué supuestos son razonables a partir de ella? Responder esa pregunta fue el contenido real de este primer objetivo, que correspondió a la fase de preparación y alistamiento del proceso de actualización del MFMP 2026–2035 del municipio de Aguachica.</w:t>
      </w:r>
    </w:p>
    <w:p w14:paraId="0822E1DF" w14:textId="078AEFB8" w:rsidR="003A6BA2" w:rsidRPr="003A6BA2" w:rsidRDefault="003A6BA2" w:rsidP="0075756E">
      <w:pPr>
        <w:pStyle w:val="Ttulo3"/>
      </w:pPr>
      <w:bookmarkStart w:id="60" w:name="_Toc231741452"/>
      <w:r w:rsidRPr="003A6BA2">
        <w:t xml:space="preserve">3.1.1 </w:t>
      </w:r>
      <w:r w:rsidR="00865163">
        <w:t>C</w:t>
      </w:r>
      <w:r w:rsidR="00865163" w:rsidRPr="003A6BA2">
        <w:t>onformación del equipo técnico</w:t>
      </w:r>
      <w:bookmarkEnd w:id="60"/>
    </w:p>
    <w:p w14:paraId="2530EC17" w14:textId="4A357817" w:rsidR="003D5215" w:rsidRDefault="003A6BA2" w:rsidP="00590728">
      <w:pPr>
        <w:spacing w:after="480"/>
        <w:rPr>
          <w:rFonts w:cs="Arial"/>
          <w:szCs w:val="24"/>
        </w:rPr>
      </w:pPr>
      <w:r w:rsidRPr="003A6BA2">
        <w:rPr>
          <w:rFonts w:cs="Arial"/>
          <w:szCs w:val="24"/>
        </w:rPr>
        <w:t>El proceso de recolección de información se desarrolló en el marco de un equipo técnico integrado por tres practicantes adscritos al área de presupuesto de la Secretaría de Hacienda, bajo la supervisión directa de la funcionaria responsable del proceso.</w:t>
      </w:r>
      <w:r>
        <w:rPr>
          <w:rFonts w:cs="Arial"/>
          <w:szCs w:val="24"/>
        </w:rPr>
        <w:t xml:space="preserve"> </w:t>
      </w:r>
      <w:r w:rsidRPr="003A6BA2">
        <w:rPr>
          <w:rFonts w:cs="Arial"/>
          <w:szCs w:val="24"/>
        </w:rPr>
        <w:t xml:space="preserve">Cuando los datos requeridos no podían obtenerse directamente desde el área de presupuesto, se solicitaba orientación a la supervisora sobre qué dependencia o funcionario debía consultarse. </w:t>
      </w:r>
    </w:p>
    <w:p w14:paraId="2264F21F" w14:textId="66225DD0" w:rsidR="003A6BA2" w:rsidRDefault="003A6BA2" w:rsidP="00590728">
      <w:pPr>
        <w:spacing w:after="480"/>
        <w:rPr>
          <w:rFonts w:cs="Arial"/>
          <w:szCs w:val="24"/>
        </w:rPr>
      </w:pPr>
      <w:r w:rsidRPr="003A6BA2">
        <w:rPr>
          <w:rFonts w:cs="Arial"/>
          <w:szCs w:val="24"/>
        </w:rPr>
        <w:t xml:space="preserve">Las fuentes de información consultadas fueron de diversa naturaleza. A nivel interno se accedió a los archivos de ejecución presupuestal disponibles en el área, </w:t>
      </w:r>
      <w:r w:rsidRPr="003A6BA2">
        <w:rPr>
          <w:rFonts w:cs="Arial"/>
          <w:szCs w:val="24"/>
        </w:rPr>
        <w:lastRenderedPageBreak/>
        <w:t>a los registros del sistema Suite Neptuno y a la información reportada en el Consolidador de Hacienda e Información Pública (CHIP). A nivel externo se consultó el sistema de información y consulta de distribuciones del SGP (SICODIS) para las proyecciones del Sistema General de Participaciones</w:t>
      </w:r>
      <w:r>
        <w:rPr>
          <w:rFonts w:cs="Arial"/>
          <w:szCs w:val="24"/>
        </w:rPr>
        <w:t>.</w:t>
      </w:r>
    </w:p>
    <w:p w14:paraId="7EDC83CF" w14:textId="737D9827" w:rsidR="003A6BA2" w:rsidRDefault="003A6BA2" w:rsidP="0075756E">
      <w:pPr>
        <w:pStyle w:val="Ttulo3"/>
      </w:pPr>
      <w:bookmarkStart w:id="61" w:name="_Toc231741453"/>
      <w:r>
        <w:t xml:space="preserve">3.1.2 </w:t>
      </w:r>
      <w:r w:rsidR="00865163">
        <w:t>D</w:t>
      </w:r>
      <w:r w:rsidR="00865163" w:rsidRPr="00DF4CF2">
        <w:t>epuración y validación de la información</w:t>
      </w:r>
      <w:bookmarkEnd w:id="61"/>
    </w:p>
    <w:p w14:paraId="70FDB52B" w14:textId="1E076164" w:rsidR="00DF4CF2" w:rsidRDefault="00DF4CF2" w:rsidP="00590728">
      <w:pPr>
        <w:spacing w:after="480"/>
        <w:rPr>
          <w:rFonts w:cs="Arial"/>
          <w:szCs w:val="24"/>
        </w:rPr>
      </w:pPr>
      <w:r w:rsidRPr="00DF4CF2">
        <w:rPr>
          <w:rFonts w:cs="Arial"/>
          <w:szCs w:val="24"/>
        </w:rPr>
        <w:t>En la práctica, la mayor parte de los datos requeridos para la actualización del MFMP se encontraban incompletos, desagregados de manera diferente a la requerida por la metodología o presentaban inconsistencias que impedían su uso directo.</w:t>
      </w:r>
      <w:r>
        <w:rPr>
          <w:rFonts w:cs="Arial"/>
          <w:szCs w:val="24"/>
        </w:rPr>
        <w:t xml:space="preserve"> </w:t>
      </w:r>
      <w:r w:rsidRPr="00DF4CF2">
        <w:rPr>
          <w:rFonts w:cs="Arial"/>
          <w:szCs w:val="24"/>
        </w:rPr>
        <w:t>Esto implicó que una proporción relevante del tiempo destinado a este objetivo no se dedicó a recolectar información, sino a procesarla</w:t>
      </w:r>
      <w:r>
        <w:rPr>
          <w:rFonts w:cs="Arial"/>
          <w:szCs w:val="24"/>
        </w:rPr>
        <w:t xml:space="preserve">. </w:t>
      </w:r>
      <w:r w:rsidRPr="00DF4CF2">
        <w:rPr>
          <w:rFonts w:cs="Arial"/>
          <w:szCs w:val="24"/>
        </w:rPr>
        <w:t>Cuando la información disponible no permitía una estimación directa, se optó por supuestos conservadores que no comprometieran la viabilidad fiscal del municipio ni contradijeran los límites establecidos por la Ley 819 de 2003</w:t>
      </w:r>
      <w:r>
        <w:rPr>
          <w:rFonts w:cs="Arial"/>
          <w:szCs w:val="24"/>
        </w:rPr>
        <w:t>.</w:t>
      </w:r>
    </w:p>
    <w:p w14:paraId="27D50EF1" w14:textId="693C1680" w:rsidR="00DF4CF2" w:rsidRDefault="00DF4CF2" w:rsidP="00590728">
      <w:pPr>
        <w:spacing w:after="480"/>
        <w:rPr>
          <w:rFonts w:cs="Arial"/>
          <w:szCs w:val="24"/>
        </w:rPr>
      </w:pPr>
      <w:r w:rsidRPr="00DF4CF2">
        <w:rPr>
          <w:rFonts w:cs="Arial"/>
          <w:szCs w:val="24"/>
        </w:rPr>
        <w:t>El resultado de esta fase fue la construcción de bases de datos históricas de ingresos y gastos para el periodo 2021–2025, estructuradas de forma compatible con la plantilla metodológica del MFMP, que sirvieron como insumo directo para las proyecciones desarrolladas en el objetivo siguiente.</w:t>
      </w:r>
    </w:p>
    <w:p w14:paraId="743191BF" w14:textId="3FF2B7BA" w:rsidR="003A6BA2" w:rsidRDefault="003A6BA2" w:rsidP="0075756E">
      <w:pPr>
        <w:pStyle w:val="Ttulo3"/>
      </w:pPr>
      <w:bookmarkStart w:id="62" w:name="_Toc231741454"/>
      <w:r>
        <w:t xml:space="preserve">3.1.3 </w:t>
      </w:r>
      <w:r w:rsidR="00865163">
        <w:t>S</w:t>
      </w:r>
      <w:r w:rsidR="00865163" w:rsidRPr="003A6BA2">
        <w:t>upuestos locales para la proyección de ingresos</w:t>
      </w:r>
      <w:bookmarkEnd w:id="62"/>
    </w:p>
    <w:p w14:paraId="7D021884" w14:textId="77777777" w:rsidR="003A6BA2" w:rsidRDefault="003A6BA2" w:rsidP="00590728">
      <w:pPr>
        <w:spacing w:after="480"/>
        <w:rPr>
          <w:rFonts w:cs="Arial"/>
          <w:szCs w:val="24"/>
        </w:rPr>
      </w:pPr>
      <w:r w:rsidRPr="003A6BA2">
        <w:rPr>
          <w:rFonts w:cs="Arial"/>
          <w:szCs w:val="24"/>
        </w:rPr>
        <w:t xml:space="preserve">Para los ingresos tributarios de comportamiento estable como el impuesto predial, la sobretasa a la gasolina, el impuesto de alumbrado público y otros tributos menores se utilizó la inflación como variable de crecimiento, en coherencia con su dinámica histórica y los ajustes tarifarios permitidos dentro de los límites legales vigentes. </w:t>
      </w:r>
    </w:p>
    <w:p w14:paraId="4F79397E" w14:textId="6E0B3012" w:rsidR="003A6BA2" w:rsidRPr="003A6BA2" w:rsidRDefault="003A6BA2" w:rsidP="00590728">
      <w:pPr>
        <w:spacing w:after="480"/>
        <w:rPr>
          <w:rFonts w:cs="Arial"/>
          <w:szCs w:val="24"/>
        </w:rPr>
      </w:pPr>
      <w:r w:rsidRPr="003A6BA2">
        <w:rPr>
          <w:rFonts w:cs="Arial"/>
          <w:szCs w:val="24"/>
        </w:rPr>
        <w:t>Para los ingresos vinculados a la actividad económica como el impuesto de industria y comercio, las estampillas, la participación en impuestos y los derechos por monopolio se empleó el crecimiento del PIB nominal como variable proxy de la evolución de las bases gravables, dado que su comportamiento está más asociado al dinamismo del tejido empresarial y comercial del municipio que a ajustes tarifarios administrativos.</w:t>
      </w:r>
    </w:p>
    <w:p w14:paraId="404A4438" w14:textId="77777777" w:rsidR="003A6BA2" w:rsidRDefault="003A6BA2" w:rsidP="00590728">
      <w:pPr>
        <w:spacing w:after="480"/>
        <w:rPr>
          <w:rFonts w:cs="Arial"/>
          <w:szCs w:val="24"/>
        </w:rPr>
      </w:pPr>
      <w:r w:rsidRPr="003A6BA2">
        <w:rPr>
          <w:rFonts w:cs="Arial"/>
          <w:szCs w:val="24"/>
        </w:rPr>
        <w:t xml:space="preserve">En el caso de ingresos no tributarios y transferencias con alta volatilidad o intermitencia tales como contribuciones, tasas, multas, venta de bienes y servicios y otras transferencias se adoptó un enfoque basado en promedios históricos del recaudo efectivo, excluyendo valores atípicos cuando fue necesario, y ajustados posteriormente por inflación. </w:t>
      </w:r>
    </w:p>
    <w:p w14:paraId="23A54532" w14:textId="77777777" w:rsidR="003A6BA2" w:rsidRDefault="003A6BA2" w:rsidP="00590728">
      <w:pPr>
        <w:spacing w:after="480"/>
        <w:rPr>
          <w:rFonts w:cs="Arial"/>
          <w:szCs w:val="24"/>
        </w:rPr>
      </w:pPr>
      <w:r w:rsidRPr="003A6BA2">
        <w:rPr>
          <w:rFonts w:cs="Arial"/>
          <w:szCs w:val="24"/>
        </w:rPr>
        <w:lastRenderedPageBreak/>
        <w:t xml:space="preserve">Por su parte, el Sistema General de Participaciones se proyectó tomando como base la información oficial del SICODIS para la vigencia 2026, aplicando un crecimiento conservador del 5 % para los años siguientes, en coherencia con las tendencias históricas de distribución y con un enfoque de prudencia fiscal. </w:t>
      </w:r>
    </w:p>
    <w:p w14:paraId="33DC6D66" w14:textId="7C27F314" w:rsidR="003A6BA2" w:rsidRDefault="003A6BA2" w:rsidP="00590728">
      <w:pPr>
        <w:spacing w:after="480"/>
        <w:rPr>
          <w:rFonts w:cs="Arial"/>
          <w:szCs w:val="24"/>
        </w:rPr>
      </w:pPr>
      <w:r w:rsidRPr="003A6BA2">
        <w:rPr>
          <w:rFonts w:cs="Arial"/>
          <w:szCs w:val="24"/>
        </w:rPr>
        <w:t>Finalmente, los ingresos de capital se estimaron a partir de promedios históricos y se mantuvieron constantes en términos reales, considerando su carácter no recurrente y su alta incertidumbre estructural.</w:t>
      </w:r>
    </w:p>
    <w:p w14:paraId="68A21600" w14:textId="611FCBFE" w:rsidR="003A6BA2" w:rsidRDefault="003A6BA2" w:rsidP="0075756E">
      <w:pPr>
        <w:pStyle w:val="Ttulo3"/>
      </w:pPr>
      <w:bookmarkStart w:id="63" w:name="_Toc231741455"/>
      <w:r>
        <w:t xml:space="preserve">3.1.4 </w:t>
      </w:r>
      <w:r w:rsidR="00865163">
        <w:t>S</w:t>
      </w:r>
      <w:r w:rsidR="00865163" w:rsidRPr="003A6BA2">
        <w:t>upuestos locales para la proyección de gastos</w:t>
      </w:r>
      <w:bookmarkEnd w:id="63"/>
    </w:p>
    <w:p w14:paraId="51DC7937" w14:textId="1F9ECC28" w:rsidR="00855973" w:rsidRDefault="00DF4CF2" w:rsidP="00590728">
      <w:pPr>
        <w:spacing w:after="480"/>
        <w:rPr>
          <w:rFonts w:cs="Arial"/>
          <w:szCs w:val="24"/>
        </w:rPr>
      </w:pPr>
      <w:r w:rsidRPr="00DF4CF2">
        <w:rPr>
          <w:rFonts w:cs="Arial"/>
          <w:szCs w:val="24"/>
        </w:rPr>
        <w:t>La proyección de gastos se realizó bajo un enfoque conservador, utilizando la inflación como principal variable de ajuste para todos los componentes del gasto de funcionamiento. Para los gastos de personal se consideró la estabilidad de la planta de cargos y los incrementos salariales esperados en línea con la inflación. Para la adquisición de bienes y servicios se proyectó el gasto ajustado por inflación, sin incorporar supuestos adicionales de eficiencia que no contaran con respaldo en decisiones administrativas concretas.</w:t>
      </w:r>
    </w:p>
    <w:p w14:paraId="0033FEDD" w14:textId="0BAC46DC" w:rsidR="00DF4CF2" w:rsidRDefault="00DF4CF2" w:rsidP="00590728">
      <w:pPr>
        <w:spacing w:after="480"/>
        <w:rPr>
          <w:rFonts w:cs="Arial"/>
          <w:szCs w:val="24"/>
        </w:rPr>
      </w:pPr>
      <w:r w:rsidRPr="00DF4CF2">
        <w:rPr>
          <w:rFonts w:cs="Arial"/>
          <w:szCs w:val="24"/>
        </w:rPr>
        <w:t>Las transferencias corrientes se estimaron considerando su carácter recurrente y su evolución histórica, aplicando igualmente la inflación como variable de crecimiento. Las transferencias por concepto de sentencias y conciliaciones se proyectaron bajo un enfoque prudencial, utilizando un valor promedio histórico ajustado y manteniéndolo constante durante el horizonte de proyección, en razón a su carácter incierto y no programable.</w:t>
      </w:r>
    </w:p>
    <w:p w14:paraId="53E6E82B" w14:textId="3B6A3E8E" w:rsidR="00DF4CF2" w:rsidRDefault="00DF4CF2" w:rsidP="00590728">
      <w:pPr>
        <w:spacing w:after="480"/>
        <w:rPr>
          <w:rFonts w:cs="Arial"/>
          <w:szCs w:val="24"/>
        </w:rPr>
      </w:pPr>
      <w:r w:rsidRPr="00DF4CF2">
        <w:rPr>
          <w:rFonts w:cs="Arial"/>
          <w:szCs w:val="24"/>
        </w:rPr>
        <w:t>La disminución de pasivos no se proyectó en el horizonte del MFMP, en consideración a su carácter no recurrente y a la ausencia de una política definida de saneamiento que implicara erogaciones futuras por ese concepto.</w:t>
      </w:r>
    </w:p>
    <w:p w14:paraId="3778B640" w14:textId="123CA822" w:rsidR="00DF4CF2" w:rsidRDefault="00DF4CF2" w:rsidP="00590728">
      <w:pPr>
        <w:spacing w:after="480"/>
        <w:rPr>
          <w:rFonts w:cs="Arial"/>
          <w:szCs w:val="24"/>
        </w:rPr>
      </w:pPr>
      <w:r w:rsidRPr="00DF4CF2">
        <w:rPr>
          <w:rFonts w:cs="Arial"/>
          <w:szCs w:val="24"/>
        </w:rPr>
        <w:t>Los gastos de los órganos de control se proyectaron con base en el último valor ejecutado, considerando su carácter obligatorio y recurrente. En todos los casos, los supuestos adoptados se documentaron de forma que permitan su trazabilidad y eventual actualización en futuras vigencias, lo que constituye una buena práctica de gestión fiscal y un requisito implícito de la metodología del MFMP.</w:t>
      </w:r>
    </w:p>
    <w:p w14:paraId="3A3209D3" w14:textId="77777777" w:rsidR="003D5215" w:rsidRDefault="003D5215" w:rsidP="003D5215">
      <w:pPr>
        <w:pStyle w:val="Ttulo2"/>
        <w:spacing w:line="240" w:lineRule="auto"/>
      </w:pPr>
      <w:bookmarkStart w:id="64" w:name="_Toc231741456"/>
      <w:r w:rsidRPr="0075756E">
        <w:lastRenderedPageBreak/>
        <w:t>3.2 OBJETIVO ESPECÍFICO 2</w:t>
      </w:r>
      <w:r w:rsidRPr="003D5215">
        <w:t>: Analizar la sostenibilidad financiera mediante la proyección de ingresos, gastos y deuda, para evaluar el comportamiento fiscal del municipio</w:t>
      </w:r>
      <w:bookmarkEnd w:id="64"/>
    </w:p>
    <w:p w14:paraId="7D7FC58D" w14:textId="760CB44E" w:rsidR="00F70F7B" w:rsidRDefault="005A058A" w:rsidP="000B3441">
      <w:pPr>
        <w:spacing w:after="480"/>
        <w:rPr>
          <w:rFonts w:cs="Arial"/>
          <w:szCs w:val="24"/>
          <w:lang w:val="es-MX"/>
        </w:rPr>
      </w:pPr>
      <w:r w:rsidRPr="005A058A">
        <w:rPr>
          <w:rFonts w:cs="Arial"/>
          <w:szCs w:val="24"/>
          <w:lang w:val="es-MX"/>
        </w:rPr>
        <w:t>Con base en la ejecución presupuestal consolidada al cierre del periodo 2025, se evaluó el nivel de cumplimiento de las metas de recaudo, la estructura y composición de las fuentes de ingreso, la evolución histórica de sus principales determinantes y la dinámica de ejecución del gasto.</w:t>
      </w:r>
    </w:p>
    <w:p w14:paraId="7808BB78" w14:textId="12E732E9" w:rsidR="005A058A" w:rsidRDefault="005A058A" w:rsidP="0075756E">
      <w:pPr>
        <w:pStyle w:val="Ttulo3"/>
        <w:rPr>
          <w:lang w:val="es-MX"/>
        </w:rPr>
      </w:pPr>
      <w:bookmarkStart w:id="65" w:name="_Toc231741457"/>
      <w:r>
        <w:rPr>
          <w:lang w:val="es-MX"/>
        </w:rPr>
        <w:t xml:space="preserve">3.2.1 </w:t>
      </w:r>
      <w:r w:rsidR="00865163">
        <w:rPr>
          <w:lang w:val="es-MX"/>
        </w:rPr>
        <w:t>E</w:t>
      </w:r>
      <w:r w:rsidR="00865163" w:rsidRPr="005A058A">
        <w:rPr>
          <w:lang w:val="es-MX"/>
        </w:rPr>
        <w:t>jecución y evolución de los ingresos totales sin financiación</w:t>
      </w:r>
      <w:bookmarkEnd w:id="65"/>
    </w:p>
    <w:p w14:paraId="4C152E45" w14:textId="1AE86811" w:rsidR="005A058A" w:rsidRDefault="005A058A" w:rsidP="000B3441">
      <w:pPr>
        <w:spacing w:after="480"/>
        <w:rPr>
          <w:rFonts w:cs="Arial"/>
          <w:szCs w:val="24"/>
          <w:lang w:val="es-MX"/>
        </w:rPr>
      </w:pPr>
      <w:r w:rsidRPr="005A058A">
        <w:rPr>
          <w:rFonts w:cs="Arial"/>
          <w:szCs w:val="24"/>
          <w:lang w:val="es-MX"/>
        </w:rPr>
        <w:t>Durante la vigencia 2025, los ingresos totales sin financiación del municipio de Aguachica ascendieron a 185.964 millones de pesos corrientes, superando en 1 % la meta programada de 184.609 millones. Este margen positivo, aunque modesto en términos porcentuales, es técnicamente relevante porque indica que la programación presupuestal del ingreso estuvo sustentada en supuestos consistentes con el comportamiento real del recaudo, evitando tanto la subestimación que limita la planeación como la sobreestimación que compromete la viabilidad de los compromisos.</w:t>
      </w:r>
    </w:p>
    <w:p w14:paraId="5DDD16B5" w14:textId="77777777" w:rsidR="005A058A" w:rsidRPr="005A058A" w:rsidRDefault="005A058A" w:rsidP="000B3441">
      <w:pPr>
        <w:spacing w:after="480"/>
        <w:rPr>
          <w:rFonts w:cs="Arial"/>
          <w:szCs w:val="24"/>
          <w:lang w:val="es-MX"/>
        </w:rPr>
      </w:pPr>
      <w:r w:rsidRPr="005A058A">
        <w:rPr>
          <w:rFonts w:cs="Arial"/>
          <w:szCs w:val="24"/>
          <w:lang w:val="es-MX"/>
        </w:rPr>
        <w:t>La perspectiva histórica refuerza esta lectura. Entre 2021 y 2025, los niveles de ejecución oscilaron entre el 96 % y el 104 %, manteniéndose sistemáticamente cercanos al umbral del 100 %. En 2021, los ingresos ejecutados fueron de 110.103 millones sobre una meta de 114.835 millones (96 %); en 2022, de 123.755 millones sobre 126.696 (98 %); en 2023, de 154.645 millones sobre 149.031 (104 %); y en 2024, de 172.296 millones sobre 167.957 (103 %). Esta consistencia a lo largo de cinco vigencias no es trivial: sugiere una capacidad técnica instalada para proyectar el ingreso con rigor, lo cual es una condición necesaria para elaborar un MFMP con credibilidad.</w:t>
      </w:r>
    </w:p>
    <w:p w14:paraId="0B44E108" w14:textId="4DC92072" w:rsidR="00AF1FBA" w:rsidRPr="00AF1FBA" w:rsidRDefault="00AF1FBA" w:rsidP="00AF1FBA">
      <w:pPr>
        <w:pStyle w:val="Descripcin"/>
        <w:keepNext/>
        <w:rPr>
          <w:rFonts w:ascii="Arial" w:hAnsi="Arial" w:cs="Arial"/>
          <w:i w:val="0"/>
          <w:iCs w:val="0"/>
          <w:color w:val="auto"/>
          <w:sz w:val="24"/>
          <w:szCs w:val="24"/>
        </w:rPr>
      </w:pPr>
      <w:bookmarkStart w:id="66" w:name="_Toc231741489"/>
      <w:r w:rsidRPr="00AF1FBA">
        <w:rPr>
          <w:rFonts w:ascii="Arial" w:hAnsi="Arial" w:cs="Arial"/>
          <w:b/>
          <w:bCs/>
          <w:i w:val="0"/>
          <w:iCs w:val="0"/>
          <w:color w:val="auto"/>
          <w:sz w:val="24"/>
          <w:szCs w:val="24"/>
        </w:rPr>
        <w:lastRenderedPageBreak/>
        <w:t xml:space="preserve">Figura  </w:t>
      </w:r>
      <w:r w:rsidRPr="00AF1FBA">
        <w:rPr>
          <w:rFonts w:ascii="Arial" w:hAnsi="Arial" w:cs="Arial"/>
          <w:b/>
          <w:bCs/>
          <w:i w:val="0"/>
          <w:iCs w:val="0"/>
          <w:color w:val="auto"/>
          <w:sz w:val="24"/>
          <w:szCs w:val="24"/>
        </w:rPr>
        <w:fldChar w:fldCharType="begin"/>
      </w:r>
      <w:r w:rsidRPr="00AF1FBA">
        <w:rPr>
          <w:rFonts w:ascii="Arial" w:hAnsi="Arial" w:cs="Arial"/>
          <w:b/>
          <w:bCs/>
          <w:i w:val="0"/>
          <w:iCs w:val="0"/>
          <w:color w:val="auto"/>
          <w:sz w:val="24"/>
          <w:szCs w:val="24"/>
        </w:rPr>
        <w:instrText xml:space="preserve"> SEQ Figura_ \* ARABIC </w:instrText>
      </w:r>
      <w:r w:rsidRPr="00AF1FBA">
        <w:rPr>
          <w:rFonts w:ascii="Arial" w:hAnsi="Arial" w:cs="Arial"/>
          <w:b/>
          <w:bCs/>
          <w:i w:val="0"/>
          <w:iCs w:val="0"/>
          <w:color w:val="auto"/>
          <w:sz w:val="24"/>
          <w:szCs w:val="24"/>
        </w:rPr>
        <w:fldChar w:fldCharType="separate"/>
      </w:r>
      <w:r w:rsidR="008D76B2">
        <w:rPr>
          <w:rFonts w:ascii="Arial" w:hAnsi="Arial" w:cs="Arial"/>
          <w:b/>
          <w:bCs/>
          <w:i w:val="0"/>
          <w:iCs w:val="0"/>
          <w:noProof/>
          <w:color w:val="auto"/>
          <w:sz w:val="24"/>
          <w:szCs w:val="24"/>
        </w:rPr>
        <w:t>4</w:t>
      </w:r>
      <w:r w:rsidRPr="00AF1FBA">
        <w:rPr>
          <w:rFonts w:ascii="Arial" w:hAnsi="Arial" w:cs="Arial"/>
          <w:b/>
          <w:bCs/>
          <w:i w:val="0"/>
          <w:iCs w:val="0"/>
          <w:color w:val="auto"/>
          <w:sz w:val="24"/>
          <w:szCs w:val="24"/>
        </w:rPr>
        <w:fldChar w:fldCharType="end"/>
      </w:r>
      <w:r w:rsidRPr="00AF1FBA">
        <w:rPr>
          <w:rFonts w:ascii="Arial" w:hAnsi="Arial" w:cs="Arial"/>
          <w:i w:val="0"/>
          <w:iCs w:val="0"/>
          <w:color w:val="auto"/>
          <w:sz w:val="24"/>
          <w:szCs w:val="24"/>
        </w:rPr>
        <w:t>. Evolución de los ingresos totales sin financiación: programado vs. ejecutado, 2021-2025</w:t>
      </w:r>
      <w:bookmarkEnd w:id="66"/>
    </w:p>
    <w:p w14:paraId="47D71413" w14:textId="1004C894" w:rsidR="00AF1FBA" w:rsidRDefault="00AF1FBA" w:rsidP="000B3441">
      <w:pPr>
        <w:spacing w:after="480"/>
        <w:rPr>
          <w:rFonts w:cs="Arial"/>
          <w:szCs w:val="24"/>
          <w:lang w:val="es-MX"/>
        </w:rPr>
      </w:pPr>
      <w:r>
        <w:rPr>
          <w:noProof/>
        </w:rPr>
        <w:drawing>
          <wp:inline distT="0" distB="0" distL="0" distR="0" wp14:anchorId="228F9BD3" wp14:editId="1A1A050F">
            <wp:extent cx="5518298" cy="2902688"/>
            <wp:effectExtent l="0" t="0" r="6350" b="12065"/>
            <wp:docPr id="297632649" name="Gráfico 1">
              <a:extLst xmlns:a="http://schemas.openxmlformats.org/drawingml/2006/main">
                <a:ext uri="{FF2B5EF4-FFF2-40B4-BE49-F238E27FC236}">
                  <a16:creationId xmlns:a16="http://schemas.microsoft.com/office/drawing/2014/main" id="{0F071563-0A2F-15AB-07AE-435CCBD84B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879B67C" w14:textId="090478D6" w:rsidR="00AF1FBA" w:rsidRDefault="00AF1FBA" w:rsidP="00AF1FBA">
      <w:pPr>
        <w:spacing w:before="0" w:after="480"/>
        <w:rPr>
          <w:rFonts w:cs="Arial"/>
          <w:szCs w:val="24"/>
          <w:lang w:val="es-MX"/>
        </w:rPr>
      </w:pPr>
      <w:r w:rsidRPr="00AF1FBA">
        <w:rPr>
          <w:rFonts w:cs="Arial"/>
          <w:b/>
          <w:bCs/>
          <w:szCs w:val="24"/>
          <w:lang w:val="es-MX"/>
        </w:rPr>
        <w:t>Nota</w:t>
      </w:r>
      <w:r w:rsidRPr="00AF1FBA">
        <w:rPr>
          <w:rFonts w:cs="Arial"/>
          <w:szCs w:val="24"/>
          <w:lang w:val="es-MX"/>
        </w:rPr>
        <w:t>. La figura presenta la evolución de los ingresos totales sin financiación del municipio durante el periodo 2021–2025, comparando los valores programados en el presupuesto con los efectivamente ejecutados en cada vigencia. Nota. La figura presenta la evolución de los ingresos totales sin financiación del municipio durante el periodo 2021–2025, comparando los valores programados en el presupuesto con los efectivamente ejecutados en cada vigencia</w:t>
      </w:r>
    </w:p>
    <w:p w14:paraId="08B7A34F" w14:textId="48AFB0B8" w:rsidR="005A058A" w:rsidRDefault="005A058A" w:rsidP="0075756E">
      <w:pPr>
        <w:pStyle w:val="Ttulo3"/>
      </w:pPr>
      <w:bookmarkStart w:id="67" w:name="_Toc231741458"/>
      <w:r>
        <w:t xml:space="preserve">3.2.2 </w:t>
      </w:r>
      <w:r w:rsidR="00865163">
        <w:t>C</w:t>
      </w:r>
      <w:r w:rsidR="00865163" w:rsidRPr="005A058A">
        <w:t>omposición de los ingresos totales sin financiación</w:t>
      </w:r>
      <w:bookmarkEnd w:id="67"/>
    </w:p>
    <w:p w14:paraId="543A0F9B" w14:textId="77777777" w:rsidR="005A058A" w:rsidRPr="005A058A" w:rsidRDefault="005A058A" w:rsidP="000B3441">
      <w:pPr>
        <w:spacing w:after="480"/>
        <w:rPr>
          <w:rFonts w:cs="Arial"/>
          <w:szCs w:val="24"/>
          <w:lang w:val="es-MX"/>
        </w:rPr>
      </w:pPr>
      <w:r w:rsidRPr="005A058A">
        <w:rPr>
          <w:rFonts w:cs="Arial"/>
          <w:szCs w:val="24"/>
          <w:lang w:val="es-MX"/>
        </w:rPr>
        <w:t>La estructura de los ingresos del municipio revela una dependencia marcada de las transferencias corrientes, que en 2025 representaron el 80,25 % del total (149.237 millones de pesos), mientras que los ingresos tributarios aportaron el 17,70 % (32.914 millones) y los no tributarios apenas el 1,56 % (2.893 millones). Los ingresos de capital resultaron marginales, con una participación del 0,50 % (921 millones).</w:t>
      </w:r>
    </w:p>
    <w:p w14:paraId="206CE81B" w14:textId="058EA349" w:rsidR="005A058A" w:rsidRDefault="005A058A" w:rsidP="000B3441">
      <w:pPr>
        <w:spacing w:after="480"/>
        <w:rPr>
          <w:rFonts w:cs="Arial"/>
          <w:szCs w:val="24"/>
          <w:lang w:val="es-MX"/>
        </w:rPr>
      </w:pPr>
      <w:r w:rsidRPr="005A058A">
        <w:rPr>
          <w:rFonts w:cs="Arial"/>
          <w:szCs w:val="24"/>
          <w:lang w:val="es-MX"/>
        </w:rPr>
        <w:t xml:space="preserve">Esta distribución no es una anomalía puntual sino la expresión de una tendencia estructural: durante el periodo 2021–2025, las transferencias explicaron en promedio cerca del 79,70 % del ingreso total, los tributos propios el 18,01 % y los no tributarios el 1,71 %. La estabilidad de estas proporciones a lo largo del tiempo confirma que el patrón de financiamiento municipal no ha variado sustancialmente, lo cual tiene implicaciones directas sobre la autonomía fiscal del territorio. </w:t>
      </w:r>
    </w:p>
    <w:p w14:paraId="6CE17B5E" w14:textId="0896F938" w:rsidR="004F053E" w:rsidRPr="004F053E" w:rsidRDefault="004F053E" w:rsidP="004F053E">
      <w:pPr>
        <w:pStyle w:val="Descripcin"/>
        <w:keepNext/>
        <w:rPr>
          <w:rFonts w:ascii="Arial" w:hAnsi="Arial" w:cs="Arial"/>
          <w:i w:val="0"/>
          <w:iCs w:val="0"/>
          <w:color w:val="auto"/>
          <w:sz w:val="24"/>
          <w:szCs w:val="24"/>
        </w:rPr>
      </w:pPr>
      <w:bookmarkStart w:id="68" w:name="_Toc231741490"/>
      <w:r w:rsidRPr="004F053E">
        <w:rPr>
          <w:rFonts w:ascii="Arial" w:hAnsi="Arial" w:cs="Arial"/>
          <w:b/>
          <w:bCs/>
          <w:i w:val="0"/>
          <w:iCs w:val="0"/>
          <w:color w:val="auto"/>
          <w:sz w:val="24"/>
          <w:szCs w:val="24"/>
        </w:rPr>
        <w:lastRenderedPageBreak/>
        <w:t xml:space="preserve">Figura  </w:t>
      </w:r>
      <w:r w:rsidRPr="004F053E">
        <w:rPr>
          <w:rFonts w:ascii="Arial" w:hAnsi="Arial" w:cs="Arial"/>
          <w:b/>
          <w:bCs/>
          <w:i w:val="0"/>
          <w:iCs w:val="0"/>
          <w:color w:val="auto"/>
          <w:sz w:val="24"/>
          <w:szCs w:val="24"/>
        </w:rPr>
        <w:fldChar w:fldCharType="begin"/>
      </w:r>
      <w:r w:rsidRPr="004F053E">
        <w:rPr>
          <w:rFonts w:ascii="Arial" w:hAnsi="Arial" w:cs="Arial"/>
          <w:b/>
          <w:bCs/>
          <w:i w:val="0"/>
          <w:iCs w:val="0"/>
          <w:color w:val="auto"/>
          <w:sz w:val="24"/>
          <w:szCs w:val="24"/>
        </w:rPr>
        <w:instrText xml:space="preserve"> SEQ Figura_ \* ARABIC </w:instrText>
      </w:r>
      <w:r w:rsidRPr="004F053E">
        <w:rPr>
          <w:rFonts w:ascii="Arial" w:hAnsi="Arial" w:cs="Arial"/>
          <w:b/>
          <w:bCs/>
          <w:i w:val="0"/>
          <w:iCs w:val="0"/>
          <w:color w:val="auto"/>
          <w:sz w:val="24"/>
          <w:szCs w:val="24"/>
        </w:rPr>
        <w:fldChar w:fldCharType="separate"/>
      </w:r>
      <w:r w:rsidR="008D76B2">
        <w:rPr>
          <w:rFonts w:ascii="Arial" w:hAnsi="Arial" w:cs="Arial"/>
          <w:b/>
          <w:bCs/>
          <w:i w:val="0"/>
          <w:iCs w:val="0"/>
          <w:noProof/>
          <w:color w:val="auto"/>
          <w:sz w:val="24"/>
          <w:szCs w:val="24"/>
        </w:rPr>
        <w:t>5</w:t>
      </w:r>
      <w:r w:rsidRPr="004F053E">
        <w:rPr>
          <w:rFonts w:ascii="Arial" w:hAnsi="Arial" w:cs="Arial"/>
          <w:b/>
          <w:bCs/>
          <w:i w:val="0"/>
          <w:iCs w:val="0"/>
          <w:color w:val="auto"/>
          <w:sz w:val="24"/>
          <w:szCs w:val="24"/>
        </w:rPr>
        <w:fldChar w:fldCharType="end"/>
      </w:r>
      <w:r w:rsidRPr="004F053E">
        <w:rPr>
          <w:rFonts w:ascii="Arial" w:hAnsi="Arial" w:cs="Arial"/>
          <w:i w:val="0"/>
          <w:iCs w:val="0"/>
          <w:color w:val="auto"/>
          <w:sz w:val="24"/>
          <w:szCs w:val="24"/>
        </w:rPr>
        <w:t>. Composición de los ingresos totales sin financiación por fuente, 2021-2025</w:t>
      </w:r>
      <w:bookmarkEnd w:id="68"/>
    </w:p>
    <w:p w14:paraId="7772E752" w14:textId="70C3F043" w:rsidR="004F053E" w:rsidRDefault="004F053E" w:rsidP="000B3441">
      <w:pPr>
        <w:spacing w:after="480"/>
        <w:rPr>
          <w:rFonts w:cs="Arial"/>
          <w:szCs w:val="24"/>
          <w:lang w:val="es-MX"/>
        </w:rPr>
      </w:pPr>
      <w:r>
        <w:rPr>
          <w:noProof/>
        </w:rPr>
        <w:drawing>
          <wp:inline distT="0" distB="0" distL="0" distR="0" wp14:anchorId="27E5360C" wp14:editId="7C7A1E80">
            <wp:extent cx="5613400" cy="3329940"/>
            <wp:effectExtent l="0" t="0" r="6350" b="3810"/>
            <wp:docPr id="720452125" name="Gráfico 1">
              <a:extLst xmlns:a="http://schemas.openxmlformats.org/drawingml/2006/main">
                <a:ext uri="{FF2B5EF4-FFF2-40B4-BE49-F238E27FC236}">
                  <a16:creationId xmlns:a16="http://schemas.microsoft.com/office/drawing/2014/main" id="{AF66014A-9CEC-717E-1C5B-5BE08F1FA0C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64E75F7" w14:textId="3E98F81A" w:rsidR="004F053E" w:rsidRDefault="004F053E" w:rsidP="004F053E">
      <w:pPr>
        <w:spacing w:before="0" w:after="480"/>
        <w:rPr>
          <w:rFonts w:cs="Arial"/>
          <w:szCs w:val="24"/>
          <w:lang w:val="es-MX"/>
        </w:rPr>
      </w:pPr>
      <w:r w:rsidRPr="004F053E">
        <w:rPr>
          <w:rFonts w:cs="Arial"/>
          <w:b/>
          <w:bCs/>
          <w:szCs w:val="24"/>
          <w:lang w:val="es-MX"/>
        </w:rPr>
        <w:t>Nota</w:t>
      </w:r>
      <w:r w:rsidRPr="004F053E">
        <w:rPr>
          <w:rFonts w:cs="Arial"/>
          <w:szCs w:val="24"/>
          <w:lang w:val="es-MX"/>
        </w:rPr>
        <w:t>. La figura presenta la distribución de los ingresos totales sin financiación del municipio durante el periodo 2021–2025, desagregados por sus principales fuentes (transferencias corrientes, ingresos tributarios, no tributarios e ingresos de capital), permitiendo identificar la estructura de financiación y el grado de dependencia de cada componente. Fuente: Secretaría de Hacienda Municipal de Aguachica. Elaboración propia.</w:t>
      </w:r>
    </w:p>
    <w:p w14:paraId="03C4CD50" w14:textId="507C5CDA" w:rsidR="005A058A" w:rsidRPr="005A058A" w:rsidRDefault="005A058A" w:rsidP="0075756E">
      <w:pPr>
        <w:pStyle w:val="Ttulo3"/>
      </w:pPr>
      <w:bookmarkStart w:id="69" w:name="_Toc231741459"/>
      <w:r>
        <w:t xml:space="preserve">3.2.3 </w:t>
      </w:r>
      <w:r w:rsidR="00865163">
        <w:t>E</w:t>
      </w:r>
      <w:r w:rsidR="00865163" w:rsidRPr="005A058A">
        <w:t>volución del recaudo tributario por tipo de impuesto</w:t>
      </w:r>
      <w:bookmarkEnd w:id="69"/>
    </w:p>
    <w:p w14:paraId="3005286A" w14:textId="77777777" w:rsidR="005A058A" w:rsidRPr="005A058A" w:rsidRDefault="005A058A" w:rsidP="000B3441">
      <w:pPr>
        <w:spacing w:after="480"/>
        <w:rPr>
          <w:rFonts w:cs="Arial"/>
          <w:szCs w:val="24"/>
          <w:lang w:val="es-MX"/>
        </w:rPr>
      </w:pPr>
      <w:r w:rsidRPr="005A058A">
        <w:rPr>
          <w:rFonts w:cs="Arial"/>
          <w:szCs w:val="24"/>
          <w:lang w:val="es-MX"/>
        </w:rPr>
        <w:t>En 2025, el recaudo tributario total ascendió a 32.914 millones de pesos. El impuesto de alumbrado público lideró la estructura con 10.043 millones (31 %), seguido del impuesto de industria y comercio con 8.331 millones (25 %), el predial unificado con 4.761 millones (14 %), otros tributos con 4.587 millones (14 %), la sobretasa a la gasolina con 3.042 millones (9 %) y las estampillas con 2.150 millones (7 %).</w:t>
      </w:r>
    </w:p>
    <w:p w14:paraId="6687112F" w14:textId="2B5247BD" w:rsidR="005A058A" w:rsidRDefault="005A058A" w:rsidP="000B3441">
      <w:pPr>
        <w:spacing w:after="480"/>
        <w:rPr>
          <w:rFonts w:cs="Arial"/>
          <w:szCs w:val="24"/>
          <w:lang w:val="es-MX"/>
        </w:rPr>
      </w:pPr>
      <w:r w:rsidRPr="005A058A">
        <w:rPr>
          <w:rFonts w:cs="Arial"/>
          <w:szCs w:val="24"/>
          <w:lang w:val="es-MX"/>
        </w:rPr>
        <w:t xml:space="preserve">El análisis histórico permite identificar que la estructura tributaria ha permanecido relativamente estable entre 2021 y 2025, con el impuesto de alumbrado público y el de industria y comercio como sus componentes dominantes. El año 2023 introdujo una variación transitoria, cuando industria y comercio alcanzó el 33 % del </w:t>
      </w:r>
      <w:r w:rsidRPr="005A058A">
        <w:rPr>
          <w:rFonts w:cs="Arial"/>
          <w:szCs w:val="24"/>
          <w:lang w:val="es-MX"/>
        </w:rPr>
        <w:lastRenderedPageBreak/>
        <w:t>recaudo</w:t>
      </w:r>
      <w:r w:rsidR="00865163">
        <w:rPr>
          <w:rFonts w:cs="Arial"/>
          <w:szCs w:val="24"/>
          <w:lang w:val="es-MX"/>
        </w:rPr>
        <w:t xml:space="preserve">, </w:t>
      </w:r>
      <w:r w:rsidRPr="005A058A">
        <w:rPr>
          <w:rFonts w:cs="Arial"/>
          <w:szCs w:val="24"/>
          <w:lang w:val="es-MX"/>
        </w:rPr>
        <w:t>superando al alumbrado público, que cayó al 27 %, impulsado por la reactivación económica del periodo pospandémico. En 2024, la estructura retornó a su configuración habitual: alumbrado público en 33 % e industria y comercio en 25 %.</w:t>
      </w:r>
    </w:p>
    <w:p w14:paraId="4A94B384" w14:textId="3EDE6C20" w:rsidR="004F053E" w:rsidRPr="004F053E" w:rsidRDefault="004F053E" w:rsidP="004F053E">
      <w:pPr>
        <w:pStyle w:val="Descripcin"/>
        <w:keepNext/>
        <w:rPr>
          <w:rFonts w:ascii="Arial" w:hAnsi="Arial" w:cs="Arial"/>
          <w:i w:val="0"/>
          <w:iCs w:val="0"/>
          <w:color w:val="auto"/>
          <w:sz w:val="24"/>
          <w:szCs w:val="24"/>
        </w:rPr>
      </w:pPr>
      <w:bookmarkStart w:id="70" w:name="_Toc231741491"/>
      <w:r w:rsidRPr="004F053E">
        <w:rPr>
          <w:rFonts w:ascii="Arial" w:hAnsi="Arial" w:cs="Arial"/>
          <w:b/>
          <w:bCs/>
          <w:i w:val="0"/>
          <w:iCs w:val="0"/>
          <w:color w:val="auto"/>
          <w:sz w:val="24"/>
          <w:szCs w:val="24"/>
        </w:rPr>
        <w:t xml:space="preserve">Figura  </w:t>
      </w:r>
      <w:r w:rsidRPr="004F053E">
        <w:rPr>
          <w:rFonts w:ascii="Arial" w:hAnsi="Arial" w:cs="Arial"/>
          <w:b/>
          <w:bCs/>
          <w:i w:val="0"/>
          <w:iCs w:val="0"/>
          <w:color w:val="auto"/>
          <w:sz w:val="24"/>
          <w:szCs w:val="24"/>
        </w:rPr>
        <w:fldChar w:fldCharType="begin"/>
      </w:r>
      <w:r w:rsidRPr="004F053E">
        <w:rPr>
          <w:rFonts w:ascii="Arial" w:hAnsi="Arial" w:cs="Arial"/>
          <w:b/>
          <w:bCs/>
          <w:i w:val="0"/>
          <w:iCs w:val="0"/>
          <w:color w:val="auto"/>
          <w:sz w:val="24"/>
          <w:szCs w:val="24"/>
        </w:rPr>
        <w:instrText xml:space="preserve"> SEQ Figura_ \* ARABIC </w:instrText>
      </w:r>
      <w:r w:rsidRPr="004F053E">
        <w:rPr>
          <w:rFonts w:ascii="Arial" w:hAnsi="Arial" w:cs="Arial"/>
          <w:b/>
          <w:bCs/>
          <w:i w:val="0"/>
          <w:iCs w:val="0"/>
          <w:color w:val="auto"/>
          <w:sz w:val="24"/>
          <w:szCs w:val="24"/>
        </w:rPr>
        <w:fldChar w:fldCharType="separate"/>
      </w:r>
      <w:r w:rsidR="008D76B2">
        <w:rPr>
          <w:rFonts w:ascii="Arial" w:hAnsi="Arial" w:cs="Arial"/>
          <w:b/>
          <w:bCs/>
          <w:i w:val="0"/>
          <w:iCs w:val="0"/>
          <w:noProof/>
          <w:color w:val="auto"/>
          <w:sz w:val="24"/>
          <w:szCs w:val="24"/>
        </w:rPr>
        <w:t>6</w:t>
      </w:r>
      <w:r w:rsidRPr="004F053E">
        <w:rPr>
          <w:rFonts w:ascii="Arial" w:hAnsi="Arial" w:cs="Arial"/>
          <w:b/>
          <w:bCs/>
          <w:i w:val="0"/>
          <w:iCs w:val="0"/>
          <w:color w:val="auto"/>
          <w:sz w:val="24"/>
          <w:szCs w:val="24"/>
        </w:rPr>
        <w:fldChar w:fldCharType="end"/>
      </w:r>
      <w:r w:rsidRPr="004F053E">
        <w:rPr>
          <w:rFonts w:ascii="Arial" w:hAnsi="Arial" w:cs="Arial"/>
          <w:i w:val="0"/>
          <w:iCs w:val="0"/>
          <w:color w:val="auto"/>
          <w:sz w:val="24"/>
          <w:szCs w:val="24"/>
        </w:rPr>
        <w:t>. Evolución del recaudo de los principales impuestos municipales, 2021-2025</w:t>
      </w:r>
      <w:bookmarkEnd w:id="70"/>
    </w:p>
    <w:p w14:paraId="63C81C19" w14:textId="241A90FD" w:rsidR="004F053E" w:rsidRDefault="004F053E" w:rsidP="000B3441">
      <w:pPr>
        <w:spacing w:after="480"/>
        <w:rPr>
          <w:rFonts w:cs="Arial"/>
          <w:szCs w:val="24"/>
          <w:lang w:val="es-MX"/>
        </w:rPr>
      </w:pPr>
      <w:r>
        <w:rPr>
          <w:noProof/>
        </w:rPr>
        <w:drawing>
          <wp:inline distT="0" distB="0" distL="0" distR="0" wp14:anchorId="2A38EF43" wp14:editId="4E2C8F13">
            <wp:extent cx="5613400" cy="3346450"/>
            <wp:effectExtent l="0" t="0" r="6350" b="6350"/>
            <wp:docPr id="2023619126" name="Gráfico 1">
              <a:extLst xmlns:a="http://schemas.openxmlformats.org/drawingml/2006/main">
                <a:ext uri="{FF2B5EF4-FFF2-40B4-BE49-F238E27FC236}">
                  <a16:creationId xmlns:a16="http://schemas.microsoft.com/office/drawing/2014/main" id="{9A36B9C9-2A16-86FA-A308-2BACD10E96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F7F5632" w14:textId="3929A06D" w:rsidR="004F053E" w:rsidRDefault="004F053E" w:rsidP="004F053E">
      <w:pPr>
        <w:spacing w:before="0" w:after="480"/>
        <w:rPr>
          <w:rFonts w:cs="Arial"/>
          <w:szCs w:val="24"/>
          <w:lang w:val="es-MX"/>
        </w:rPr>
      </w:pPr>
      <w:r w:rsidRPr="004F053E">
        <w:rPr>
          <w:rFonts w:cs="Arial"/>
          <w:b/>
          <w:bCs/>
          <w:szCs w:val="24"/>
          <w:lang w:val="es-MX"/>
        </w:rPr>
        <w:t>Nota</w:t>
      </w:r>
      <w:r w:rsidRPr="004F053E">
        <w:rPr>
          <w:rFonts w:cs="Arial"/>
          <w:szCs w:val="24"/>
          <w:lang w:val="es-MX"/>
        </w:rPr>
        <w:t>. La figura presenta la evolución del recaudo de los principales impuestos municipales durante el periodo 2021–2025, evidenciando la dinámica y participación relativa de tributos como el impuesto de alumbrado público, industria y comercio, predial unificado, sobretasa a la gasolina y estampillas, lo que permite analizar su comportamiento y aporte al total de ingresos tributarios. Fuente: Secretaría de Hacienda Municipal de Aguachica. Elaboración propia.</w:t>
      </w:r>
    </w:p>
    <w:p w14:paraId="3D38233A" w14:textId="24043E7C" w:rsidR="005036C6" w:rsidRPr="005036C6" w:rsidRDefault="005036C6" w:rsidP="0075756E">
      <w:pPr>
        <w:pStyle w:val="Ttulo3"/>
      </w:pPr>
      <w:bookmarkStart w:id="71" w:name="_Toc231741460"/>
      <w:r>
        <w:t xml:space="preserve">3.2.4 </w:t>
      </w:r>
      <w:r w:rsidR="00865163">
        <w:t>E</w:t>
      </w:r>
      <w:r w:rsidR="00865163" w:rsidRPr="005036C6">
        <w:t>jecución y evolución de los gastos totales sin financiación</w:t>
      </w:r>
      <w:bookmarkEnd w:id="71"/>
    </w:p>
    <w:p w14:paraId="4CAFC61C" w14:textId="7C42BB17" w:rsidR="005A058A" w:rsidRDefault="005036C6" w:rsidP="000B3441">
      <w:pPr>
        <w:spacing w:after="480"/>
        <w:rPr>
          <w:rFonts w:cs="Arial"/>
          <w:szCs w:val="24"/>
          <w:lang w:val="es-MX"/>
        </w:rPr>
      </w:pPr>
      <w:r w:rsidRPr="005036C6">
        <w:rPr>
          <w:rFonts w:cs="Arial"/>
          <w:szCs w:val="24"/>
          <w:lang w:val="es-MX"/>
        </w:rPr>
        <w:t xml:space="preserve">Los gastos totales sin financiación ejecutados en 2025 ascendieron a 176.470 millones de pesos corrientes, frente a un valor programado de 194.006 millones, lo que equivale a un nivel de ejecución del 91 % y un margen de subejecución del 9 %. El análisis por componentes no revela desviaciones atípicas: el gasto de funcionamiento se ejecutó entre el 88 % y el 90 %, el servicio de la deuda alcanzó </w:t>
      </w:r>
      <w:r w:rsidRPr="005036C6">
        <w:rPr>
          <w:rFonts w:cs="Arial"/>
          <w:szCs w:val="24"/>
          <w:lang w:val="es-MX"/>
        </w:rPr>
        <w:lastRenderedPageBreak/>
        <w:t xml:space="preserve">alrededor del 94 % y la inversión aproximadamente el 93 %, lo que indica que la subejecución no se concentró en un componente </w:t>
      </w:r>
      <w:r w:rsidR="006E4A6F" w:rsidRPr="005036C6">
        <w:rPr>
          <w:rFonts w:cs="Arial"/>
          <w:szCs w:val="24"/>
          <w:lang w:val="es-MX"/>
        </w:rPr>
        <w:t>específico,</w:t>
      </w:r>
      <w:r w:rsidRPr="005036C6">
        <w:rPr>
          <w:rFonts w:cs="Arial"/>
          <w:szCs w:val="24"/>
          <w:lang w:val="es-MX"/>
        </w:rPr>
        <w:t xml:space="preserve"> sino que estuvo distribuida de forma relativamente uniforme, apuntando más hacia factores de programación que hacía dificultades estructurales de ejecución.</w:t>
      </w:r>
    </w:p>
    <w:p w14:paraId="379BFDD0" w14:textId="3A081F46" w:rsidR="00EA724A" w:rsidRPr="00EA724A" w:rsidRDefault="00EA724A" w:rsidP="00EA724A">
      <w:pPr>
        <w:pStyle w:val="Descripcin"/>
        <w:keepNext/>
        <w:rPr>
          <w:rFonts w:ascii="Arial" w:hAnsi="Arial" w:cs="Arial"/>
          <w:i w:val="0"/>
          <w:iCs w:val="0"/>
          <w:color w:val="auto"/>
          <w:sz w:val="24"/>
          <w:szCs w:val="24"/>
        </w:rPr>
      </w:pPr>
      <w:bookmarkStart w:id="72" w:name="_Toc231741492"/>
      <w:r w:rsidRPr="00EA724A">
        <w:rPr>
          <w:rFonts w:ascii="Arial" w:hAnsi="Arial" w:cs="Arial"/>
          <w:b/>
          <w:bCs/>
          <w:i w:val="0"/>
          <w:iCs w:val="0"/>
          <w:color w:val="auto"/>
          <w:sz w:val="24"/>
          <w:szCs w:val="24"/>
        </w:rPr>
        <w:t xml:space="preserve">Figura  </w:t>
      </w:r>
      <w:r w:rsidRPr="00EA724A">
        <w:rPr>
          <w:rFonts w:ascii="Arial" w:hAnsi="Arial" w:cs="Arial"/>
          <w:b/>
          <w:bCs/>
          <w:i w:val="0"/>
          <w:iCs w:val="0"/>
          <w:color w:val="auto"/>
          <w:sz w:val="24"/>
          <w:szCs w:val="24"/>
        </w:rPr>
        <w:fldChar w:fldCharType="begin"/>
      </w:r>
      <w:r w:rsidRPr="00EA724A">
        <w:rPr>
          <w:rFonts w:ascii="Arial" w:hAnsi="Arial" w:cs="Arial"/>
          <w:b/>
          <w:bCs/>
          <w:i w:val="0"/>
          <w:iCs w:val="0"/>
          <w:color w:val="auto"/>
          <w:sz w:val="24"/>
          <w:szCs w:val="24"/>
        </w:rPr>
        <w:instrText xml:space="preserve"> SEQ Figura_ \* ARABIC </w:instrText>
      </w:r>
      <w:r w:rsidRPr="00EA724A">
        <w:rPr>
          <w:rFonts w:ascii="Arial" w:hAnsi="Arial" w:cs="Arial"/>
          <w:b/>
          <w:bCs/>
          <w:i w:val="0"/>
          <w:iCs w:val="0"/>
          <w:color w:val="auto"/>
          <w:sz w:val="24"/>
          <w:szCs w:val="24"/>
        </w:rPr>
        <w:fldChar w:fldCharType="separate"/>
      </w:r>
      <w:r w:rsidR="008D76B2">
        <w:rPr>
          <w:rFonts w:ascii="Arial" w:hAnsi="Arial" w:cs="Arial"/>
          <w:b/>
          <w:bCs/>
          <w:i w:val="0"/>
          <w:iCs w:val="0"/>
          <w:noProof/>
          <w:color w:val="auto"/>
          <w:sz w:val="24"/>
          <w:szCs w:val="24"/>
        </w:rPr>
        <w:t>7</w:t>
      </w:r>
      <w:r w:rsidRPr="00EA724A">
        <w:rPr>
          <w:rFonts w:ascii="Arial" w:hAnsi="Arial" w:cs="Arial"/>
          <w:b/>
          <w:bCs/>
          <w:i w:val="0"/>
          <w:iCs w:val="0"/>
          <w:color w:val="auto"/>
          <w:sz w:val="24"/>
          <w:szCs w:val="24"/>
        </w:rPr>
        <w:fldChar w:fldCharType="end"/>
      </w:r>
      <w:r w:rsidRPr="00EA724A">
        <w:rPr>
          <w:rFonts w:ascii="Arial" w:hAnsi="Arial" w:cs="Arial"/>
          <w:i w:val="0"/>
          <w:iCs w:val="0"/>
          <w:color w:val="auto"/>
          <w:sz w:val="24"/>
          <w:szCs w:val="24"/>
        </w:rPr>
        <w:t>. Evolución de los gastos totales sin financiación: programado vs. ejecutado, 2021-2025</w:t>
      </w:r>
      <w:bookmarkEnd w:id="72"/>
    </w:p>
    <w:p w14:paraId="3E189D25" w14:textId="5AFD1418" w:rsidR="00EA724A" w:rsidRDefault="00EA724A" w:rsidP="000B3441">
      <w:pPr>
        <w:spacing w:after="480"/>
        <w:rPr>
          <w:rFonts w:cs="Arial"/>
          <w:szCs w:val="24"/>
          <w:lang w:val="es-MX"/>
        </w:rPr>
      </w:pPr>
      <w:r>
        <w:rPr>
          <w:noProof/>
        </w:rPr>
        <w:drawing>
          <wp:inline distT="0" distB="0" distL="0" distR="0" wp14:anchorId="39F8D654" wp14:editId="163DBE57">
            <wp:extent cx="5613400" cy="3275330"/>
            <wp:effectExtent l="0" t="0" r="6350" b="1270"/>
            <wp:docPr id="1225012584" name="Gráfico 1">
              <a:extLst xmlns:a="http://schemas.openxmlformats.org/drawingml/2006/main">
                <a:ext uri="{FF2B5EF4-FFF2-40B4-BE49-F238E27FC236}">
                  <a16:creationId xmlns:a16="http://schemas.microsoft.com/office/drawing/2014/main" id="{118B6286-22CF-20D0-521F-C5D7F42342E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5F3961E" w14:textId="08032C64" w:rsidR="00EA724A" w:rsidRPr="00F06293" w:rsidRDefault="00EA724A" w:rsidP="000B3441">
      <w:pPr>
        <w:spacing w:after="480"/>
        <w:rPr>
          <w:rFonts w:cs="Arial"/>
          <w:szCs w:val="24"/>
          <w:lang w:val="es-MX"/>
        </w:rPr>
      </w:pPr>
      <w:r w:rsidRPr="00F06293">
        <w:rPr>
          <w:rFonts w:cs="Arial"/>
          <w:b/>
          <w:bCs/>
          <w:szCs w:val="24"/>
          <w:lang w:val="es-MX"/>
        </w:rPr>
        <w:t>Nota</w:t>
      </w:r>
      <w:r w:rsidRPr="00F06293">
        <w:rPr>
          <w:rFonts w:cs="Arial"/>
          <w:szCs w:val="24"/>
          <w:lang w:val="es-MX"/>
        </w:rPr>
        <w:t>. La tabla presenta el cálculo del indicador de autonomía financiera para el periodo analizado, a partir de la relación entre los ingresos corrientes de libre destinación y los ingresos totales sin financiación, permitiendo evaluar el grado de independencia fiscal del municipio frente a las transferencias. Fuente: Secretaría de Hacienda Municipal de Aguachica. Elaboración propia.</w:t>
      </w:r>
    </w:p>
    <w:p w14:paraId="307A69C8" w14:textId="6CB649F0" w:rsidR="005036C6" w:rsidRPr="005036C6" w:rsidRDefault="005036C6" w:rsidP="000B3441">
      <w:pPr>
        <w:pStyle w:val="Ttulo3"/>
        <w:rPr>
          <w:lang w:val="es-MX"/>
        </w:rPr>
      </w:pPr>
      <w:bookmarkStart w:id="73" w:name="_Toc231741461"/>
      <w:r>
        <w:rPr>
          <w:lang w:val="es-MX"/>
        </w:rPr>
        <w:t xml:space="preserve">3.2.5 </w:t>
      </w:r>
      <w:r w:rsidR="002F427E">
        <w:rPr>
          <w:lang w:val="es-MX"/>
        </w:rPr>
        <w:t>C</w:t>
      </w:r>
      <w:r w:rsidR="002F427E" w:rsidRPr="005036C6">
        <w:rPr>
          <w:lang w:val="es-MX"/>
        </w:rPr>
        <w:t>omposición de los gastos totales sin financiación</w:t>
      </w:r>
      <w:bookmarkEnd w:id="73"/>
    </w:p>
    <w:p w14:paraId="5ECA5841" w14:textId="6338EC67" w:rsidR="00F70F7B" w:rsidRDefault="005036C6" w:rsidP="000B3441">
      <w:pPr>
        <w:spacing w:after="480"/>
        <w:rPr>
          <w:rFonts w:cs="Arial"/>
          <w:szCs w:val="24"/>
          <w:lang w:val="es-MX"/>
        </w:rPr>
      </w:pPr>
      <w:r w:rsidRPr="005036C6">
        <w:rPr>
          <w:rFonts w:cs="Arial"/>
          <w:szCs w:val="24"/>
          <w:lang w:val="es-MX"/>
        </w:rPr>
        <w:t>La estructura del gasto del municipio en 2025 estuvo fuertemente orientada hacia la inversión pública, que representó el 89 % del total (156.329 millones de pesos). El gasto de funcionamiento absorbió el 10 % (18.501 millones) y el servicio de la deuda apenas el 1 % (1.640 millones de pesos en intereses). Esta distribución ha sido consistente a lo largo del periodo analizado, con la inversión concentrando en promedio cerca del 88 % del gasto total sin financiación.</w:t>
      </w:r>
    </w:p>
    <w:p w14:paraId="1199F0EF" w14:textId="7589E14E" w:rsidR="00D63FDC" w:rsidRPr="00D63FDC" w:rsidRDefault="00D63FDC" w:rsidP="00D63FDC">
      <w:pPr>
        <w:pStyle w:val="Descripcin"/>
        <w:keepNext/>
        <w:rPr>
          <w:rFonts w:ascii="Arial" w:hAnsi="Arial" w:cs="Arial"/>
          <w:i w:val="0"/>
          <w:iCs w:val="0"/>
          <w:color w:val="auto"/>
          <w:sz w:val="24"/>
          <w:szCs w:val="24"/>
        </w:rPr>
      </w:pPr>
      <w:bookmarkStart w:id="74" w:name="_Toc231741493"/>
      <w:r w:rsidRPr="00D63FDC">
        <w:rPr>
          <w:rFonts w:ascii="Arial" w:hAnsi="Arial" w:cs="Arial"/>
          <w:b/>
          <w:bCs/>
          <w:i w:val="0"/>
          <w:iCs w:val="0"/>
          <w:color w:val="auto"/>
          <w:sz w:val="24"/>
          <w:szCs w:val="24"/>
        </w:rPr>
        <w:lastRenderedPageBreak/>
        <w:t xml:space="preserve">Figura  </w:t>
      </w:r>
      <w:r w:rsidRPr="00D63FDC">
        <w:rPr>
          <w:rFonts w:ascii="Arial" w:hAnsi="Arial" w:cs="Arial"/>
          <w:b/>
          <w:bCs/>
          <w:i w:val="0"/>
          <w:iCs w:val="0"/>
          <w:color w:val="auto"/>
          <w:sz w:val="24"/>
          <w:szCs w:val="24"/>
        </w:rPr>
        <w:fldChar w:fldCharType="begin"/>
      </w:r>
      <w:r w:rsidRPr="00D63FDC">
        <w:rPr>
          <w:rFonts w:ascii="Arial" w:hAnsi="Arial" w:cs="Arial"/>
          <w:b/>
          <w:bCs/>
          <w:i w:val="0"/>
          <w:iCs w:val="0"/>
          <w:color w:val="auto"/>
          <w:sz w:val="24"/>
          <w:szCs w:val="24"/>
        </w:rPr>
        <w:instrText xml:space="preserve"> SEQ Figura_ \* ARABIC </w:instrText>
      </w:r>
      <w:r w:rsidRPr="00D63FDC">
        <w:rPr>
          <w:rFonts w:ascii="Arial" w:hAnsi="Arial" w:cs="Arial"/>
          <w:b/>
          <w:bCs/>
          <w:i w:val="0"/>
          <w:iCs w:val="0"/>
          <w:color w:val="auto"/>
          <w:sz w:val="24"/>
          <w:szCs w:val="24"/>
        </w:rPr>
        <w:fldChar w:fldCharType="separate"/>
      </w:r>
      <w:r w:rsidR="008D76B2">
        <w:rPr>
          <w:rFonts w:ascii="Arial" w:hAnsi="Arial" w:cs="Arial"/>
          <w:b/>
          <w:bCs/>
          <w:i w:val="0"/>
          <w:iCs w:val="0"/>
          <w:noProof/>
          <w:color w:val="auto"/>
          <w:sz w:val="24"/>
          <w:szCs w:val="24"/>
        </w:rPr>
        <w:t>8</w:t>
      </w:r>
      <w:r w:rsidRPr="00D63FDC">
        <w:rPr>
          <w:rFonts w:ascii="Arial" w:hAnsi="Arial" w:cs="Arial"/>
          <w:b/>
          <w:bCs/>
          <w:i w:val="0"/>
          <w:iCs w:val="0"/>
          <w:color w:val="auto"/>
          <w:sz w:val="24"/>
          <w:szCs w:val="24"/>
        </w:rPr>
        <w:fldChar w:fldCharType="end"/>
      </w:r>
      <w:r w:rsidRPr="00D63FDC">
        <w:rPr>
          <w:rFonts w:ascii="Arial" w:hAnsi="Arial" w:cs="Arial"/>
          <w:i w:val="0"/>
          <w:iCs w:val="0"/>
          <w:color w:val="auto"/>
          <w:sz w:val="24"/>
          <w:szCs w:val="24"/>
        </w:rPr>
        <w:t>. Composición de los gastos totales sin financiación por fuente, 2021-2025</w:t>
      </w:r>
      <w:bookmarkEnd w:id="74"/>
    </w:p>
    <w:p w14:paraId="13DAA762" w14:textId="5A57D605" w:rsidR="00D63FDC" w:rsidRDefault="00D63FDC" w:rsidP="000B3441">
      <w:pPr>
        <w:spacing w:after="480"/>
        <w:rPr>
          <w:rFonts w:cs="Arial"/>
          <w:szCs w:val="24"/>
          <w:lang w:val="es-MX"/>
        </w:rPr>
      </w:pPr>
      <w:r>
        <w:rPr>
          <w:noProof/>
        </w:rPr>
        <w:drawing>
          <wp:inline distT="0" distB="0" distL="0" distR="0" wp14:anchorId="76BA746D" wp14:editId="705BA7AD">
            <wp:extent cx="5613400" cy="3566160"/>
            <wp:effectExtent l="0" t="0" r="6350" b="15240"/>
            <wp:docPr id="945498090" name="Gráfico 1">
              <a:extLst xmlns:a="http://schemas.openxmlformats.org/drawingml/2006/main">
                <a:ext uri="{FF2B5EF4-FFF2-40B4-BE49-F238E27FC236}">
                  <a16:creationId xmlns:a16="http://schemas.microsoft.com/office/drawing/2014/main" id="{34A3CA05-6DA9-0E6E-CD5E-5A77B434D9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F4EA1E6" w14:textId="3E0B4E9A" w:rsidR="00651640" w:rsidRDefault="00651640" w:rsidP="000B3441">
      <w:pPr>
        <w:spacing w:after="480"/>
        <w:rPr>
          <w:rFonts w:cs="Arial"/>
          <w:szCs w:val="24"/>
          <w:lang w:val="es-MX"/>
        </w:rPr>
      </w:pPr>
      <w:r w:rsidRPr="00651640">
        <w:rPr>
          <w:rFonts w:cs="Arial"/>
          <w:b/>
          <w:bCs/>
          <w:szCs w:val="24"/>
          <w:lang w:val="es-MX"/>
        </w:rPr>
        <w:t>Nota</w:t>
      </w:r>
      <w:r w:rsidRPr="00651640">
        <w:rPr>
          <w:rFonts w:cs="Arial"/>
          <w:szCs w:val="24"/>
          <w:lang w:val="es-MX"/>
        </w:rPr>
        <w:t>. La figura presenta la evolución de los gastos totales sin financiación del municipio durante el periodo 2021–2025, comparando los valores programados con los efectivamente ejecutados en cada vigencia, con el fin de analizar el nivel de cumplimiento presupuestal y la consistencia en la ejecución del gasto. Fuente: Secretaría de Hacienda Municipal de Aguachica. Elaboración propia.</w:t>
      </w:r>
    </w:p>
    <w:p w14:paraId="456BBD1D" w14:textId="792C95FF" w:rsidR="00F70F7B" w:rsidRDefault="005036C6" w:rsidP="000B3441">
      <w:pPr>
        <w:pStyle w:val="Ttulo3"/>
      </w:pPr>
      <w:bookmarkStart w:id="75" w:name="_Toc231741462"/>
      <w:r>
        <w:t xml:space="preserve">3.2.6 </w:t>
      </w:r>
      <w:r w:rsidR="002F427E">
        <w:t>C</w:t>
      </w:r>
      <w:r w:rsidR="002F427E" w:rsidRPr="006A4CA7">
        <w:t>omportamiento del balance fiscal total</w:t>
      </w:r>
      <w:bookmarkEnd w:id="75"/>
    </w:p>
    <w:p w14:paraId="37176FFB" w14:textId="77777777" w:rsidR="006A4CA7" w:rsidRPr="006A4CA7" w:rsidRDefault="006A4CA7" w:rsidP="000B3441">
      <w:pPr>
        <w:spacing w:after="480"/>
        <w:rPr>
          <w:rFonts w:cs="Arial"/>
          <w:szCs w:val="24"/>
          <w:lang w:val="es-MX"/>
        </w:rPr>
      </w:pPr>
      <w:r w:rsidRPr="006A4CA7">
        <w:rPr>
          <w:rFonts w:cs="Arial"/>
          <w:szCs w:val="24"/>
          <w:lang w:val="es-MX"/>
        </w:rPr>
        <w:t>El balance fiscal total del municipio en 2025 arrojó un superávit de 9.494 millones de pesos, equivalente a un incremento del 120 % frente al resultado de 2024, cuando el superávit fue de 4.314 millones. Este resultado favorable se explica principalmente porque los ingresos totales sin financiación crecieron a un ritmo mayor (8 %) que el gasto total (5 %), y porque el pago de intereses de la deuda se redujo de 2.547 millones en 2024 a 1.640 millones en 2025.</w:t>
      </w:r>
    </w:p>
    <w:p w14:paraId="4FCDF3C5" w14:textId="192FBEF0" w:rsidR="005036C6" w:rsidRDefault="006A4CA7" w:rsidP="000B3441">
      <w:pPr>
        <w:spacing w:after="480"/>
        <w:rPr>
          <w:rFonts w:cs="Arial"/>
          <w:szCs w:val="24"/>
          <w:lang w:val="es-MX"/>
        </w:rPr>
      </w:pPr>
      <w:r w:rsidRPr="006A4CA7">
        <w:rPr>
          <w:rFonts w:cs="Arial"/>
          <w:szCs w:val="24"/>
          <w:lang w:val="es-MX"/>
        </w:rPr>
        <w:t xml:space="preserve">La revisión del periodo 2021–2025 revela fluctuaciones importantes, pero no estructurales. En 2021 se obtuvo un superávit de 1.832 millones; en 2022 se produjo el único déficit del periodo, de -18.801 millones, asociado a un incremento </w:t>
      </w:r>
      <w:r w:rsidRPr="006A4CA7">
        <w:rPr>
          <w:rFonts w:cs="Arial"/>
          <w:szCs w:val="24"/>
          <w:lang w:val="es-MX"/>
        </w:rPr>
        <w:lastRenderedPageBreak/>
        <w:t>del 33 % en el gasto de inversión y a la contratación de un crédito con el Banco de Occidente por 15.000 millones; en 2023 el resultado se recuperó hasta 13.403 millones, impulsado por el dinamismo del recaudo de industria y comercio; y en 2024 el superávit se moderó a 4.314 millones por el incremento del 20 % en la inversión. Este comportamiento evidencia que el balance fiscal es sensible a las decisiones de política de gasto y financiamiento, pero no refleja un desequilibrio estructural de las finanzas municipales.</w:t>
      </w:r>
    </w:p>
    <w:p w14:paraId="7227590D" w14:textId="22C859F6" w:rsidR="00EB401C" w:rsidRPr="007F7E2E" w:rsidRDefault="00EB401C" w:rsidP="00EB401C">
      <w:pPr>
        <w:pStyle w:val="Descripcin"/>
        <w:keepNext/>
        <w:rPr>
          <w:rFonts w:ascii="Arial" w:hAnsi="Arial" w:cs="Arial"/>
          <w:i w:val="0"/>
          <w:iCs w:val="0"/>
          <w:color w:val="auto"/>
          <w:sz w:val="24"/>
          <w:szCs w:val="24"/>
        </w:rPr>
      </w:pPr>
      <w:bookmarkStart w:id="76" w:name="_Toc231741494"/>
      <w:r w:rsidRPr="007F7E2E">
        <w:rPr>
          <w:rFonts w:ascii="Arial" w:hAnsi="Arial" w:cs="Arial"/>
          <w:b/>
          <w:bCs/>
          <w:i w:val="0"/>
          <w:iCs w:val="0"/>
          <w:color w:val="auto"/>
          <w:sz w:val="24"/>
          <w:szCs w:val="24"/>
        </w:rPr>
        <w:t xml:space="preserve">Figura  </w:t>
      </w:r>
      <w:r w:rsidRPr="007F7E2E">
        <w:rPr>
          <w:rFonts w:ascii="Arial" w:hAnsi="Arial" w:cs="Arial"/>
          <w:b/>
          <w:bCs/>
          <w:i w:val="0"/>
          <w:iCs w:val="0"/>
          <w:color w:val="auto"/>
          <w:sz w:val="24"/>
          <w:szCs w:val="24"/>
        </w:rPr>
        <w:fldChar w:fldCharType="begin"/>
      </w:r>
      <w:r w:rsidRPr="007F7E2E">
        <w:rPr>
          <w:rFonts w:ascii="Arial" w:hAnsi="Arial" w:cs="Arial"/>
          <w:b/>
          <w:bCs/>
          <w:i w:val="0"/>
          <w:iCs w:val="0"/>
          <w:color w:val="auto"/>
          <w:sz w:val="24"/>
          <w:szCs w:val="24"/>
        </w:rPr>
        <w:instrText xml:space="preserve"> SEQ Figura_ \* ARABIC </w:instrText>
      </w:r>
      <w:r w:rsidRPr="007F7E2E">
        <w:rPr>
          <w:rFonts w:ascii="Arial" w:hAnsi="Arial" w:cs="Arial"/>
          <w:b/>
          <w:bCs/>
          <w:i w:val="0"/>
          <w:iCs w:val="0"/>
          <w:color w:val="auto"/>
          <w:sz w:val="24"/>
          <w:szCs w:val="24"/>
        </w:rPr>
        <w:fldChar w:fldCharType="separate"/>
      </w:r>
      <w:r w:rsidR="008D76B2">
        <w:rPr>
          <w:rFonts w:ascii="Arial" w:hAnsi="Arial" w:cs="Arial"/>
          <w:b/>
          <w:bCs/>
          <w:i w:val="0"/>
          <w:iCs w:val="0"/>
          <w:noProof/>
          <w:color w:val="auto"/>
          <w:sz w:val="24"/>
          <w:szCs w:val="24"/>
        </w:rPr>
        <w:t>9</w:t>
      </w:r>
      <w:r w:rsidRPr="007F7E2E">
        <w:rPr>
          <w:rFonts w:ascii="Arial" w:hAnsi="Arial" w:cs="Arial"/>
          <w:b/>
          <w:bCs/>
          <w:i w:val="0"/>
          <w:iCs w:val="0"/>
          <w:color w:val="auto"/>
          <w:sz w:val="24"/>
          <w:szCs w:val="24"/>
        </w:rPr>
        <w:fldChar w:fldCharType="end"/>
      </w:r>
      <w:r w:rsidRPr="007F7E2E">
        <w:rPr>
          <w:rFonts w:ascii="Arial" w:hAnsi="Arial" w:cs="Arial"/>
          <w:i w:val="0"/>
          <w:iCs w:val="0"/>
          <w:color w:val="auto"/>
          <w:sz w:val="24"/>
          <w:szCs w:val="24"/>
        </w:rPr>
        <w:t>. Resultado fiscal total del municipio 2021–2025.</w:t>
      </w:r>
      <w:bookmarkEnd w:id="76"/>
    </w:p>
    <w:p w14:paraId="7B9ABE22" w14:textId="625F91AB" w:rsidR="00EB401C" w:rsidRDefault="00EB401C" w:rsidP="000B3441">
      <w:pPr>
        <w:spacing w:after="480"/>
        <w:rPr>
          <w:rFonts w:cs="Arial"/>
          <w:szCs w:val="24"/>
          <w:lang w:val="es-MX"/>
        </w:rPr>
      </w:pPr>
      <w:r>
        <w:rPr>
          <w:noProof/>
        </w:rPr>
        <w:drawing>
          <wp:inline distT="0" distB="0" distL="0" distR="0" wp14:anchorId="07644A8E" wp14:editId="7E0E39A6">
            <wp:extent cx="5613400" cy="2720340"/>
            <wp:effectExtent l="0" t="0" r="6350" b="3810"/>
            <wp:docPr id="798769436" name="Gráfico 1">
              <a:extLst xmlns:a="http://schemas.openxmlformats.org/drawingml/2006/main">
                <a:ext uri="{FF2B5EF4-FFF2-40B4-BE49-F238E27FC236}">
                  <a16:creationId xmlns:a16="http://schemas.microsoft.com/office/drawing/2014/main" id="{CCC7391C-AD96-4D45-AE4F-3D574818B79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EAB6F4E" w14:textId="3AF3E332" w:rsidR="00EB401C" w:rsidRDefault="00EB401C" w:rsidP="000B3441">
      <w:pPr>
        <w:spacing w:after="480"/>
        <w:rPr>
          <w:rFonts w:cs="Arial"/>
          <w:szCs w:val="24"/>
          <w:lang w:val="es-MX"/>
        </w:rPr>
      </w:pPr>
      <w:r w:rsidRPr="00EB401C">
        <w:rPr>
          <w:rFonts w:cs="Arial"/>
          <w:b/>
          <w:bCs/>
          <w:szCs w:val="24"/>
          <w:lang w:val="es-MX"/>
        </w:rPr>
        <w:t>Nota</w:t>
      </w:r>
      <w:r w:rsidRPr="00EB401C">
        <w:rPr>
          <w:rFonts w:cs="Arial"/>
          <w:szCs w:val="24"/>
          <w:lang w:val="es-MX"/>
        </w:rPr>
        <w:t>. La figura presenta la evolución del resultado fiscal total del municipio durante el periodo 2021–2025, calculado como la diferencia entre los ingresos y los gastos totales, permitiendo identificar la existencia de superávits o déficits fiscales en cada vigencia y evaluar la sostenibilidad de las finanzas públicas. Fuente: Secretaría de Hacienda Municipal de Aguachica. Elaboración propia.</w:t>
      </w:r>
    </w:p>
    <w:p w14:paraId="7C4561C3" w14:textId="7C7CDC9E" w:rsidR="006A4CA7" w:rsidRDefault="006A4CA7" w:rsidP="000B3441">
      <w:pPr>
        <w:pStyle w:val="Ttulo3"/>
      </w:pPr>
      <w:bookmarkStart w:id="77" w:name="_Toc231741463"/>
      <w:r>
        <w:t xml:space="preserve">3.2.7 </w:t>
      </w:r>
      <w:r w:rsidR="002F427E">
        <w:t>C</w:t>
      </w:r>
      <w:r w:rsidR="002F427E" w:rsidRPr="006A4CA7">
        <w:t>omportamiento del balance fiscal primario (2021–2025)</w:t>
      </w:r>
      <w:bookmarkEnd w:id="77"/>
    </w:p>
    <w:p w14:paraId="46764CCA" w14:textId="3EAAFD26" w:rsidR="005036C6" w:rsidRDefault="006A4CA7" w:rsidP="000B3441">
      <w:pPr>
        <w:spacing w:after="480"/>
        <w:rPr>
          <w:rFonts w:cs="Arial"/>
          <w:szCs w:val="24"/>
          <w:lang w:val="es-MX"/>
        </w:rPr>
      </w:pPr>
      <w:r w:rsidRPr="006A4CA7">
        <w:rPr>
          <w:rFonts w:cs="Arial"/>
          <w:szCs w:val="24"/>
          <w:lang w:val="es-MX"/>
        </w:rPr>
        <w:t xml:space="preserve">El balance fiscal primario excluye los pagos por intereses de la deuda e incorpora los recursos del balance como fuente de ingreso, permitiendo evaluar la posición fiscal del municipio con independencia de los efectos del endeudamiento vigente. En 2021 el superávit primario fue de 5.188 millones; en 2022 se registró un déficit de -13.681 millones (-364 %), explicado por el incremento de la inversión y parcialmente morigerado por 3.039 millones en recursos del balance; en 2023 el superávit se recuperó hasta 22.863 millones (267 %), impulsado por la mejora del balance total y un incremento del 111 % en los recursos del balance; en 2024 el </w:t>
      </w:r>
      <w:r w:rsidRPr="006A4CA7">
        <w:rPr>
          <w:rFonts w:cs="Arial"/>
          <w:szCs w:val="24"/>
          <w:lang w:val="es-MX"/>
        </w:rPr>
        <w:lastRenderedPageBreak/>
        <w:t>superávit primario continuó al alza pese a que el balance total se redujo, porque los recursos del balance ascendieron a 18.158 millones (183 %); y en 2025 disminuyó asociado a una caída del 48 % en los recursos del balance, que cayeron a 9.397 millones.</w:t>
      </w:r>
    </w:p>
    <w:p w14:paraId="0A676838" w14:textId="5EA959AB" w:rsidR="001F2F5E" w:rsidRPr="001F2F5E" w:rsidRDefault="001F2F5E" w:rsidP="001F2F5E">
      <w:pPr>
        <w:pStyle w:val="Descripcin"/>
        <w:keepNext/>
        <w:rPr>
          <w:rFonts w:ascii="Arial" w:hAnsi="Arial" w:cs="Arial"/>
          <w:i w:val="0"/>
          <w:iCs w:val="0"/>
          <w:sz w:val="24"/>
          <w:szCs w:val="24"/>
        </w:rPr>
      </w:pPr>
      <w:bookmarkStart w:id="78" w:name="_Toc231741495"/>
      <w:r w:rsidRPr="001F2F5E">
        <w:rPr>
          <w:rFonts w:ascii="Arial" w:hAnsi="Arial" w:cs="Arial"/>
          <w:b/>
          <w:bCs/>
          <w:i w:val="0"/>
          <w:iCs w:val="0"/>
          <w:sz w:val="24"/>
          <w:szCs w:val="24"/>
        </w:rPr>
        <w:t xml:space="preserve">Figura  </w:t>
      </w:r>
      <w:r w:rsidRPr="001F2F5E">
        <w:rPr>
          <w:rFonts w:ascii="Arial" w:hAnsi="Arial" w:cs="Arial"/>
          <w:b/>
          <w:bCs/>
          <w:i w:val="0"/>
          <w:iCs w:val="0"/>
          <w:sz w:val="24"/>
          <w:szCs w:val="24"/>
        </w:rPr>
        <w:fldChar w:fldCharType="begin"/>
      </w:r>
      <w:r w:rsidRPr="001F2F5E">
        <w:rPr>
          <w:rFonts w:ascii="Arial" w:hAnsi="Arial" w:cs="Arial"/>
          <w:b/>
          <w:bCs/>
          <w:i w:val="0"/>
          <w:iCs w:val="0"/>
          <w:sz w:val="24"/>
          <w:szCs w:val="24"/>
        </w:rPr>
        <w:instrText xml:space="preserve"> SEQ Figura_ \* ARABIC </w:instrText>
      </w:r>
      <w:r w:rsidRPr="001F2F5E">
        <w:rPr>
          <w:rFonts w:ascii="Arial" w:hAnsi="Arial" w:cs="Arial"/>
          <w:b/>
          <w:bCs/>
          <w:i w:val="0"/>
          <w:iCs w:val="0"/>
          <w:sz w:val="24"/>
          <w:szCs w:val="24"/>
        </w:rPr>
        <w:fldChar w:fldCharType="separate"/>
      </w:r>
      <w:r w:rsidR="008D76B2">
        <w:rPr>
          <w:rFonts w:ascii="Arial" w:hAnsi="Arial" w:cs="Arial"/>
          <w:b/>
          <w:bCs/>
          <w:i w:val="0"/>
          <w:iCs w:val="0"/>
          <w:noProof/>
          <w:sz w:val="24"/>
          <w:szCs w:val="24"/>
        </w:rPr>
        <w:t>10</w:t>
      </w:r>
      <w:r w:rsidRPr="001F2F5E">
        <w:rPr>
          <w:rFonts w:ascii="Arial" w:hAnsi="Arial" w:cs="Arial"/>
          <w:b/>
          <w:bCs/>
          <w:i w:val="0"/>
          <w:iCs w:val="0"/>
          <w:sz w:val="24"/>
          <w:szCs w:val="24"/>
        </w:rPr>
        <w:fldChar w:fldCharType="end"/>
      </w:r>
      <w:r w:rsidRPr="001F2F5E">
        <w:rPr>
          <w:rFonts w:ascii="Arial" w:hAnsi="Arial" w:cs="Arial"/>
          <w:i w:val="0"/>
          <w:iCs w:val="0"/>
          <w:sz w:val="24"/>
          <w:szCs w:val="24"/>
        </w:rPr>
        <w:t>. Resultado fiscal primario del municipio (2021–2025).</w:t>
      </w:r>
      <w:bookmarkEnd w:id="78"/>
    </w:p>
    <w:p w14:paraId="4BFB9C54" w14:textId="574FB58D" w:rsidR="00EB401C" w:rsidRDefault="00EB401C" w:rsidP="00C172AB">
      <w:pPr>
        <w:spacing w:after="480"/>
        <w:rPr>
          <w:rFonts w:cs="Arial"/>
          <w:szCs w:val="24"/>
          <w:lang w:val="es-MX"/>
        </w:rPr>
      </w:pPr>
      <w:r>
        <w:rPr>
          <w:noProof/>
        </w:rPr>
        <w:drawing>
          <wp:inline distT="0" distB="0" distL="0" distR="0" wp14:anchorId="27F4C907" wp14:editId="541A761B">
            <wp:extent cx="5613400" cy="2668905"/>
            <wp:effectExtent l="0" t="0" r="6350" b="17145"/>
            <wp:docPr id="1079224078" name="Gráfico 1">
              <a:extLst xmlns:a="http://schemas.openxmlformats.org/drawingml/2006/main">
                <a:ext uri="{FF2B5EF4-FFF2-40B4-BE49-F238E27FC236}">
                  <a16:creationId xmlns:a16="http://schemas.microsoft.com/office/drawing/2014/main" id="{BC325DE0-9273-47B7-9187-94EF9A3A88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95D64D1" w14:textId="44D5E209" w:rsidR="00C172AB" w:rsidRDefault="00C172AB" w:rsidP="00C172AB">
      <w:pPr>
        <w:spacing w:before="0" w:after="480"/>
        <w:rPr>
          <w:rFonts w:cs="Arial"/>
          <w:szCs w:val="24"/>
          <w:lang w:val="es-MX"/>
        </w:rPr>
      </w:pPr>
      <w:r w:rsidRPr="00C172AB">
        <w:rPr>
          <w:rFonts w:cs="Arial"/>
          <w:b/>
          <w:bCs/>
          <w:szCs w:val="24"/>
          <w:lang w:val="es-MX"/>
        </w:rPr>
        <w:t>Nota</w:t>
      </w:r>
      <w:r w:rsidRPr="00C172AB">
        <w:rPr>
          <w:rFonts w:cs="Arial"/>
          <w:szCs w:val="24"/>
          <w:lang w:val="es-MX"/>
        </w:rPr>
        <w:t>. La figura presenta la evolución del resultado fiscal total del municipio durante el periodo 2021–2025, calculado como la diferencia entre los ingresos y los gastos totales, permitiendo identificar la existencia de superávits o déficits fiscales en cada vigencia y evaluar la sostenibilidad de las finanzas públicas. Fuente: Secretaría de Hacienda Municipal de Aguachica. Elaboración propia.</w:t>
      </w:r>
    </w:p>
    <w:p w14:paraId="4D1F7463" w14:textId="166A9AFF" w:rsidR="006A4CA7" w:rsidRPr="000B3441" w:rsidRDefault="006A4CA7" w:rsidP="000B3441">
      <w:pPr>
        <w:pStyle w:val="Ttulo3"/>
      </w:pPr>
      <w:bookmarkStart w:id="79" w:name="_Toc231741464"/>
      <w:r w:rsidRPr="000B3441">
        <w:t xml:space="preserve">3.2.8 </w:t>
      </w:r>
      <w:r w:rsidR="002F427E">
        <w:t>C</w:t>
      </w:r>
      <w:r w:rsidR="002F427E" w:rsidRPr="000B3441">
        <w:t>omportamiento del balance fiscal presupuestal (2021–2025)</w:t>
      </w:r>
      <w:bookmarkEnd w:id="79"/>
    </w:p>
    <w:p w14:paraId="675F5AA9" w14:textId="4C47FFEA" w:rsidR="006A4CA7" w:rsidRDefault="006A4CA7" w:rsidP="000B3441">
      <w:pPr>
        <w:spacing w:after="480"/>
        <w:rPr>
          <w:rFonts w:cs="Arial"/>
          <w:szCs w:val="24"/>
          <w:lang w:val="es-MX"/>
        </w:rPr>
      </w:pPr>
      <w:r w:rsidRPr="006A4CA7">
        <w:rPr>
          <w:rFonts w:cs="Arial"/>
          <w:szCs w:val="24"/>
          <w:lang w:val="es-MX"/>
        </w:rPr>
        <w:t>El balance fiscal presupuestal, que incorpora tanto los ingresos como los gastos con financiación, evidencia una trayectoria más favorable. Tras el déficit de -1.420 millones en 2022, el resultado mejoró de forma sostenida: 18.432 millones en 2023, 19.645 millones en 2024</w:t>
      </w:r>
      <w:r w:rsidR="00802829">
        <w:rPr>
          <w:rFonts w:cs="Arial"/>
          <w:szCs w:val="24"/>
          <w:lang w:val="es-MX"/>
        </w:rPr>
        <w:t xml:space="preserve"> </w:t>
      </w:r>
      <w:r w:rsidRPr="006A4CA7">
        <w:rPr>
          <w:rFonts w:cs="Arial"/>
          <w:szCs w:val="24"/>
          <w:lang w:val="es-MX"/>
        </w:rPr>
        <w:t>el valor más alto del periodo y 16.037 millones en 2025. Esta trayectoria positiva en las tres últimas vigencias indica que, cuando se consideran los mecanismos de financiamiento disponibles, el municipio ha sido capaz de cubrir sus necesidades de gasto manteniendo un margen fiscal positivo.</w:t>
      </w:r>
    </w:p>
    <w:p w14:paraId="6C49C260" w14:textId="108D9F00" w:rsidR="00C172AB" w:rsidRPr="00C172AB" w:rsidRDefault="00C172AB" w:rsidP="00C172AB">
      <w:pPr>
        <w:pStyle w:val="Descripcin"/>
        <w:keepNext/>
        <w:rPr>
          <w:rFonts w:ascii="Arial" w:hAnsi="Arial" w:cs="Arial"/>
          <w:i w:val="0"/>
          <w:iCs w:val="0"/>
          <w:color w:val="auto"/>
          <w:sz w:val="24"/>
          <w:szCs w:val="24"/>
        </w:rPr>
      </w:pPr>
      <w:bookmarkStart w:id="80" w:name="_Toc231741496"/>
      <w:r w:rsidRPr="00C172AB">
        <w:rPr>
          <w:rFonts w:ascii="Arial" w:hAnsi="Arial" w:cs="Arial"/>
          <w:b/>
          <w:bCs/>
          <w:i w:val="0"/>
          <w:iCs w:val="0"/>
          <w:color w:val="auto"/>
          <w:sz w:val="24"/>
          <w:szCs w:val="24"/>
        </w:rPr>
        <w:lastRenderedPageBreak/>
        <w:t xml:space="preserve">Figura  </w:t>
      </w:r>
      <w:r w:rsidRPr="00C172AB">
        <w:rPr>
          <w:rFonts w:ascii="Arial" w:hAnsi="Arial" w:cs="Arial"/>
          <w:b/>
          <w:bCs/>
          <w:i w:val="0"/>
          <w:iCs w:val="0"/>
          <w:color w:val="auto"/>
          <w:sz w:val="24"/>
          <w:szCs w:val="24"/>
        </w:rPr>
        <w:fldChar w:fldCharType="begin"/>
      </w:r>
      <w:r w:rsidRPr="00C172AB">
        <w:rPr>
          <w:rFonts w:ascii="Arial" w:hAnsi="Arial" w:cs="Arial"/>
          <w:b/>
          <w:bCs/>
          <w:i w:val="0"/>
          <w:iCs w:val="0"/>
          <w:color w:val="auto"/>
          <w:sz w:val="24"/>
          <w:szCs w:val="24"/>
        </w:rPr>
        <w:instrText xml:space="preserve"> SEQ Figura_ \* ARABIC </w:instrText>
      </w:r>
      <w:r w:rsidRPr="00C172AB">
        <w:rPr>
          <w:rFonts w:ascii="Arial" w:hAnsi="Arial" w:cs="Arial"/>
          <w:b/>
          <w:bCs/>
          <w:i w:val="0"/>
          <w:iCs w:val="0"/>
          <w:color w:val="auto"/>
          <w:sz w:val="24"/>
          <w:szCs w:val="24"/>
        </w:rPr>
        <w:fldChar w:fldCharType="separate"/>
      </w:r>
      <w:r w:rsidR="008D76B2">
        <w:rPr>
          <w:rFonts w:ascii="Arial" w:hAnsi="Arial" w:cs="Arial"/>
          <w:b/>
          <w:bCs/>
          <w:i w:val="0"/>
          <w:iCs w:val="0"/>
          <w:noProof/>
          <w:color w:val="auto"/>
          <w:sz w:val="24"/>
          <w:szCs w:val="24"/>
        </w:rPr>
        <w:t>11</w:t>
      </w:r>
      <w:r w:rsidRPr="00C172AB">
        <w:rPr>
          <w:rFonts w:ascii="Arial" w:hAnsi="Arial" w:cs="Arial"/>
          <w:b/>
          <w:bCs/>
          <w:i w:val="0"/>
          <w:iCs w:val="0"/>
          <w:color w:val="auto"/>
          <w:sz w:val="24"/>
          <w:szCs w:val="24"/>
        </w:rPr>
        <w:fldChar w:fldCharType="end"/>
      </w:r>
      <w:r w:rsidRPr="00C172AB">
        <w:rPr>
          <w:rFonts w:ascii="Arial" w:hAnsi="Arial" w:cs="Arial"/>
          <w:i w:val="0"/>
          <w:iCs w:val="0"/>
          <w:color w:val="auto"/>
          <w:sz w:val="24"/>
          <w:szCs w:val="24"/>
        </w:rPr>
        <w:t>. Resultado fiscal presupuestal del municipio (2021–2025)</w:t>
      </w:r>
      <w:bookmarkEnd w:id="80"/>
    </w:p>
    <w:p w14:paraId="60422606" w14:textId="646A7827" w:rsidR="00EB401C" w:rsidRDefault="00EB401C" w:rsidP="000B3441">
      <w:pPr>
        <w:spacing w:after="480"/>
        <w:rPr>
          <w:rFonts w:cs="Arial"/>
          <w:szCs w:val="24"/>
          <w:lang w:val="es-MX"/>
        </w:rPr>
      </w:pPr>
      <w:r>
        <w:rPr>
          <w:noProof/>
        </w:rPr>
        <w:drawing>
          <wp:inline distT="0" distB="0" distL="0" distR="0" wp14:anchorId="6390552B" wp14:editId="631F7DA2">
            <wp:extent cx="5613400" cy="2815590"/>
            <wp:effectExtent l="0" t="0" r="6350" b="3810"/>
            <wp:docPr id="643274458" name="Gráfico 1">
              <a:extLst xmlns:a="http://schemas.openxmlformats.org/drawingml/2006/main">
                <a:ext uri="{FF2B5EF4-FFF2-40B4-BE49-F238E27FC236}">
                  <a16:creationId xmlns:a16="http://schemas.microsoft.com/office/drawing/2014/main" id="{308AA0F4-5C79-4937-BA04-5D5B4FAE5B8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7F3EA98" w14:textId="7C7E6558" w:rsidR="00EC14F6" w:rsidRDefault="00EC14F6" w:rsidP="00EC14F6">
      <w:pPr>
        <w:spacing w:before="0" w:after="480"/>
        <w:rPr>
          <w:rFonts w:cs="Arial"/>
          <w:szCs w:val="24"/>
          <w:lang w:val="es-MX"/>
        </w:rPr>
      </w:pPr>
      <w:r w:rsidRPr="00EC14F6">
        <w:rPr>
          <w:rFonts w:cs="Arial"/>
          <w:b/>
          <w:bCs/>
          <w:szCs w:val="24"/>
          <w:lang w:val="es-MX"/>
        </w:rPr>
        <w:t>Nota</w:t>
      </w:r>
      <w:r w:rsidRPr="00EC14F6">
        <w:rPr>
          <w:rFonts w:cs="Arial"/>
          <w:szCs w:val="24"/>
          <w:lang w:val="es-MX"/>
        </w:rPr>
        <w:t>. La figura presenta la evolución del resultado fiscal primario del municipio durante el periodo 2021–2025, calculado como la diferencia entre los ingresos y los gastos totales excluyendo el servicio de la deuda, lo que permite evaluar la capacidad del municipio para generar recursos suficientes antes del pago de sus obligaciones financieras. Fuente: Secretaría de Hacienda Municipal de Aguachica. Elaboración propia.</w:t>
      </w:r>
    </w:p>
    <w:p w14:paraId="50DC419C" w14:textId="0FA8A977" w:rsidR="00B576C0" w:rsidRPr="00B576C0" w:rsidRDefault="00802829" w:rsidP="000B3441">
      <w:pPr>
        <w:pStyle w:val="Ttulo3"/>
      </w:pPr>
      <w:bookmarkStart w:id="81" w:name="_Toc231741465"/>
      <w:r>
        <w:t>3.2</w:t>
      </w:r>
      <w:r w:rsidR="00B576C0">
        <w:t xml:space="preserve">.9 </w:t>
      </w:r>
      <w:r w:rsidR="00B576C0" w:rsidRPr="00B576C0">
        <w:t xml:space="preserve"> </w:t>
      </w:r>
      <w:r w:rsidR="00A23E4D">
        <w:t>A</w:t>
      </w:r>
      <w:r w:rsidR="00A23E4D" w:rsidRPr="00B576C0">
        <w:t>nálisis de sostenibilidad</w:t>
      </w:r>
      <w:bookmarkEnd w:id="81"/>
    </w:p>
    <w:p w14:paraId="6FA67033" w14:textId="2C6B91F9" w:rsidR="00B576C0" w:rsidRPr="00B576C0" w:rsidRDefault="00B576C0" w:rsidP="000B3441">
      <w:pPr>
        <w:spacing w:after="480"/>
        <w:rPr>
          <w:rFonts w:cs="Arial"/>
          <w:szCs w:val="24"/>
          <w:lang w:val="es-MX"/>
        </w:rPr>
      </w:pPr>
      <w:r w:rsidRPr="00B576C0">
        <w:rPr>
          <w:rFonts w:cs="Arial"/>
          <w:szCs w:val="24"/>
          <w:lang w:val="es-MX"/>
        </w:rPr>
        <w:t>El análisis de sostenibilidad examina si el municipio puede mantener en el tiempo sus compromisos financieros sin que el endeudamiento o los pasivos acumulados comprometan la viabilidad de sus finanzas. El portafolio de deuda pública del municipio está compuesto por dos operaciones de crédito interno. La primera fue contratada en 2022 con el Banco de Occidente por 15.000 millones de pesos corrientes, pactada a una tasa IBR más 3,4 puntos porcentuales. La segunda corresponde a un crédito contratado en 2019 con el Banco de Bogotá por 11.500 millones, migrado a partir de febrero de 2025 a una tasa IBR más 1,35 puntos porcentuales.</w:t>
      </w:r>
    </w:p>
    <w:p w14:paraId="5F2B455E" w14:textId="77777777" w:rsidR="00B576C0" w:rsidRDefault="00B576C0" w:rsidP="000B3441">
      <w:pPr>
        <w:spacing w:after="480"/>
        <w:rPr>
          <w:rFonts w:cs="Arial"/>
          <w:szCs w:val="24"/>
          <w:lang w:val="es-MX"/>
        </w:rPr>
      </w:pPr>
      <w:r w:rsidRPr="00B576C0">
        <w:rPr>
          <w:rFonts w:cs="Arial"/>
          <w:szCs w:val="24"/>
          <w:lang w:val="es-MX"/>
        </w:rPr>
        <w:t xml:space="preserve">En 2025, el servicio total de la deuda ascendió a 4.493 millones de pesos: 2.853 millones en amortización de capital y 1.640 millones en intereses. Al cierre de la vigencia, el saldo pendiente con el Banco de Occidente fue de 11.559 millones y con el Banco de Bogotá de 4.431 millones. La carga de la deuda no representa una presión fiscal significativa: el servicio equivale a menos del 3 % del gasto total </w:t>
      </w:r>
      <w:r w:rsidRPr="00B576C0">
        <w:rPr>
          <w:rFonts w:cs="Arial"/>
          <w:szCs w:val="24"/>
          <w:lang w:val="es-MX"/>
        </w:rPr>
        <w:lastRenderedPageBreak/>
        <w:t>sin financiación, los saldos se amortizan periódicamente y la migración del crédito del Banco de Bogotá a una tasa IBR más baja redujo el costo financiero de esa obligación. El municipio debe considerar, sin embargo, que las tasas variables implican un riesgo de mercado que debe monitorearse en el horizonte de proyección del MFMP.</w:t>
      </w:r>
    </w:p>
    <w:p w14:paraId="244449BF" w14:textId="0BD39802" w:rsidR="008D76B2" w:rsidRPr="008D76B2" w:rsidRDefault="008D76B2" w:rsidP="008D76B2">
      <w:pPr>
        <w:pStyle w:val="Descripcin"/>
        <w:keepNext/>
        <w:rPr>
          <w:rFonts w:ascii="Arial" w:hAnsi="Arial" w:cs="Arial"/>
          <w:i w:val="0"/>
          <w:iCs w:val="0"/>
          <w:color w:val="auto"/>
          <w:sz w:val="24"/>
          <w:szCs w:val="24"/>
        </w:rPr>
      </w:pPr>
      <w:bookmarkStart w:id="82" w:name="_Toc231741497"/>
      <w:r w:rsidRPr="008D76B2">
        <w:rPr>
          <w:rFonts w:ascii="Arial" w:hAnsi="Arial" w:cs="Arial"/>
          <w:b/>
          <w:bCs/>
          <w:i w:val="0"/>
          <w:iCs w:val="0"/>
          <w:color w:val="auto"/>
          <w:sz w:val="24"/>
          <w:szCs w:val="24"/>
        </w:rPr>
        <w:t xml:space="preserve">Figura  </w:t>
      </w:r>
      <w:r w:rsidRPr="008D76B2">
        <w:rPr>
          <w:rFonts w:ascii="Arial" w:hAnsi="Arial" w:cs="Arial"/>
          <w:b/>
          <w:bCs/>
          <w:i w:val="0"/>
          <w:iCs w:val="0"/>
          <w:color w:val="auto"/>
          <w:sz w:val="24"/>
          <w:szCs w:val="24"/>
        </w:rPr>
        <w:fldChar w:fldCharType="begin"/>
      </w:r>
      <w:r w:rsidRPr="008D76B2">
        <w:rPr>
          <w:rFonts w:ascii="Arial" w:hAnsi="Arial" w:cs="Arial"/>
          <w:b/>
          <w:bCs/>
          <w:i w:val="0"/>
          <w:iCs w:val="0"/>
          <w:color w:val="auto"/>
          <w:sz w:val="24"/>
          <w:szCs w:val="24"/>
        </w:rPr>
        <w:instrText xml:space="preserve"> SEQ Figura_ \* ARABIC </w:instrText>
      </w:r>
      <w:r w:rsidRPr="008D76B2">
        <w:rPr>
          <w:rFonts w:ascii="Arial" w:hAnsi="Arial" w:cs="Arial"/>
          <w:b/>
          <w:bCs/>
          <w:i w:val="0"/>
          <w:iCs w:val="0"/>
          <w:color w:val="auto"/>
          <w:sz w:val="24"/>
          <w:szCs w:val="24"/>
        </w:rPr>
        <w:fldChar w:fldCharType="separate"/>
      </w:r>
      <w:r w:rsidRPr="008D76B2">
        <w:rPr>
          <w:rFonts w:ascii="Arial" w:hAnsi="Arial" w:cs="Arial"/>
          <w:b/>
          <w:bCs/>
          <w:i w:val="0"/>
          <w:iCs w:val="0"/>
          <w:noProof/>
          <w:color w:val="auto"/>
          <w:sz w:val="24"/>
          <w:szCs w:val="24"/>
        </w:rPr>
        <w:t>12</w:t>
      </w:r>
      <w:r w:rsidRPr="008D76B2">
        <w:rPr>
          <w:rFonts w:ascii="Arial" w:hAnsi="Arial" w:cs="Arial"/>
          <w:b/>
          <w:bCs/>
          <w:i w:val="0"/>
          <w:iCs w:val="0"/>
          <w:color w:val="auto"/>
          <w:sz w:val="24"/>
          <w:szCs w:val="24"/>
        </w:rPr>
        <w:fldChar w:fldCharType="end"/>
      </w:r>
      <w:r w:rsidRPr="008D76B2">
        <w:rPr>
          <w:rFonts w:ascii="Arial" w:hAnsi="Arial" w:cs="Arial"/>
          <w:i w:val="0"/>
          <w:iCs w:val="0"/>
          <w:color w:val="auto"/>
          <w:sz w:val="24"/>
          <w:szCs w:val="24"/>
        </w:rPr>
        <w:t>. Servicio de la deuda pública interna del municipio de Aguachica por entidad financiera y tramo, 2025</w:t>
      </w:r>
      <w:bookmarkEnd w:id="82"/>
    </w:p>
    <w:p w14:paraId="59A9499A" w14:textId="6D1118FC" w:rsidR="008D76B2" w:rsidRDefault="008D76B2" w:rsidP="00137341">
      <w:pPr>
        <w:spacing w:after="480"/>
        <w:rPr>
          <w:rFonts w:cs="Arial"/>
          <w:szCs w:val="24"/>
          <w:lang w:val="es-MX"/>
        </w:rPr>
      </w:pPr>
      <w:r w:rsidRPr="008D76B2">
        <w:rPr>
          <w:rFonts w:cs="Arial"/>
          <w:noProof/>
          <w:szCs w:val="24"/>
          <w:lang w:val="es-MX"/>
        </w:rPr>
        <w:drawing>
          <wp:inline distT="0" distB="0" distL="0" distR="0" wp14:anchorId="40593751" wp14:editId="3CD292A0">
            <wp:extent cx="5315692" cy="3191320"/>
            <wp:effectExtent l="0" t="0" r="0" b="9525"/>
            <wp:docPr id="1691157956" name="Imagen 1" descr="Gráfico, Gráfico en casc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157956" name="Imagen 1" descr="Gráfico, Gráfico en cascada"/>
                    <pic:cNvPicPr/>
                  </pic:nvPicPr>
                  <pic:blipFill>
                    <a:blip r:embed="rId20"/>
                    <a:stretch>
                      <a:fillRect/>
                    </a:stretch>
                  </pic:blipFill>
                  <pic:spPr>
                    <a:xfrm>
                      <a:off x="0" y="0"/>
                      <a:ext cx="5315692" cy="3191320"/>
                    </a:xfrm>
                    <a:prstGeom prst="rect">
                      <a:avLst/>
                    </a:prstGeom>
                  </pic:spPr>
                </pic:pic>
              </a:graphicData>
            </a:graphic>
          </wp:inline>
        </w:drawing>
      </w:r>
    </w:p>
    <w:p w14:paraId="38BA6CD8" w14:textId="3BBD7D35" w:rsidR="00137341" w:rsidRPr="00B576C0" w:rsidRDefault="00137341" w:rsidP="00137341">
      <w:pPr>
        <w:spacing w:after="480"/>
        <w:rPr>
          <w:rFonts w:cs="Arial"/>
          <w:szCs w:val="24"/>
          <w:lang w:val="es-MX"/>
        </w:rPr>
      </w:pPr>
      <w:r w:rsidRPr="00137341">
        <w:rPr>
          <w:rFonts w:cs="Arial"/>
          <w:b/>
          <w:bCs/>
          <w:szCs w:val="24"/>
          <w:lang w:val="es-MX"/>
        </w:rPr>
        <w:t>Nota</w:t>
      </w:r>
      <w:r w:rsidRPr="00137341">
        <w:rPr>
          <w:rFonts w:cs="Arial"/>
          <w:szCs w:val="24"/>
          <w:lang w:val="es-MX"/>
        </w:rPr>
        <w:t>. La figura presenta la composición del servicio de la deuda pública interna correspondiente a la vigencia fiscal 2025, discriminando los pagos realizados por concepto de intereses y amortización de capital para cada uno de los tramos de los créditos contratados con el Banco de Occidente (2022) y el Banco de Bogotá (2019). Fuente: Secretaría de Hacienda Municipal de Aguachica. Elaboración propia.</w:t>
      </w:r>
    </w:p>
    <w:p w14:paraId="1A111645" w14:textId="47D9CCB5" w:rsidR="00B576C0" w:rsidRPr="00B576C0" w:rsidRDefault="00B576C0" w:rsidP="000B3441">
      <w:pPr>
        <w:pStyle w:val="Ttulo3"/>
      </w:pPr>
      <w:bookmarkStart w:id="83" w:name="_Toc231741466"/>
      <w:r w:rsidRPr="00B576C0">
        <w:t>3.2.</w:t>
      </w:r>
      <w:r>
        <w:t>10</w:t>
      </w:r>
      <w:r w:rsidRPr="00B576C0">
        <w:t xml:space="preserve"> </w:t>
      </w:r>
      <w:r w:rsidR="00A23E4D">
        <w:t>C</w:t>
      </w:r>
      <w:r w:rsidR="00A23E4D" w:rsidRPr="00B576C0">
        <w:t>umplimiento de metas del MFMP anterior</w:t>
      </w:r>
      <w:bookmarkEnd w:id="83"/>
    </w:p>
    <w:p w14:paraId="1C9016DB" w14:textId="23CC0F33" w:rsidR="00B576C0" w:rsidRPr="00B576C0" w:rsidRDefault="00B576C0" w:rsidP="000B3441">
      <w:pPr>
        <w:spacing w:after="480"/>
        <w:rPr>
          <w:rFonts w:cs="Arial"/>
          <w:szCs w:val="24"/>
          <w:lang w:val="es-MX"/>
        </w:rPr>
      </w:pPr>
      <w:r w:rsidRPr="00B576C0">
        <w:rPr>
          <w:rFonts w:cs="Arial"/>
          <w:szCs w:val="24"/>
          <w:lang w:val="es-MX"/>
        </w:rPr>
        <w:t xml:space="preserve">El MFMP 2025–2034 estableció metas orientadas al mantenimiento del equilibrio fiscal y a la gestión administrativa y tributaria del municipio. La meta fiscal central consistía en mantener los gastos de funcionamiento por debajo del 70 % de los ingresos corrientes de libre destinación, en cumplimiento de los límites de la Ley 617 de 2000. El análisis de la ejecución presupuestal reciente muestra que el </w:t>
      </w:r>
      <w:r w:rsidRPr="00B576C0">
        <w:rPr>
          <w:rFonts w:cs="Arial"/>
          <w:szCs w:val="24"/>
          <w:lang w:val="es-MX"/>
        </w:rPr>
        <w:lastRenderedPageBreak/>
        <w:t>funcionamiento representó alrededor del 10 % del gasto total sin financiación a lo largo del periodo analizado, lo que indica que el cumplimiento del límite legal se ha logrado con un margen amplio.</w:t>
      </w:r>
    </w:p>
    <w:p w14:paraId="5EC99577" w14:textId="77777777" w:rsidR="00B576C0" w:rsidRPr="00B576C0" w:rsidRDefault="00B576C0" w:rsidP="000B3441">
      <w:pPr>
        <w:spacing w:after="480"/>
        <w:rPr>
          <w:rFonts w:cs="Arial"/>
          <w:szCs w:val="24"/>
          <w:lang w:val="es-MX"/>
        </w:rPr>
      </w:pPr>
      <w:r w:rsidRPr="00B576C0">
        <w:rPr>
          <w:rFonts w:cs="Arial"/>
          <w:szCs w:val="24"/>
          <w:lang w:val="es-MX"/>
        </w:rPr>
        <w:t>Respecto a las metas de gestión institucional, el nivel de avance es heterogéneo. Las campañas de inscripción y pago de los impuestos de industria y comercio y predial unificado se han ejecutado de forma periódica. La actualización del inventario de predios para el impuesto predial está en curso, mientras que la implementación del catastro multipropósito aún no se ha materializado. En cuanto al saneamiento contable, el estudio de reorganización administrativa y la implementación del MIPG, no se contó con información suficiente para verificar el estado de avance durante el periodo de práctica.</w:t>
      </w:r>
    </w:p>
    <w:p w14:paraId="7677E220" w14:textId="51BAA4D6" w:rsidR="00B576C0" w:rsidRPr="00B576C0" w:rsidRDefault="00B576C0" w:rsidP="000B3441">
      <w:pPr>
        <w:pStyle w:val="Ttulo3"/>
      </w:pPr>
      <w:bookmarkStart w:id="84" w:name="_Toc231741467"/>
      <w:r w:rsidRPr="00B576C0">
        <w:t>3.2.</w:t>
      </w:r>
      <w:r>
        <w:t>11</w:t>
      </w:r>
      <w:r w:rsidRPr="00B576C0">
        <w:t xml:space="preserve"> </w:t>
      </w:r>
      <w:r w:rsidR="00A23E4D">
        <w:t>A</w:t>
      </w:r>
      <w:r w:rsidR="00A23E4D" w:rsidRPr="00B576C0">
        <w:t>utodiagnóstico de la situación fiscal actual</w:t>
      </w:r>
      <w:bookmarkEnd w:id="84"/>
    </w:p>
    <w:p w14:paraId="702AD50A" w14:textId="77777777" w:rsidR="00B576C0" w:rsidRPr="00B576C0" w:rsidRDefault="00B576C0" w:rsidP="000B3441">
      <w:pPr>
        <w:spacing w:after="480"/>
        <w:rPr>
          <w:rFonts w:cs="Arial"/>
          <w:szCs w:val="24"/>
          <w:lang w:val="es-MX"/>
        </w:rPr>
      </w:pPr>
      <w:r w:rsidRPr="00B576C0">
        <w:rPr>
          <w:rFonts w:cs="Arial"/>
          <w:szCs w:val="24"/>
          <w:lang w:val="es-MX"/>
        </w:rPr>
        <w:t>La síntesis del análisis fiscal permite clasificar al municipio de Aguachica en el escenario de finanzas sostenibles: genera superávits fiscales en la mayoría de las vigencias analizadas, mantiene un gasto de funcionamiento con baja rigidez, opera con un nivel de endeudamiento que no ejerce presiones significativas sobre el presupuesto y ha demostrado una capacidad técnica de programación presupuestal consistente a lo largo del periodo.</w:t>
      </w:r>
    </w:p>
    <w:p w14:paraId="6F3AFA3A" w14:textId="21CD028C" w:rsidR="001F3230" w:rsidRDefault="00B576C0" w:rsidP="000B3441">
      <w:pPr>
        <w:spacing w:after="480"/>
        <w:rPr>
          <w:rFonts w:cs="Arial"/>
          <w:szCs w:val="24"/>
          <w:lang w:val="es-MX"/>
        </w:rPr>
      </w:pPr>
      <w:r w:rsidRPr="00B576C0">
        <w:rPr>
          <w:rFonts w:cs="Arial"/>
          <w:szCs w:val="24"/>
          <w:lang w:val="es-MX"/>
        </w:rPr>
        <w:t>Las vulnerabilidades identificadas son igualmente claras: la dependencia estructural de las transferencias corrientes como fuente principal de financiamiento (80 % del ingreso), el bajo peso relativo del impuesto predial dentro del recaudo tributario propio, la pérdida de participación de la sobretasa a la gasolina y la volatilidad de las estampillas. En conjunto, estas debilidades indican que la autonomía fiscal del municipio es reducida y que su sostenibilidad de largo plazo depende de factores externos sobre los que no ejerce control. Fortalecer el recaudo propio</w:t>
      </w:r>
      <w:r w:rsidR="00FD7212">
        <w:rPr>
          <w:rFonts w:cs="Arial"/>
          <w:szCs w:val="24"/>
          <w:lang w:val="es-MX"/>
        </w:rPr>
        <w:t xml:space="preserve">, </w:t>
      </w:r>
      <w:r w:rsidRPr="00B576C0">
        <w:rPr>
          <w:rFonts w:cs="Arial"/>
          <w:szCs w:val="24"/>
          <w:lang w:val="es-MX"/>
        </w:rPr>
        <w:t>especialmente mediante la actualización catastral y el cobro efectivo del predial</w:t>
      </w:r>
      <w:r w:rsidR="00FD7212">
        <w:rPr>
          <w:rFonts w:cs="Arial"/>
          <w:szCs w:val="24"/>
          <w:lang w:val="es-MX"/>
        </w:rPr>
        <w:t>,</w:t>
      </w:r>
      <w:r w:rsidRPr="00B576C0">
        <w:rPr>
          <w:rFonts w:cs="Arial"/>
          <w:szCs w:val="24"/>
          <w:lang w:val="es-MX"/>
        </w:rPr>
        <w:t xml:space="preserve"> es la medida con mayor potencial para mejorar estructuralmente la posición fiscal de Aguachica.</w:t>
      </w:r>
    </w:p>
    <w:p w14:paraId="7A689102" w14:textId="77777777" w:rsidR="003D5215" w:rsidRDefault="003D5215" w:rsidP="00770F1F">
      <w:pPr>
        <w:pStyle w:val="Ttulo2"/>
        <w:spacing w:line="240" w:lineRule="auto"/>
      </w:pPr>
      <w:bookmarkStart w:id="85" w:name="_Toc231741468"/>
      <w:r w:rsidRPr="003D5215">
        <w:t>3.</w:t>
      </w:r>
      <w:r>
        <w:t>3</w:t>
      </w:r>
      <w:r w:rsidRPr="003D5215">
        <w:t xml:space="preserve"> OBJETIVO ESPECÍFICO </w:t>
      </w:r>
      <w:r>
        <w:t>3</w:t>
      </w:r>
      <w:r w:rsidRPr="003D5215">
        <w:t>: Definir el plan de acción mediante la evaluación del balance financiero proyectado, para garantizar el cumplimiento de las metas fiscales al 2035</w:t>
      </w:r>
      <w:bookmarkEnd w:id="85"/>
    </w:p>
    <w:p w14:paraId="1DD5FDCD" w14:textId="66F51800" w:rsidR="00EC7ADA" w:rsidRDefault="00CF6B0A" w:rsidP="002824F1">
      <w:pPr>
        <w:rPr>
          <w:rFonts w:cs="Arial"/>
          <w:szCs w:val="24"/>
          <w:lang w:val="es-MX"/>
        </w:rPr>
      </w:pPr>
      <w:r w:rsidRPr="00CF6B0A">
        <w:rPr>
          <w:rFonts w:cs="Arial"/>
          <w:szCs w:val="24"/>
          <w:lang w:val="es-MX"/>
        </w:rPr>
        <w:t xml:space="preserve">El tercer objetivo articula los hallazgos del diagnóstico y las proyecciones financieras en un conjunto de medidas concretas, medibles y calendarizadas que orientan la gestión fiscal del municipio de Aguachica durante el horizonte 2026–2035. Si el objetivo 2 respondió la pregunta de hacia dónde se dirigen las finanzas municipales bajo un escenario inercial, este objetivo responde la pregunta </w:t>
      </w:r>
      <w:r w:rsidRPr="00CF6B0A">
        <w:rPr>
          <w:rFonts w:cs="Arial"/>
          <w:szCs w:val="24"/>
          <w:lang w:val="es-MX"/>
        </w:rPr>
        <w:lastRenderedPageBreak/>
        <w:t>complementaria: qué debe hacer la administración para que ese escenario sea sostenible y, en lo posible, mejorado.</w:t>
      </w:r>
    </w:p>
    <w:p w14:paraId="17D0DE03" w14:textId="49BD4DDA" w:rsidR="00EC7ADA" w:rsidRPr="00A94B3E" w:rsidRDefault="00A94B3E" w:rsidP="00A94B3E">
      <w:pPr>
        <w:pStyle w:val="Ttulo3"/>
        <w:rPr>
          <w:lang w:val="es-MX"/>
        </w:rPr>
      </w:pPr>
      <w:bookmarkStart w:id="86" w:name="_Toc231741469"/>
      <w:r w:rsidRPr="00A94B3E">
        <w:rPr>
          <w:lang w:val="es-MX"/>
        </w:rPr>
        <w:t xml:space="preserve">3.3.1 </w:t>
      </w:r>
      <w:r w:rsidR="00A23E4D">
        <w:rPr>
          <w:lang w:val="es-MX"/>
        </w:rPr>
        <w:t>E</w:t>
      </w:r>
      <w:r w:rsidR="00A23E4D" w:rsidRPr="00A94B3E">
        <w:rPr>
          <w:lang w:val="es-MX"/>
        </w:rPr>
        <w:t>valuación del balance financiero proyectado</w:t>
      </w:r>
      <w:bookmarkEnd w:id="86"/>
    </w:p>
    <w:p w14:paraId="06B694FC" w14:textId="1575BB9E" w:rsidR="00EC7ADA" w:rsidRDefault="00A94B3E" w:rsidP="00A94B3E">
      <w:pPr>
        <w:spacing w:after="480"/>
        <w:rPr>
          <w:rFonts w:cs="Arial"/>
          <w:szCs w:val="24"/>
          <w:lang w:val="es-MX"/>
        </w:rPr>
      </w:pPr>
      <w:r w:rsidRPr="00A94B3E">
        <w:rPr>
          <w:rFonts w:cs="Arial"/>
          <w:szCs w:val="24"/>
          <w:lang w:val="es-MX"/>
        </w:rPr>
        <w:t>El punto de partida del plan de acción es la lectura del balance financiero proyectado para el periodo 2026–2035. Los resultados del escenario base, construido sobre los supuestos definidos en el objetivo 1, muestran que el municipio mantiene una posición superavitaria en ambas medidas del balance a lo largo de todo el horizonte de proyección, lo que constituye una señal técnicamente favorable sobre la viabilidad fiscal de mediano plazo</w:t>
      </w:r>
      <w:r>
        <w:rPr>
          <w:rFonts w:cs="Arial"/>
          <w:szCs w:val="24"/>
          <w:lang w:val="es-MX"/>
        </w:rPr>
        <w:t>.</w:t>
      </w:r>
    </w:p>
    <w:p w14:paraId="7BCC9FF8" w14:textId="5CCFD988" w:rsidR="00A94B3E" w:rsidRPr="00865163" w:rsidRDefault="00A94B3E" w:rsidP="00A94B3E">
      <w:pPr>
        <w:pStyle w:val="Descripcin"/>
        <w:keepNext/>
        <w:rPr>
          <w:rFonts w:ascii="Arial" w:hAnsi="Arial" w:cs="Arial"/>
          <w:i w:val="0"/>
          <w:iCs w:val="0"/>
          <w:color w:val="auto"/>
          <w:sz w:val="24"/>
          <w:szCs w:val="24"/>
        </w:rPr>
      </w:pPr>
      <w:bookmarkStart w:id="87" w:name="_Toc231741484"/>
      <w:r w:rsidRPr="00865163">
        <w:rPr>
          <w:rFonts w:ascii="Arial" w:hAnsi="Arial" w:cs="Arial"/>
          <w:b/>
          <w:bCs/>
          <w:i w:val="0"/>
          <w:iCs w:val="0"/>
          <w:color w:val="auto"/>
          <w:sz w:val="24"/>
          <w:szCs w:val="24"/>
        </w:rPr>
        <w:t xml:space="preserve">Tabla </w:t>
      </w:r>
      <w:r w:rsidRPr="00865163">
        <w:rPr>
          <w:rFonts w:ascii="Arial" w:hAnsi="Arial" w:cs="Arial"/>
          <w:b/>
          <w:bCs/>
          <w:i w:val="0"/>
          <w:iCs w:val="0"/>
          <w:color w:val="auto"/>
          <w:sz w:val="24"/>
          <w:szCs w:val="24"/>
        </w:rPr>
        <w:fldChar w:fldCharType="begin"/>
      </w:r>
      <w:r w:rsidRPr="00865163">
        <w:rPr>
          <w:rFonts w:ascii="Arial" w:hAnsi="Arial" w:cs="Arial"/>
          <w:b/>
          <w:bCs/>
          <w:i w:val="0"/>
          <w:iCs w:val="0"/>
          <w:color w:val="auto"/>
          <w:sz w:val="24"/>
          <w:szCs w:val="24"/>
        </w:rPr>
        <w:instrText xml:space="preserve"> SEQ Tabla \* ARABIC </w:instrText>
      </w:r>
      <w:r w:rsidRPr="00865163">
        <w:rPr>
          <w:rFonts w:ascii="Arial" w:hAnsi="Arial" w:cs="Arial"/>
          <w:b/>
          <w:bCs/>
          <w:i w:val="0"/>
          <w:iCs w:val="0"/>
          <w:color w:val="auto"/>
          <w:sz w:val="24"/>
          <w:szCs w:val="24"/>
        </w:rPr>
        <w:fldChar w:fldCharType="separate"/>
      </w:r>
      <w:r w:rsidR="002B0D85">
        <w:rPr>
          <w:rFonts w:ascii="Arial" w:hAnsi="Arial" w:cs="Arial"/>
          <w:b/>
          <w:bCs/>
          <w:i w:val="0"/>
          <w:iCs w:val="0"/>
          <w:noProof/>
          <w:color w:val="auto"/>
          <w:sz w:val="24"/>
          <w:szCs w:val="24"/>
        </w:rPr>
        <w:t>6</w:t>
      </w:r>
      <w:r w:rsidRPr="00865163">
        <w:rPr>
          <w:rFonts w:ascii="Arial" w:hAnsi="Arial" w:cs="Arial"/>
          <w:b/>
          <w:bCs/>
          <w:i w:val="0"/>
          <w:iCs w:val="0"/>
          <w:color w:val="auto"/>
          <w:sz w:val="24"/>
          <w:szCs w:val="24"/>
        </w:rPr>
        <w:fldChar w:fldCharType="end"/>
      </w:r>
      <w:r w:rsidRPr="00865163">
        <w:rPr>
          <w:rFonts w:ascii="Arial" w:hAnsi="Arial" w:cs="Arial"/>
          <w:i w:val="0"/>
          <w:iCs w:val="0"/>
          <w:color w:val="auto"/>
          <w:sz w:val="24"/>
          <w:szCs w:val="24"/>
        </w:rPr>
        <w:t>. Balance fiscal proyectado 2026–2035 (millones de pesos corrientes)</w:t>
      </w:r>
      <w:bookmarkEnd w:id="87"/>
    </w:p>
    <w:tbl>
      <w:tblPr>
        <w:tblW w:w="5000" w:type="pct"/>
        <w:tblBorders>
          <w:top w:val="single" w:sz="1" w:space="0" w:color="AAAAAA"/>
          <w:left w:val="single" w:sz="1" w:space="0" w:color="AAAAAA"/>
          <w:bottom w:val="single" w:sz="1" w:space="0" w:color="AAAAAA"/>
          <w:right w:val="single" w:sz="1" w:space="0" w:color="AAAAAA"/>
          <w:insideH w:val="single" w:sz="4" w:space="0" w:color="auto"/>
          <w:insideV w:val="single" w:sz="4" w:space="0" w:color="auto"/>
        </w:tblBorders>
        <w:tblCellMar>
          <w:left w:w="10" w:type="dxa"/>
          <w:right w:w="10" w:type="dxa"/>
        </w:tblCellMar>
        <w:tblLook w:val="0000" w:firstRow="0" w:lastRow="0" w:firstColumn="0" w:lastColumn="0" w:noHBand="0" w:noVBand="0"/>
      </w:tblPr>
      <w:tblGrid>
        <w:gridCol w:w="1628"/>
        <w:gridCol w:w="691"/>
        <w:gridCol w:w="691"/>
        <w:gridCol w:w="691"/>
        <w:gridCol w:w="791"/>
        <w:gridCol w:w="691"/>
        <w:gridCol w:w="691"/>
        <w:gridCol w:w="791"/>
        <w:gridCol w:w="691"/>
        <w:gridCol w:w="791"/>
        <w:gridCol w:w="691"/>
      </w:tblGrid>
      <w:tr w:rsidR="00A94B3E" w:rsidRPr="00A94B3E" w14:paraId="77BECCD9" w14:textId="77777777" w:rsidTr="00844373">
        <w:tc>
          <w:tcPr>
            <w:tcW w:w="0" w:type="auto"/>
            <w:shd w:val="clear" w:color="auto" w:fill="D9D9D9"/>
            <w:tcMar>
              <w:top w:w="60" w:type="dxa"/>
              <w:left w:w="120" w:type="dxa"/>
              <w:bottom w:w="60" w:type="dxa"/>
              <w:right w:w="120" w:type="dxa"/>
            </w:tcMar>
          </w:tcPr>
          <w:p w14:paraId="45E11EFF" w14:textId="77777777" w:rsidR="00A94B3E" w:rsidRPr="00A94B3E" w:rsidRDefault="00A94B3E" w:rsidP="00844373">
            <w:pPr>
              <w:rPr>
                <w:rFonts w:cs="Arial"/>
                <w:sz w:val="18"/>
                <w:szCs w:val="18"/>
              </w:rPr>
            </w:pPr>
            <w:r w:rsidRPr="00A94B3E">
              <w:rPr>
                <w:rFonts w:eastAsia="Times New Roman" w:cs="Arial"/>
                <w:b/>
                <w:bCs/>
                <w:sz w:val="18"/>
                <w:szCs w:val="18"/>
              </w:rPr>
              <w:t>Indicador</w:t>
            </w:r>
          </w:p>
        </w:tc>
        <w:tc>
          <w:tcPr>
            <w:tcW w:w="0" w:type="auto"/>
            <w:shd w:val="clear" w:color="auto" w:fill="D9D9D9"/>
            <w:tcMar>
              <w:top w:w="60" w:type="dxa"/>
              <w:left w:w="120" w:type="dxa"/>
              <w:bottom w:w="60" w:type="dxa"/>
              <w:right w:w="120" w:type="dxa"/>
            </w:tcMar>
          </w:tcPr>
          <w:p w14:paraId="686EF62D" w14:textId="77777777" w:rsidR="00A94B3E" w:rsidRPr="00A94B3E" w:rsidRDefault="00A94B3E" w:rsidP="00844373">
            <w:pPr>
              <w:jc w:val="center"/>
              <w:rPr>
                <w:rFonts w:cs="Arial"/>
                <w:sz w:val="18"/>
                <w:szCs w:val="18"/>
              </w:rPr>
            </w:pPr>
            <w:r w:rsidRPr="00A94B3E">
              <w:rPr>
                <w:rFonts w:eastAsia="Times New Roman" w:cs="Arial"/>
                <w:b/>
                <w:bCs/>
                <w:sz w:val="18"/>
                <w:szCs w:val="18"/>
              </w:rPr>
              <w:t>2026</w:t>
            </w:r>
          </w:p>
        </w:tc>
        <w:tc>
          <w:tcPr>
            <w:tcW w:w="0" w:type="auto"/>
            <w:shd w:val="clear" w:color="auto" w:fill="D9D9D9"/>
            <w:tcMar>
              <w:top w:w="60" w:type="dxa"/>
              <w:left w:w="120" w:type="dxa"/>
              <w:bottom w:w="60" w:type="dxa"/>
              <w:right w:w="120" w:type="dxa"/>
            </w:tcMar>
          </w:tcPr>
          <w:p w14:paraId="03E6F883" w14:textId="77777777" w:rsidR="00A94B3E" w:rsidRPr="00A94B3E" w:rsidRDefault="00A94B3E" w:rsidP="00844373">
            <w:pPr>
              <w:jc w:val="center"/>
              <w:rPr>
                <w:rFonts w:cs="Arial"/>
                <w:sz w:val="18"/>
                <w:szCs w:val="18"/>
              </w:rPr>
            </w:pPr>
            <w:r w:rsidRPr="00A94B3E">
              <w:rPr>
                <w:rFonts w:eastAsia="Times New Roman" w:cs="Arial"/>
                <w:b/>
                <w:bCs/>
                <w:sz w:val="18"/>
                <w:szCs w:val="18"/>
              </w:rPr>
              <w:t>2027</w:t>
            </w:r>
          </w:p>
        </w:tc>
        <w:tc>
          <w:tcPr>
            <w:tcW w:w="0" w:type="auto"/>
            <w:shd w:val="clear" w:color="auto" w:fill="D9D9D9"/>
            <w:tcMar>
              <w:top w:w="60" w:type="dxa"/>
              <w:left w:w="120" w:type="dxa"/>
              <w:bottom w:w="60" w:type="dxa"/>
              <w:right w:w="120" w:type="dxa"/>
            </w:tcMar>
          </w:tcPr>
          <w:p w14:paraId="4ED87D1A" w14:textId="77777777" w:rsidR="00A94B3E" w:rsidRPr="00A94B3E" w:rsidRDefault="00A94B3E" w:rsidP="00844373">
            <w:pPr>
              <w:jc w:val="center"/>
              <w:rPr>
                <w:rFonts w:cs="Arial"/>
                <w:sz w:val="18"/>
                <w:szCs w:val="18"/>
              </w:rPr>
            </w:pPr>
            <w:r w:rsidRPr="00A94B3E">
              <w:rPr>
                <w:rFonts w:eastAsia="Times New Roman" w:cs="Arial"/>
                <w:b/>
                <w:bCs/>
                <w:sz w:val="18"/>
                <w:szCs w:val="18"/>
              </w:rPr>
              <w:t>2028</w:t>
            </w:r>
          </w:p>
        </w:tc>
        <w:tc>
          <w:tcPr>
            <w:tcW w:w="0" w:type="auto"/>
            <w:shd w:val="clear" w:color="auto" w:fill="D9D9D9"/>
            <w:tcMar>
              <w:top w:w="60" w:type="dxa"/>
              <w:left w:w="120" w:type="dxa"/>
              <w:bottom w:w="60" w:type="dxa"/>
              <w:right w:w="120" w:type="dxa"/>
            </w:tcMar>
          </w:tcPr>
          <w:p w14:paraId="62441B2C" w14:textId="77777777" w:rsidR="00A94B3E" w:rsidRPr="00A94B3E" w:rsidRDefault="00A94B3E" w:rsidP="00844373">
            <w:pPr>
              <w:jc w:val="center"/>
              <w:rPr>
                <w:rFonts w:cs="Arial"/>
                <w:sz w:val="18"/>
                <w:szCs w:val="18"/>
              </w:rPr>
            </w:pPr>
            <w:r w:rsidRPr="00A94B3E">
              <w:rPr>
                <w:rFonts w:eastAsia="Times New Roman" w:cs="Arial"/>
                <w:b/>
                <w:bCs/>
                <w:sz w:val="18"/>
                <w:szCs w:val="18"/>
              </w:rPr>
              <w:t>2029</w:t>
            </w:r>
          </w:p>
        </w:tc>
        <w:tc>
          <w:tcPr>
            <w:tcW w:w="0" w:type="auto"/>
            <w:shd w:val="clear" w:color="auto" w:fill="D9D9D9"/>
            <w:tcMar>
              <w:top w:w="60" w:type="dxa"/>
              <w:left w:w="120" w:type="dxa"/>
              <w:bottom w:w="60" w:type="dxa"/>
              <w:right w:w="120" w:type="dxa"/>
            </w:tcMar>
          </w:tcPr>
          <w:p w14:paraId="69D340D2" w14:textId="77777777" w:rsidR="00A94B3E" w:rsidRPr="00A94B3E" w:rsidRDefault="00A94B3E" w:rsidP="00844373">
            <w:pPr>
              <w:jc w:val="center"/>
              <w:rPr>
                <w:rFonts w:cs="Arial"/>
                <w:sz w:val="18"/>
                <w:szCs w:val="18"/>
              </w:rPr>
            </w:pPr>
            <w:r w:rsidRPr="00A94B3E">
              <w:rPr>
                <w:rFonts w:eastAsia="Times New Roman" w:cs="Arial"/>
                <w:b/>
                <w:bCs/>
                <w:sz w:val="18"/>
                <w:szCs w:val="18"/>
              </w:rPr>
              <w:t>2030</w:t>
            </w:r>
          </w:p>
        </w:tc>
        <w:tc>
          <w:tcPr>
            <w:tcW w:w="0" w:type="auto"/>
            <w:shd w:val="clear" w:color="auto" w:fill="D9D9D9"/>
            <w:tcMar>
              <w:top w:w="60" w:type="dxa"/>
              <w:left w:w="120" w:type="dxa"/>
              <w:bottom w:w="60" w:type="dxa"/>
              <w:right w:w="120" w:type="dxa"/>
            </w:tcMar>
          </w:tcPr>
          <w:p w14:paraId="686AB052" w14:textId="77777777" w:rsidR="00A94B3E" w:rsidRPr="00A94B3E" w:rsidRDefault="00A94B3E" w:rsidP="00844373">
            <w:pPr>
              <w:jc w:val="center"/>
              <w:rPr>
                <w:rFonts w:cs="Arial"/>
                <w:sz w:val="18"/>
                <w:szCs w:val="18"/>
              </w:rPr>
            </w:pPr>
            <w:r w:rsidRPr="00A94B3E">
              <w:rPr>
                <w:rFonts w:eastAsia="Times New Roman" w:cs="Arial"/>
                <w:b/>
                <w:bCs/>
                <w:sz w:val="18"/>
                <w:szCs w:val="18"/>
              </w:rPr>
              <w:t>2031</w:t>
            </w:r>
          </w:p>
        </w:tc>
        <w:tc>
          <w:tcPr>
            <w:tcW w:w="0" w:type="auto"/>
            <w:shd w:val="clear" w:color="auto" w:fill="D9D9D9"/>
            <w:tcMar>
              <w:top w:w="60" w:type="dxa"/>
              <w:left w:w="120" w:type="dxa"/>
              <w:bottom w:w="60" w:type="dxa"/>
              <w:right w:w="120" w:type="dxa"/>
            </w:tcMar>
          </w:tcPr>
          <w:p w14:paraId="5FFB398A" w14:textId="77777777" w:rsidR="00A94B3E" w:rsidRPr="00A94B3E" w:rsidRDefault="00A94B3E" w:rsidP="00844373">
            <w:pPr>
              <w:jc w:val="center"/>
              <w:rPr>
                <w:rFonts w:cs="Arial"/>
                <w:sz w:val="18"/>
                <w:szCs w:val="18"/>
              </w:rPr>
            </w:pPr>
            <w:r w:rsidRPr="00A94B3E">
              <w:rPr>
                <w:rFonts w:eastAsia="Times New Roman" w:cs="Arial"/>
                <w:b/>
                <w:bCs/>
                <w:sz w:val="18"/>
                <w:szCs w:val="18"/>
              </w:rPr>
              <w:t>2032</w:t>
            </w:r>
          </w:p>
        </w:tc>
        <w:tc>
          <w:tcPr>
            <w:tcW w:w="0" w:type="auto"/>
            <w:shd w:val="clear" w:color="auto" w:fill="D9D9D9"/>
            <w:tcMar>
              <w:top w:w="60" w:type="dxa"/>
              <w:left w:w="120" w:type="dxa"/>
              <w:bottom w:w="60" w:type="dxa"/>
              <w:right w:w="120" w:type="dxa"/>
            </w:tcMar>
          </w:tcPr>
          <w:p w14:paraId="43DB57B9" w14:textId="77777777" w:rsidR="00A94B3E" w:rsidRPr="00A94B3E" w:rsidRDefault="00A94B3E" w:rsidP="00844373">
            <w:pPr>
              <w:jc w:val="center"/>
              <w:rPr>
                <w:rFonts w:cs="Arial"/>
                <w:sz w:val="18"/>
                <w:szCs w:val="18"/>
              </w:rPr>
            </w:pPr>
            <w:r w:rsidRPr="00A94B3E">
              <w:rPr>
                <w:rFonts w:eastAsia="Times New Roman" w:cs="Arial"/>
                <w:b/>
                <w:bCs/>
                <w:sz w:val="18"/>
                <w:szCs w:val="18"/>
              </w:rPr>
              <w:t>2033</w:t>
            </w:r>
          </w:p>
        </w:tc>
        <w:tc>
          <w:tcPr>
            <w:tcW w:w="0" w:type="auto"/>
            <w:shd w:val="clear" w:color="auto" w:fill="D9D9D9"/>
            <w:tcMar>
              <w:top w:w="60" w:type="dxa"/>
              <w:left w:w="120" w:type="dxa"/>
              <w:bottom w:w="60" w:type="dxa"/>
              <w:right w:w="120" w:type="dxa"/>
            </w:tcMar>
          </w:tcPr>
          <w:p w14:paraId="50C11FF5" w14:textId="77777777" w:rsidR="00A94B3E" w:rsidRPr="00A94B3E" w:rsidRDefault="00A94B3E" w:rsidP="00844373">
            <w:pPr>
              <w:jc w:val="center"/>
              <w:rPr>
                <w:rFonts w:cs="Arial"/>
                <w:sz w:val="18"/>
                <w:szCs w:val="18"/>
              </w:rPr>
            </w:pPr>
            <w:r w:rsidRPr="00A94B3E">
              <w:rPr>
                <w:rFonts w:eastAsia="Times New Roman" w:cs="Arial"/>
                <w:b/>
                <w:bCs/>
                <w:sz w:val="18"/>
                <w:szCs w:val="18"/>
              </w:rPr>
              <w:t>2034</w:t>
            </w:r>
          </w:p>
        </w:tc>
        <w:tc>
          <w:tcPr>
            <w:tcW w:w="0" w:type="auto"/>
            <w:shd w:val="clear" w:color="auto" w:fill="D9D9D9"/>
            <w:tcMar>
              <w:top w:w="60" w:type="dxa"/>
              <w:left w:w="120" w:type="dxa"/>
              <w:bottom w:w="60" w:type="dxa"/>
              <w:right w:w="120" w:type="dxa"/>
            </w:tcMar>
          </w:tcPr>
          <w:p w14:paraId="1BF3EC59" w14:textId="77777777" w:rsidR="00A94B3E" w:rsidRPr="00A94B3E" w:rsidRDefault="00A94B3E" w:rsidP="00844373">
            <w:pPr>
              <w:jc w:val="center"/>
              <w:rPr>
                <w:rFonts w:cs="Arial"/>
                <w:sz w:val="18"/>
                <w:szCs w:val="18"/>
              </w:rPr>
            </w:pPr>
            <w:r w:rsidRPr="00A94B3E">
              <w:rPr>
                <w:rFonts w:eastAsia="Times New Roman" w:cs="Arial"/>
                <w:b/>
                <w:bCs/>
                <w:sz w:val="18"/>
                <w:szCs w:val="18"/>
              </w:rPr>
              <w:t>2035</w:t>
            </w:r>
          </w:p>
        </w:tc>
      </w:tr>
      <w:tr w:rsidR="00A94B3E" w:rsidRPr="00A94B3E" w14:paraId="1E98B39A" w14:textId="77777777" w:rsidTr="00844373">
        <w:tc>
          <w:tcPr>
            <w:tcW w:w="0" w:type="auto"/>
            <w:tcMar>
              <w:top w:w="60" w:type="dxa"/>
              <w:left w:w="120" w:type="dxa"/>
              <w:bottom w:w="60" w:type="dxa"/>
              <w:right w:w="120" w:type="dxa"/>
            </w:tcMar>
          </w:tcPr>
          <w:p w14:paraId="6DC59BB6" w14:textId="77777777" w:rsidR="00A94B3E" w:rsidRPr="00A94B3E" w:rsidRDefault="00A94B3E" w:rsidP="00844373">
            <w:pPr>
              <w:rPr>
                <w:rFonts w:cs="Arial"/>
                <w:sz w:val="18"/>
                <w:szCs w:val="18"/>
              </w:rPr>
            </w:pPr>
            <w:r w:rsidRPr="00A94B3E">
              <w:rPr>
                <w:rFonts w:eastAsia="Times New Roman" w:cs="Arial"/>
                <w:sz w:val="18"/>
                <w:szCs w:val="18"/>
              </w:rPr>
              <w:t>Superávit primario (millones $)</w:t>
            </w:r>
          </w:p>
        </w:tc>
        <w:tc>
          <w:tcPr>
            <w:tcW w:w="0" w:type="auto"/>
            <w:tcMar>
              <w:top w:w="60" w:type="dxa"/>
              <w:left w:w="120" w:type="dxa"/>
              <w:bottom w:w="60" w:type="dxa"/>
              <w:right w:w="120" w:type="dxa"/>
            </w:tcMar>
          </w:tcPr>
          <w:p w14:paraId="50F3911F" w14:textId="77777777" w:rsidR="00A94B3E" w:rsidRPr="00A94B3E" w:rsidRDefault="00A94B3E" w:rsidP="00844373">
            <w:pPr>
              <w:jc w:val="center"/>
              <w:rPr>
                <w:rFonts w:cs="Arial"/>
                <w:sz w:val="18"/>
                <w:szCs w:val="18"/>
              </w:rPr>
            </w:pPr>
            <w:r w:rsidRPr="00A94B3E">
              <w:rPr>
                <w:rFonts w:eastAsia="Times New Roman" w:cs="Arial"/>
                <w:sz w:val="18"/>
                <w:szCs w:val="18"/>
              </w:rPr>
              <w:t>7.882</w:t>
            </w:r>
          </w:p>
        </w:tc>
        <w:tc>
          <w:tcPr>
            <w:tcW w:w="0" w:type="auto"/>
            <w:tcMar>
              <w:top w:w="60" w:type="dxa"/>
              <w:left w:w="120" w:type="dxa"/>
              <w:bottom w:w="60" w:type="dxa"/>
              <w:right w:w="120" w:type="dxa"/>
            </w:tcMar>
          </w:tcPr>
          <w:p w14:paraId="2B1343C8" w14:textId="77777777" w:rsidR="00A94B3E" w:rsidRPr="00A94B3E" w:rsidRDefault="00A94B3E" w:rsidP="00844373">
            <w:pPr>
              <w:jc w:val="center"/>
              <w:rPr>
                <w:rFonts w:cs="Arial"/>
                <w:sz w:val="18"/>
                <w:szCs w:val="18"/>
              </w:rPr>
            </w:pPr>
            <w:r w:rsidRPr="00A94B3E">
              <w:rPr>
                <w:rFonts w:eastAsia="Times New Roman" w:cs="Arial"/>
                <w:sz w:val="18"/>
                <w:szCs w:val="18"/>
              </w:rPr>
              <w:t>7.875</w:t>
            </w:r>
          </w:p>
        </w:tc>
        <w:tc>
          <w:tcPr>
            <w:tcW w:w="0" w:type="auto"/>
            <w:tcMar>
              <w:top w:w="60" w:type="dxa"/>
              <w:left w:w="120" w:type="dxa"/>
              <w:bottom w:w="60" w:type="dxa"/>
              <w:right w:w="120" w:type="dxa"/>
            </w:tcMar>
          </w:tcPr>
          <w:p w14:paraId="1D1C0A41" w14:textId="77777777" w:rsidR="00A94B3E" w:rsidRPr="00A94B3E" w:rsidRDefault="00A94B3E" w:rsidP="00844373">
            <w:pPr>
              <w:jc w:val="center"/>
              <w:rPr>
                <w:rFonts w:cs="Arial"/>
                <w:sz w:val="18"/>
                <w:szCs w:val="18"/>
              </w:rPr>
            </w:pPr>
            <w:r w:rsidRPr="00A94B3E">
              <w:rPr>
                <w:rFonts w:eastAsia="Times New Roman" w:cs="Arial"/>
                <w:sz w:val="18"/>
                <w:szCs w:val="18"/>
              </w:rPr>
              <w:t>9.365</w:t>
            </w:r>
          </w:p>
        </w:tc>
        <w:tc>
          <w:tcPr>
            <w:tcW w:w="0" w:type="auto"/>
            <w:tcMar>
              <w:top w:w="60" w:type="dxa"/>
              <w:left w:w="120" w:type="dxa"/>
              <w:bottom w:w="60" w:type="dxa"/>
              <w:right w:w="120" w:type="dxa"/>
            </w:tcMar>
          </w:tcPr>
          <w:p w14:paraId="57C214BC" w14:textId="77777777" w:rsidR="00A94B3E" w:rsidRPr="00A94B3E" w:rsidRDefault="00A94B3E" w:rsidP="00844373">
            <w:pPr>
              <w:jc w:val="center"/>
              <w:rPr>
                <w:rFonts w:cs="Arial"/>
                <w:sz w:val="18"/>
                <w:szCs w:val="18"/>
              </w:rPr>
            </w:pPr>
            <w:r w:rsidRPr="00A94B3E">
              <w:rPr>
                <w:rFonts w:eastAsia="Times New Roman" w:cs="Arial"/>
                <w:sz w:val="18"/>
                <w:szCs w:val="18"/>
              </w:rPr>
              <w:t>10.991</w:t>
            </w:r>
          </w:p>
        </w:tc>
        <w:tc>
          <w:tcPr>
            <w:tcW w:w="0" w:type="auto"/>
            <w:tcMar>
              <w:top w:w="60" w:type="dxa"/>
              <w:left w:w="120" w:type="dxa"/>
              <w:bottom w:w="60" w:type="dxa"/>
              <w:right w:w="120" w:type="dxa"/>
            </w:tcMar>
          </w:tcPr>
          <w:p w14:paraId="4BA2682F" w14:textId="77777777" w:rsidR="00A94B3E" w:rsidRPr="00A94B3E" w:rsidRDefault="00A94B3E" w:rsidP="00844373">
            <w:pPr>
              <w:jc w:val="center"/>
              <w:rPr>
                <w:rFonts w:cs="Arial"/>
                <w:sz w:val="18"/>
                <w:szCs w:val="18"/>
              </w:rPr>
            </w:pPr>
            <w:r w:rsidRPr="00A94B3E">
              <w:rPr>
                <w:rFonts w:eastAsia="Times New Roman" w:cs="Arial"/>
                <w:sz w:val="18"/>
                <w:szCs w:val="18"/>
              </w:rPr>
              <w:t>9.055</w:t>
            </w:r>
          </w:p>
        </w:tc>
        <w:tc>
          <w:tcPr>
            <w:tcW w:w="0" w:type="auto"/>
            <w:tcMar>
              <w:top w:w="60" w:type="dxa"/>
              <w:left w:w="120" w:type="dxa"/>
              <w:bottom w:w="60" w:type="dxa"/>
              <w:right w:w="120" w:type="dxa"/>
            </w:tcMar>
          </w:tcPr>
          <w:p w14:paraId="30839E87" w14:textId="77777777" w:rsidR="00A94B3E" w:rsidRPr="00A94B3E" w:rsidRDefault="00A94B3E" w:rsidP="00844373">
            <w:pPr>
              <w:jc w:val="center"/>
              <w:rPr>
                <w:rFonts w:cs="Arial"/>
                <w:sz w:val="18"/>
                <w:szCs w:val="18"/>
              </w:rPr>
            </w:pPr>
            <w:r w:rsidRPr="00A94B3E">
              <w:rPr>
                <w:rFonts w:eastAsia="Times New Roman" w:cs="Arial"/>
                <w:sz w:val="18"/>
                <w:szCs w:val="18"/>
              </w:rPr>
              <w:t>7.246</w:t>
            </w:r>
          </w:p>
        </w:tc>
        <w:tc>
          <w:tcPr>
            <w:tcW w:w="0" w:type="auto"/>
            <w:tcMar>
              <w:top w:w="60" w:type="dxa"/>
              <w:left w:w="120" w:type="dxa"/>
              <w:bottom w:w="60" w:type="dxa"/>
              <w:right w:w="120" w:type="dxa"/>
            </w:tcMar>
          </w:tcPr>
          <w:p w14:paraId="44657783" w14:textId="77777777" w:rsidR="00A94B3E" w:rsidRPr="00A94B3E" w:rsidRDefault="00A94B3E" w:rsidP="00844373">
            <w:pPr>
              <w:jc w:val="center"/>
              <w:rPr>
                <w:rFonts w:cs="Arial"/>
                <w:sz w:val="18"/>
                <w:szCs w:val="18"/>
              </w:rPr>
            </w:pPr>
            <w:r w:rsidRPr="00A94B3E">
              <w:rPr>
                <w:rFonts w:eastAsia="Times New Roman" w:cs="Arial"/>
                <w:sz w:val="18"/>
                <w:szCs w:val="18"/>
              </w:rPr>
              <w:t>10.205</w:t>
            </w:r>
          </w:p>
        </w:tc>
        <w:tc>
          <w:tcPr>
            <w:tcW w:w="0" w:type="auto"/>
            <w:tcMar>
              <w:top w:w="60" w:type="dxa"/>
              <w:left w:w="120" w:type="dxa"/>
              <w:bottom w:w="60" w:type="dxa"/>
              <w:right w:w="120" w:type="dxa"/>
            </w:tcMar>
          </w:tcPr>
          <w:p w14:paraId="03A6A799" w14:textId="77777777" w:rsidR="00A94B3E" w:rsidRPr="00A94B3E" w:rsidRDefault="00A94B3E" w:rsidP="00844373">
            <w:pPr>
              <w:jc w:val="center"/>
              <w:rPr>
                <w:rFonts w:cs="Arial"/>
                <w:sz w:val="18"/>
                <w:szCs w:val="18"/>
              </w:rPr>
            </w:pPr>
            <w:r w:rsidRPr="00A94B3E">
              <w:rPr>
                <w:rFonts w:eastAsia="Times New Roman" w:cs="Arial"/>
                <w:sz w:val="18"/>
                <w:szCs w:val="18"/>
              </w:rPr>
              <w:t>9.836</w:t>
            </w:r>
          </w:p>
        </w:tc>
        <w:tc>
          <w:tcPr>
            <w:tcW w:w="0" w:type="auto"/>
            <w:tcMar>
              <w:top w:w="60" w:type="dxa"/>
              <w:left w:w="120" w:type="dxa"/>
              <w:bottom w:w="60" w:type="dxa"/>
              <w:right w:w="120" w:type="dxa"/>
            </w:tcMar>
          </w:tcPr>
          <w:p w14:paraId="2B78453E" w14:textId="77777777" w:rsidR="00A94B3E" w:rsidRPr="00A94B3E" w:rsidRDefault="00A94B3E" w:rsidP="00844373">
            <w:pPr>
              <w:jc w:val="center"/>
              <w:rPr>
                <w:rFonts w:cs="Arial"/>
                <w:sz w:val="18"/>
                <w:szCs w:val="18"/>
              </w:rPr>
            </w:pPr>
            <w:r w:rsidRPr="00A94B3E">
              <w:rPr>
                <w:rFonts w:eastAsia="Times New Roman" w:cs="Arial"/>
                <w:sz w:val="18"/>
                <w:szCs w:val="18"/>
              </w:rPr>
              <w:t>11.555</w:t>
            </w:r>
          </w:p>
        </w:tc>
        <w:tc>
          <w:tcPr>
            <w:tcW w:w="0" w:type="auto"/>
            <w:tcMar>
              <w:top w:w="60" w:type="dxa"/>
              <w:left w:w="120" w:type="dxa"/>
              <w:bottom w:w="60" w:type="dxa"/>
              <w:right w:w="120" w:type="dxa"/>
            </w:tcMar>
          </w:tcPr>
          <w:p w14:paraId="400518E4" w14:textId="77777777" w:rsidR="00A94B3E" w:rsidRPr="00A94B3E" w:rsidRDefault="00A94B3E" w:rsidP="00844373">
            <w:pPr>
              <w:jc w:val="center"/>
              <w:rPr>
                <w:rFonts w:cs="Arial"/>
                <w:sz w:val="18"/>
                <w:szCs w:val="18"/>
              </w:rPr>
            </w:pPr>
            <w:r w:rsidRPr="00A94B3E">
              <w:rPr>
                <w:rFonts w:eastAsia="Times New Roman" w:cs="Arial"/>
                <w:sz w:val="18"/>
                <w:szCs w:val="18"/>
              </w:rPr>
              <w:t>9.400</w:t>
            </w:r>
          </w:p>
        </w:tc>
      </w:tr>
      <w:tr w:rsidR="00A94B3E" w:rsidRPr="00A94B3E" w14:paraId="1F12EE50" w14:textId="77777777" w:rsidTr="00844373">
        <w:tc>
          <w:tcPr>
            <w:tcW w:w="0" w:type="auto"/>
            <w:tcMar>
              <w:top w:w="60" w:type="dxa"/>
              <w:left w:w="120" w:type="dxa"/>
              <w:bottom w:w="60" w:type="dxa"/>
              <w:right w:w="120" w:type="dxa"/>
            </w:tcMar>
          </w:tcPr>
          <w:p w14:paraId="632EED71" w14:textId="77777777" w:rsidR="00A94B3E" w:rsidRPr="00A94B3E" w:rsidRDefault="00A94B3E" w:rsidP="00844373">
            <w:pPr>
              <w:rPr>
                <w:rFonts w:cs="Arial"/>
                <w:sz w:val="18"/>
                <w:szCs w:val="18"/>
              </w:rPr>
            </w:pPr>
            <w:r w:rsidRPr="00A94B3E">
              <w:rPr>
                <w:rFonts w:eastAsia="Times New Roman" w:cs="Arial"/>
                <w:sz w:val="18"/>
                <w:szCs w:val="18"/>
              </w:rPr>
              <w:t>Superávit presupuestal (millones $)</w:t>
            </w:r>
          </w:p>
        </w:tc>
        <w:tc>
          <w:tcPr>
            <w:tcW w:w="0" w:type="auto"/>
            <w:tcMar>
              <w:top w:w="60" w:type="dxa"/>
              <w:left w:w="120" w:type="dxa"/>
              <w:bottom w:w="60" w:type="dxa"/>
              <w:right w:w="120" w:type="dxa"/>
            </w:tcMar>
          </w:tcPr>
          <w:p w14:paraId="1A57E15E" w14:textId="77777777" w:rsidR="00A94B3E" w:rsidRPr="00A94B3E" w:rsidRDefault="00A94B3E" w:rsidP="00844373">
            <w:pPr>
              <w:jc w:val="center"/>
              <w:rPr>
                <w:rFonts w:cs="Arial"/>
                <w:sz w:val="18"/>
                <w:szCs w:val="18"/>
              </w:rPr>
            </w:pPr>
            <w:r w:rsidRPr="00A94B3E">
              <w:rPr>
                <w:rFonts w:eastAsia="Times New Roman" w:cs="Arial"/>
                <w:sz w:val="18"/>
                <w:szCs w:val="18"/>
              </w:rPr>
              <w:t>3.521</w:t>
            </w:r>
          </w:p>
        </w:tc>
        <w:tc>
          <w:tcPr>
            <w:tcW w:w="0" w:type="auto"/>
            <w:tcMar>
              <w:top w:w="60" w:type="dxa"/>
              <w:left w:w="120" w:type="dxa"/>
              <w:bottom w:w="60" w:type="dxa"/>
              <w:right w:w="120" w:type="dxa"/>
            </w:tcMar>
          </w:tcPr>
          <w:p w14:paraId="386D9A68" w14:textId="77777777" w:rsidR="00A94B3E" w:rsidRPr="00A94B3E" w:rsidRDefault="00A94B3E" w:rsidP="00844373">
            <w:pPr>
              <w:jc w:val="center"/>
              <w:rPr>
                <w:rFonts w:cs="Arial"/>
                <w:sz w:val="18"/>
                <w:szCs w:val="18"/>
              </w:rPr>
            </w:pPr>
            <w:r w:rsidRPr="00A94B3E">
              <w:rPr>
                <w:rFonts w:eastAsia="Times New Roman" w:cs="Arial"/>
                <w:sz w:val="18"/>
                <w:szCs w:val="18"/>
              </w:rPr>
              <w:t>3.769</w:t>
            </w:r>
          </w:p>
        </w:tc>
        <w:tc>
          <w:tcPr>
            <w:tcW w:w="0" w:type="auto"/>
            <w:tcMar>
              <w:top w:w="60" w:type="dxa"/>
              <w:left w:w="120" w:type="dxa"/>
              <w:bottom w:w="60" w:type="dxa"/>
              <w:right w:w="120" w:type="dxa"/>
            </w:tcMar>
          </w:tcPr>
          <w:p w14:paraId="5FC957A7" w14:textId="77777777" w:rsidR="00A94B3E" w:rsidRPr="00A94B3E" w:rsidRDefault="00A94B3E" w:rsidP="00844373">
            <w:pPr>
              <w:jc w:val="center"/>
              <w:rPr>
                <w:rFonts w:cs="Arial"/>
                <w:sz w:val="18"/>
                <w:szCs w:val="18"/>
              </w:rPr>
            </w:pPr>
            <w:r w:rsidRPr="00A94B3E">
              <w:rPr>
                <w:rFonts w:eastAsia="Times New Roman" w:cs="Arial"/>
                <w:sz w:val="18"/>
                <w:szCs w:val="18"/>
              </w:rPr>
              <w:t>5.465</w:t>
            </w:r>
          </w:p>
        </w:tc>
        <w:tc>
          <w:tcPr>
            <w:tcW w:w="0" w:type="auto"/>
            <w:tcMar>
              <w:top w:w="60" w:type="dxa"/>
              <w:left w:w="120" w:type="dxa"/>
              <w:bottom w:w="60" w:type="dxa"/>
              <w:right w:w="120" w:type="dxa"/>
            </w:tcMar>
          </w:tcPr>
          <w:p w14:paraId="4A3493A2" w14:textId="77777777" w:rsidR="00A94B3E" w:rsidRPr="00A94B3E" w:rsidRDefault="00A94B3E" w:rsidP="00844373">
            <w:pPr>
              <w:jc w:val="center"/>
              <w:rPr>
                <w:rFonts w:cs="Arial"/>
                <w:sz w:val="18"/>
                <w:szCs w:val="18"/>
              </w:rPr>
            </w:pPr>
            <w:r w:rsidRPr="00A94B3E">
              <w:rPr>
                <w:rFonts w:eastAsia="Times New Roman" w:cs="Arial"/>
                <w:sz w:val="18"/>
                <w:szCs w:val="18"/>
              </w:rPr>
              <w:t>7.767</w:t>
            </w:r>
          </w:p>
        </w:tc>
        <w:tc>
          <w:tcPr>
            <w:tcW w:w="0" w:type="auto"/>
            <w:tcMar>
              <w:top w:w="60" w:type="dxa"/>
              <w:left w:w="120" w:type="dxa"/>
              <w:bottom w:w="60" w:type="dxa"/>
              <w:right w:w="120" w:type="dxa"/>
            </w:tcMar>
          </w:tcPr>
          <w:p w14:paraId="5E109241" w14:textId="77777777" w:rsidR="00A94B3E" w:rsidRPr="00A94B3E" w:rsidRDefault="00A94B3E" w:rsidP="00844373">
            <w:pPr>
              <w:jc w:val="center"/>
              <w:rPr>
                <w:rFonts w:cs="Arial"/>
                <w:sz w:val="18"/>
                <w:szCs w:val="18"/>
              </w:rPr>
            </w:pPr>
            <w:r w:rsidRPr="00A94B3E">
              <w:rPr>
                <w:rFonts w:eastAsia="Times New Roman" w:cs="Arial"/>
                <w:sz w:val="18"/>
                <w:szCs w:val="18"/>
              </w:rPr>
              <w:t>6.860</w:t>
            </w:r>
          </w:p>
        </w:tc>
        <w:tc>
          <w:tcPr>
            <w:tcW w:w="0" w:type="auto"/>
            <w:tcMar>
              <w:top w:w="60" w:type="dxa"/>
              <w:left w:w="120" w:type="dxa"/>
              <w:bottom w:w="60" w:type="dxa"/>
              <w:right w:w="120" w:type="dxa"/>
            </w:tcMar>
          </w:tcPr>
          <w:p w14:paraId="3CC7B0BD" w14:textId="77777777" w:rsidR="00A94B3E" w:rsidRPr="00A94B3E" w:rsidRDefault="00A94B3E" w:rsidP="00844373">
            <w:pPr>
              <w:jc w:val="center"/>
              <w:rPr>
                <w:rFonts w:cs="Arial"/>
                <w:sz w:val="18"/>
                <w:szCs w:val="18"/>
              </w:rPr>
            </w:pPr>
            <w:r w:rsidRPr="00A94B3E">
              <w:rPr>
                <w:rFonts w:eastAsia="Times New Roman" w:cs="Arial"/>
                <w:sz w:val="18"/>
                <w:szCs w:val="18"/>
              </w:rPr>
              <w:t>5.131</w:t>
            </w:r>
          </w:p>
        </w:tc>
        <w:tc>
          <w:tcPr>
            <w:tcW w:w="0" w:type="auto"/>
            <w:tcMar>
              <w:top w:w="60" w:type="dxa"/>
              <w:left w:w="120" w:type="dxa"/>
              <w:bottom w:w="60" w:type="dxa"/>
              <w:right w:w="120" w:type="dxa"/>
            </w:tcMar>
          </w:tcPr>
          <w:p w14:paraId="53D4166E" w14:textId="77777777" w:rsidR="00A94B3E" w:rsidRPr="00A94B3E" w:rsidRDefault="00A94B3E" w:rsidP="00844373">
            <w:pPr>
              <w:jc w:val="center"/>
              <w:rPr>
                <w:rFonts w:cs="Arial"/>
                <w:sz w:val="18"/>
                <w:szCs w:val="18"/>
              </w:rPr>
            </w:pPr>
            <w:r w:rsidRPr="00A94B3E">
              <w:rPr>
                <w:rFonts w:eastAsia="Times New Roman" w:cs="Arial"/>
                <w:sz w:val="18"/>
                <w:szCs w:val="18"/>
              </w:rPr>
              <w:t>9.071</w:t>
            </w:r>
          </w:p>
        </w:tc>
        <w:tc>
          <w:tcPr>
            <w:tcW w:w="0" w:type="auto"/>
            <w:tcMar>
              <w:top w:w="60" w:type="dxa"/>
              <w:left w:w="120" w:type="dxa"/>
              <w:bottom w:w="60" w:type="dxa"/>
              <w:right w:w="120" w:type="dxa"/>
            </w:tcMar>
          </w:tcPr>
          <w:p w14:paraId="0A6D56A7" w14:textId="77777777" w:rsidR="00A94B3E" w:rsidRPr="00A94B3E" w:rsidRDefault="00A94B3E" w:rsidP="00844373">
            <w:pPr>
              <w:jc w:val="center"/>
              <w:rPr>
                <w:rFonts w:cs="Arial"/>
                <w:sz w:val="18"/>
                <w:szCs w:val="18"/>
              </w:rPr>
            </w:pPr>
            <w:r w:rsidRPr="00A94B3E">
              <w:rPr>
                <w:rFonts w:eastAsia="Times New Roman" w:cs="Arial"/>
                <w:sz w:val="18"/>
                <w:szCs w:val="18"/>
              </w:rPr>
              <w:t>9.836</w:t>
            </w:r>
          </w:p>
        </w:tc>
        <w:tc>
          <w:tcPr>
            <w:tcW w:w="0" w:type="auto"/>
            <w:tcMar>
              <w:top w:w="60" w:type="dxa"/>
              <w:left w:w="120" w:type="dxa"/>
              <w:bottom w:w="60" w:type="dxa"/>
              <w:right w:w="120" w:type="dxa"/>
            </w:tcMar>
          </w:tcPr>
          <w:p w14:paraId="1FA1EC3B" w14:textId="77777777" w:rsidR="00A94B3E" w:rsidRPr="00A94B3E" w:rsidRDefault="00A94B3E" w:rsidP="00844373">
            <w:pPr>
              <w:jc w:val="center"/>
              <w:rPr>
                <w:rFonts w:cs="Arial"/>
                <w:sz w:val="18"/>
                <w:szCs w:val="18"/>
              </w:rPr>
            </w:pPr>
            <w:r w:rsidRPr="00A94B3E">
              <w:rPr>
                <w:rFonts w:eastAsia="Times New Roman" w:cs="Arial"/>
                <w:sz w:val="18"/>
                <w:szCs w:val="18"/>
              </w:rPr>
              <w:t>11.555</w:t>
            </w:r>
          </w:p>
        </w:tc>
        <w:tc>
          <w:tcPr>
            <w:tcW w:w="0" w:type="auto"/>
            <w:tcMar>
              <w:top w:w="60" w:type="dxa"/>
              <w:left w:w="120" w:type="dxa"/>
              <w:bottom w:w="60" w:type="dxa"/>
              <w:right w:w="120" w:type="dxa"/>
            </w:tcMar>
          </w:tcPr>
          <w:p w14:paraId="21F069AE" w14:textId="77777777" w:rsidR="00A94B3E" w:rsidRPr="00A94B3E" w:rsidRDefault="00A94B3E" w:rsidP="00844373">
            <w:pPr>
              <w:jc w:val="center"/>
              <w:rPr>
                <w:rFonts w:cs="Arial"/>
                <w:sz w:val="18"/>
                <w:szCs w:val="18"/>
              </w:rPr>
            </w:pPr>
            <w:r w:rsidRPr="00A94B3E">
              <w:rPr>
                <w:rFonts w:eastAsia="Times New Roman" w:cs="Arial"/>
                <w:sz w:val="18"/>
                <w:szCs w:val="18"/>
              </w:rPr>
              <w:t>9.400</w:t>
            </w:r>
          </w:p>
        </w:tc>
      </w:tr>
    </w:tbl>
    <w:p w14:paraId="71383C7F" w14:textId="68E2C86C" w:rsidR="00A94B3E" w:rsidRDefault="00A94B3E" w:rsidP="00A94B3E">
      <w:pPr>
        <w:spacing w:before="0" w:after="480"/>
        <w:rPr>
          <w:rFonts w:cs="Arial"/>
          <w:szCs w:val="24"/>
          <w:lang w:val="es-MX"/>
        </w:rPr>
      </w:pPr>
      <w:r w:rsidRPr="00A94B3E">
        <w:rPr>
          <w:rFonts w:cs="Arial"/>
          <w:b/>
          <w:bCs/>
          <w:szCs w:val="24"/>
          <w:lang w:val="es-MX"/>
        </w:rPr>
        <w:t>Fuente</w:t>
      </w:r>
      <w:r w:rsidRPr="00A94B3E">
        <w:rPr>
          <w:rFonts w:cs="Arial"/>
          <w:szCs w:val="24"/>
          <w:lang w:val="es-MX"/>
        </w:rPr>
        <w:t>: elaboración propia con base en la herramienta MFMP del Ministerio de Hacienda y Crédito Público.</w:t>
      </w:r>
    </w:p>
    <w:p w14:paraId="00A70451" w14:textId="141A39DA" w:rsidR="00A94B3E" w:rsidRPr="00A94B3E" w:rsidRDefault="00A94B3E" w:rsidP="00A94B3E">
      <w:pPr>
        <w:spacing w:after="480"/>
        <w:rPr>
          <w:rFonts w:cs="Arial"/>
          <w:szCs w:val="24"/>
          <w:lang w:val="es-MX"/>
        </w:rPr>
      </w:pPr>
      <w:r w:rsidRPr="00A94B3E">
        <w:rPr>
          <w:rFonts w:cs="Arial"/>
          <w:szCs w:val="24"/>
          <w:lang w:val="es-MX"/>
        </w:rPr>
        <w:t>El superávit primario proyectado oscila entre 7.246 y 11.555 millones de pesos corrientes a lo largo del horizonte, con una tendencia que, aunque presenta variaciones entre vigencias, no registra deterioros pronunciados ni resultados negativos en ningún año. Este comportamiento indica que los ingresos operativos del municipio son suficientes para cubrir los gastos operativos</w:t>
      </w:r>
      <w:r>
        <w:rPr>
          <w:rFonts w:cs="Arial"/>
          <w:szCs w:val="24"/>
          <w:lang w:val="es-MX"/>
        </w:rPr>
        <w:t xml:space="preserve">, </w:t>
      </w:r>
      <w:r w:rsidRPr="00A94B3E">
        <w:rPr>
          <w:rFonts w:cs="Arial"/>
          <w:szCs w:val="24"/>
          <w:lang w:val="es-MX"/>
        </w:rPr>
        <w:t>excluidos los intereses de la deuda</w:t>
      </w:r>
      <w:r>
        <w:rPr>
          <w:rFonts w:cs="Arial"/>
          <w:szCs w:val="24"/>
          <w:lang w:val="es-MX"/>
        </w:rPr>
        <w:t>,</w:t>
      </w:r>
      <w:r w:rsidRPr="00A94B3E">
        <w:rPr>
          <w:rFonts w:cs="Arial"/>
          <w:szCs w:val="24"/>
          <w:lang w:val="es-MX"/>
        </w:rPr>
        <w:t xml:space="preserve"> generando un excedente que garantiza la cobertura del servicio de la deuda vigente. La condición de sostenibilidad establecida por la Dirección General de Apoyo Fiscal, según la cual el superávit primario debe ser suficiente para cubrir como mínimo el pago de los intereses de la deuda se cumple en todos los años del horizonte de proyección.</w:t>
      </w:r>
    </w:p>
    <w:p w14:paraId="225D4FC6" w14:textId="77777777" w:rsidR="00A94B3E" w:rsidRPr="00A94B3E" w:rsidRDefault="00A94B3E" w:rsidP="00A94B3E">
      <w:pPr>
        <w:spacing w:after="480"/>
        <w:rPr>
          <w:rFonts w:cs="Arial"/>
          <w:szCs w:val="24"/>
          <w:lang w:val="es-MX"/>
        </w:rPr>
      </w:pPr>
      <w:r w:rsidRPr="00A94B3E">
        <w:rPr>
          <w:rFonts w:cs="Arial"/>
          <w:szCs w:val="24"/>
          <w:lang w:val="es-MX"/>
        </w:rPr>
        <w:t xml:space="preserve">El superávit presupuestal, que incorpora los recursos de financiación, presenta una trayectoria positiva y creciente: parte de 3.521 millones en 2026 y converge con el superávit primario a partir de 2033, cuando la deuda vigente con el Banco </w:t>
      </w:r>
      <w:r w:rsidRPr="00A94B3E">
        <w:rPr>
          <w:rFonts w:cs="Arial"/>
          <w:szCs w:val="24"/>
          <w:lang w:val="es-MX"/>
        </w:rPr>
        <w:lastRenderedPageBreak/>
        <w:t>de Occidente completa su amortización. Esta convergencia confirma que, a medida que el servicio de la deuda se reduce, el margen fiscal del municipio se amplía de forma estructural, lo que abre espacio para financiar nueva inversión o, eventualmente, respaldar nuevas operaciones de crédito si la administración así lo determina.</w:t>
      </w:r>
    </w:p>
    <w:p w14:paraId="1975236B" w14:textId="7C9FC9AA" w:rsidR="00EC7ADA" w:rsidRDefault="00A94B3E" w:rsidP="00A94B3E">
      <w:pPr>
        <w:spacing w:after="480"/>
        <w:rPr>
          <w:rFonts w:cs="Arial"/>
          <w:szCs w:val="24"/>
          <w:lang w:val="es-MX"/>
        </w:rPr>
      </w:pPr>
      <w:r w:rsidRPr="00A94B3E">
        <w:rPr>
          <w:rFonts w:cs="Arial"/>
          <w:szCs w:val="24"/>
          <w:lang w:val="es-MX"/>
        </w:rPr>
        <w:t>En este último punto conviene introducir una consideración de gestión. En el entorno de la Secretaría de Hacienda se ha discutido la posibilidad de estructurar una nueva operación de crédito que aproveche el espacio fiscal disponible para apalancar inversión prioritaria, respaldada en fuentes de ingresos corrientes de libre destinación. Aunque esta decisión no estaba formalizada al momento de elaborar el MFMP, su eventual materialización requeriría verificar el cumplimiento de los indicadores de la Ley 358 de 1997</w:t>
      </w:r>
      <w:r>
        <w:rPr>
          <w:rFonts w:cs="Arial"/>
          <w:szCs w:val="24"/>
          <w:lang w:val="es-MX"/>
        </w:rPr>
        <w:t xml:space="preserve">, </w:t>
      </w:r>
      <w:r w:rsidRPr="00A94B3E">
        <w:rPr>
          <w:rFonts w:cs="Arial"/>
          <w:szCs w:val="24"/>
          <w:lang w:val="es-MX"/>
        </w:rPr>
        <w:t>solvencia y liquidez—</w:t>
      </w:r>
      <w:r>
        <w:rPr>
          <w:rFonts w:cs="Arial"/>
          <w:szCs w:val="24"/>
          <w:lang w:val="es-MX"/>
        </w:rPr>
        <w:t xml:space="preserve">, </w:t>
      </w:r>
      <w:r w:rsidRPr="00A94B3E">
        <w:rPr>
          <w:rFonts w:cs="Arial"/>
          <w:szCs w:val="24"/>
          <w:lang w:val="es-MX"/>
        </w:rPr>
        <w:t>y demostrar que el nuevo endeudamiento no compromete la senda de sostenibilidad proyectada. El MFMP, en su función de instrumento de navegación estratégica, proporciona precisamente ese marco de referencia para tomar esa decisión sobre una base técnica sólida.</w:t>
      </w:r>
    </w:p>
    <w:p w14:paraId="14E0DC6D" w14:textId="5DC4E830" w:rsidR="00EC7ADA" w:rsidRDefault="00A94B3E" w:rsidP="00A94B3E">
      <w:pPr>
        <w:pStyle w:val="Ttulo3"/>
        <w:rPr>
          <w:lang w:val="es-MX"/>
        </w:rPr>
      </w:pPr>
      <w:bookmarkStart w:id="88" w:name="_Toc231741470"/>
      <w:r>
        <w:rPr>
          <w:lang w:val="es-MX"/>
        </w:rPr>
        <w:t xml:space="preserve">3.3.2 </w:t>
      </w:r>
      <w:r w:rsidR="00A23E4D">
        <w:rPr>
          <w:lang w:val="es-MX"/>
        </w:rPr>
        <w:t>I</w:t>
      </w:r>
      <w:r w:rsidR="00A23E4D" w:rsidRPr="00A94B3E">
        <w:rPr>
          <w:lang w:val="es-MX"/>
        </w:rPr>
        <w:t>dentificación de brechas y riesgos sobre la senda proyectada</w:t>
      </w:r>
      <w:bookmarkEnd w:id="88"/>
    </w:p>
    <w:p w14:paraId="00595A14" w14:textId="77777777" w:rsidR="00A94B3E" w:rsidRDefault="00A94B3E" w:rsidP="00A23E4D">
      <w:pPr>
        <w:spacing w:after="480"/>
        <w:rPr>
          <w:rFonts w:cs="Arial"/>
          <w:szCs w:val="24"/>
          <w:lang w:val="es-MX"/>
        </w:rPr>
      </w:pPr>
      <w:r w:rsidRPr="00A94B3E">
        <w:rPr>
          <w:rFonts w:cs="Arial"/>
          <w:szCs w:val="24"/>
          <w:lang w:val="es-MX"/>
        </w:rPr>
        <w:t xml:space="preserve">Aunque el balance proyectado es favorable en el escenario base, una lectura crítica de los resultados del objetivo 2 permite identificar las brechas y riesgos que podrían deteriorar esa trayectoria si no son atendidos de manera proactiva. La primera y más estructural de estas brechas es la baja autonomía fiscal del municipio: con apenas el 19 % de los ingresos provenientes de fuentes propias, cualquier variación en la política nacional de distribución de transferencias tiene un impacto directo y difícilmente compensable sobre el balance fiscal. </w:t>
      </w:r>
    </w:p>
    <w:p w14:paraId="311D0503" w14:textId="1CF86577" w:rsidR="00A94B3E" w:rsidRPr="00A94B3E" w:rsidRDefault="00A94B3E" w:rsidP="00A23E4D">
      <w:pPr>
        <w:spacing w:after="480"/>
        <w:rPr>
          <w:rFonts w:cs="Arial"/>
          <w:szCs w:val="24"/>
          <w:lang w:val="es-MX"/>
        </w:rPr>
      </w:pPr>
      <w:r w:rsidRPr="00A94B3E">
        <w:rPr>
          <w:rFonts w:cs="Arial"/>
          <w:szCs w:val="24"/>
          <w:lang w:val="es-MX"/>
        </w:rPr>
        <w:t>La segunda brecha es el subdesempeño del impuesto predial, cuya participación dentro del recaudo tributario propio no ha superado el 17 % en el periodo analizado, pese a que representa el tributo con mayor potencial de crecimiento bajo una gestión catastral activa. La tercera es la tendencia decreciente de la sobretasa a la gasolina, que reduce progresivamente una fuente de ingreso históricamente estable.</w:t>
      </w:r>
    </w:p>
    <w:p w14:paraId="6862B32D" w14:textId="759AFA54" w:rsidR="00A94B3E" w:rsidRDefault="00A94B3E" w:rsidP="00A23E4D">
      <w:pPr>
        <w:spacing w:after="480"/>
        <w:rPr>
          <w:rFonts w:cs="Arial"/>
          <w:szCs w:val="24"/>
          <w:lang w:val="es-MX"/>
        </w:rPr>
      </w:pPr>
      <w:r w:rsidRPr="00A94B3E">
        <w:rPr>
          <w:rFonts w:cs="Arial"/>
          <w:szCs w:val="24"/>
          <w:lang w:val="es-MX"/>
        </w:rPr>
        <w:t xml:space="preserve">En el lado del gasto, el principal riesgo identificado es la expansión no planificada de la inversión, cuyo único episodio significativo en 2022fue suficiente para generar el único déficit fiscal del periodo analizado. Este antecedente indica que la sostenibilidad del balance no está garantizada por la estructura actual del gasto, sino por la disciplina con que se gestione su crecimiento. Adicionalmente, la subejecución presupuestal sistemática, aunque no constituye un riesgo fiscal </w:t>
      </w:r>
      <w:r w:rsidRPr="00A94B3E">
        <w:rPr>
          <w:rFonts w:cs="Arial"/>
          <w:szCs w:val="24"/>
          <w:lang w:val="es-MX"/>
        </w:rPr>
        <w:lastRenderedPageBreak/>
        <w:t>inmediato, refleja una brecha de capacidad institucional que limita el impacto real del gasto de inversión sobre el desarrollo del territorio.</w:t>
      </w:r>
    </w:p>
    <w:p w14:paraId="75B9AC96" w14:textId="208C13A9" w:rsidR="00865163" w:rsidRPr="00865163" w:rsidRDefault="00A94B3E" w:rsidP="00865163">
      <w:pPr>
        <w:pStyle w:val="Ttulo3"/>
        <w:rPr>
          <w:rFonts w:cs="Arial"/>
          <w:lang w:val="es-MX"/>
        </w:rPr>
      </w:pPr>
      <w:bookmarkStart w:id="89" w:name="_Toc231741471"/>
      <w:r>
        <w:rPr>
          <w:rFonts w:cs="Arial"/>
          <w:lang w:val="es-MX"/>
        </w:rPr>
        <w:t>3.3.3</w:t>
      </w:r>
      <w:r w:rsidR="00865163">
        <w:rPr>
          <w:rFonts w:cs="Arial"/>
          <w:lang w:val="es-MX"/>
        </w:rPr>
        <w:t xml:space="preserve"> </w:t>
      </w:r>
      <w:r w:rsidR="00A23E4D">
        <w:rPr>
          <w:rStyle w:val="Ttulo3Car"/>
          <w:lang w:val="es-MX"/>
        </w:rPr>
        <w:t>P</w:t>
      </w:r>
      <w:r w:rsidR="00A23E4D" w:rsidRPr="00865163">
        <w:rPr>
          <w:rStyle w:val="Ttulo3Car"/>
          <w:lang w:val="es-MX"/>
        </w:rPr>
        <w:t>lan de acción</w:t>
      </w:r>
      <w:bookmarkEnd w:id="89"/>
    </w:p>
    <w:p w14:paraId="6F1EFDE3" w14:textId="77777777" w:rsidR="00865163" w:rsidRPr="00865163" w:rsidRDefault="00865163" w:rsidP="00865163">
      <w:pPr>
        <w:spacing w:after="480"/>
        <w:rPr>
          <w:rFonts w:cs="Arial"/>
          <w:szCs w:val="24"/>
          <w:lang w:val="es-MX"/>
        </w:rPr>
      </w:pPr>
      <w:r w:rsidRPr="00865163">
        <w:rPr>
          <w:rFonts w:cs="Arial"/>
          <w:szCs w:val="24"/>
          <w:lang w:val="es-MX"/>
        </w:rPr>
        <w:t>A partir de la evaluación del balance financiero y de las brechas identificadas, el plan de acción del MFMP 2026–2035 se estructura en dos ejes estratégicos: el fortalecimiento de los ingresos propios y la racionalización y eficiencia del gasto. Las medidas definidas en cada eje responden directamente a los hallazgos del diagnóstico, garantizando la coherencia entre el análisis técnico y las acciones de gestión.</w:t>
      </w:r>
    </w:p>
    <w:p w14:paraId="12FED000" w14:textId="6568453E" w:rsidR="00865163" w:rsidRPr="00865163" w:rsidRDefault="00865163" w:rsidP="00865163">
      <w:pPr>
        <w:pStyle w:val="Ttulo4"/>
        <w:rPr>
          <w:lang w:val="es-MX"/>
        </w:rPr>
      </w:pPr>
      <w:bookmarkStart w:id="90" w:name="_Toc231741472"/>
      <w:r w:rsidRPr="00865163">
        <w:rPr>
          <w:lang w:val="es-MX"/>
        </w:rPr>
        <w:t>Eje 1: Fortalecimiento de ingresos propios y autonomía fiscal</w:t>
      </w:r>
      <w:bookmarkEnd w:id="90"/>
    </w:p>
    <w:p w14:paraId="547E3E14" w14:textId="527F9083" w:rsidR="00865163" w:rsidRPr="00865163" w:rsidRDefault="00865163" w:rsidP="00A23E4D">
      <w:pPr>
        <w:spacing w:after="480"/>
        <w:rPr>
          <w:rFonts w:cs="Arial"/>
          <w:szCs w:val="24"/>
          <w:lang w:val="es-MX"/>
        </w:rPr>
      </w:pPr>
      <w:r w:rsidRPr="00865163">
        <w:rPr>
          <w:rFonts w:cs="Arial"/>
          <w:szCs w:val="24"/>
          <w:lang w:val="es-MX"/>
        </w:rPr>
        <w:t>Las acciones de este eje se orientan a incrementar los ingresos corrientes de libre destinación y reducir la dependencia estructural de las transferencias externas. El impuesto predial es la palanca principal: su fortalecimiento requiere tanto la actualización del inventario de predios que permitirá incorporar a la base gravable propiedades actualmente subregistradas o con avalúos desactualizados como la implementación progresiva del catastro multipropósito, instrumento que moderniza la gestión catastral y mejora la equidad del tributo al acercar los avalúos catastrales a los valores del mercado.</w:t>
      </w:r>
    </w:p>
    <w:p w14:paraId="67667433" w14:textId="08DC7581" w:rsidR="00865163" w:rsidRDefault="00865163" w:rsidP="00A23E4D">
      <w:pPr>
        <w:spacing w:after="480"/>
        <w:rPr>
          <w:rFonts w:cs="Arial"/>
          <w:szCs w:val="24"/>
          <w:lang w:val="es-MX"/>
        </w:rPr>
      </w:pPr>
      <w:r w:rsidRPr="00865163">
        <w:rPr>
          <w:rFonts w:cs="Arial"/>
          <w:szCs w:val="24"/>
          <w:lang w:val="es-MX"/>
        </w:rPr>
        <w:t>En paralelo, se consolidarán estrategias de fiscalización y control sobre el impuesto de industria y comercio, con énfasis en la formalización empresarial y el cruce de información con fuentes externas como registros de cámara de comercio y bases de datos de la DIAN</w:t>
      </w:r>
      <w:r>
        <w:rPr>
          <w:rFonts w:cs="Arial"/>
          <w:szCs w:val="24"/>
          <w:lang w:val="es-MX"/>
        </w:rPr>
        <w:t xml:space="preserve"> </w:t>
      </w:r>
      <w:r w:rsidRPr="00865163">
        <w:rPr>
          <w:rFonts w:cs="Arial"/>
          <w:szCs w:val="24"/>
          <w:lang w:val="es-MX"/>
        </w:rPr>
        <w:t xml:space="preserve">que permitan identificar contribuyentes omisos o subdeclarantes. </w:t>
      </w:r>
    </w:p>
    <w:p w14:paraId="0A207A4F" w14:textId="45CD1333" w:rsidR="00865163" w:rsidRPr="00865163" w:rsidRDefault="00865163" w:rsidP="00A23E4D">
      <w:pPr>
        <w:spacing w:after="480"/>
        <w:rPr>
          <w:rFonts w:cs="Arial"/>
          <w:szCs w:val="24"/>
          <w:lang w:val="es-MX"/>
        </w:rPr>
      </w:pPr>
      <w:r w:rsidRPr="00865163">
        <w:rPr>
          <w:rFonts w:cs="Arial"/>
          <w:szCs w:val="24"/>
          <w:lang w:val="es-MX"/>
        </w:rPr>
        <w:t>Las campañas de cultura tributaria se mantendrán de forma anual, orientadas a incentivar el pago oportuno y reducir la dependencia de alivios de cartera recurrentes que afectan el recaudo estructural. Finalmente, se revisará la estructura de beneficios tributarios vigentes para evaluar su costo fiscal real y determinar si su impacto justifica la reducción de recaudo que implican.</w:t>
      </w:r>
    </w:p>
    <w:p w14:paraId="1B00D18A" w14:textId="7B221E9B" w:rsidR="00865163" w:rsidRPr="00865163" w:rsidRDefault="00865163" w:rsidP="00865163">
      <w:pPr>
        <w:pStyle w:val="Ttulo4"/>
        <w:rPr>
          <w:lang w:val="es-MX"/>
        </w:rPr>
      </w:pPr>
      <w:bookmarkStart w:id="91" w:name="_Toc231741473"/>
      <w:r w:rsidRPr="00865163">
        <w:rPr>
          <w:lang w:val="es-MX"/>
        </w:rPr>
        <w:t>Eje 2: Racionalización del gasto y eficiencia de la inversión pública</w:t>
      </w:r>
      <w:bookmarkEnd w:id="91"/>
    </w:p>
    <w:p w14:paraId="09734E63" w14:textId="3A5704C7" w:rsidR="00865163" w:rsidRPr="00865163" w:rsidRDefault="00865163" w:rsidP="00A23E4D">
      <w:pPr>
        <w:spacing w:after="480"/>
        <w:rPr>
          <w:rFonts w:cs="Arial"/>
          <w:szCs w:val="24"/>
          <w:lang w:val="es-MX"/>
        </w:rPr>
      </w:pPr>
      <w:r w:rsidRPr="00865163">
        <w:rPr>
          <w:rFonts w:cs="Arial"/>
          <w:szCs w:val="24"/>
          <w:lang w:val="es-MX"/>
        </w:rPr>
        <w:t>Las acciones de este eje parten de reconocer que el municipio ya presenta una estructura de gasto favorable</w:t>
      </w:r>
      <w:r>
        <w:rPr>
          <w:rFonts w:cs="Arial"/>
          <w:szCs w:val="24"/>
          <w:lang w:val="es-MX"/>
        </w:rPr>
        <w:t xml:space="preserve">, </w:t>
      </w:r>
      <w:r w:rsidRPr="00865163">
        <w:rPr>
          <w:rFonts w:cs="Arial"/>
          <w:szCs w:val="24"/>
          <w:lang w:val="es-MX"/>
        </w:rPr>
        <w:t>baja rigidez y alta orientación hacia la inversión</w:t>
      </w:r>
      <w:r>
        <w:rPr>
          <w:rFonts w:cs="Arial"/>
          <w:szCs w:val="24"/>
          <w:lang w:val="es-MX"/>
        </w:rPr>
        <w:t>,</w:t>
      </w:r>
      <w:r w:rsidRPr="00865163">
        <w:rPr>
          <w:rFonts w:cs="Arial"/>
          <w:szCs w:val="24"/>
          <w:lang w:val="es-MX"/>
        </w:rPr>
        <w:t xml:space="preserve"> y que el objetivo no es transformarla sino preservarla y mejorar su calidad. El control sobre el crecimiento del gasto de funcionamiento se mantendrá alineado con la </w:t>
      </w:r>
      <w:r w:rsidRPr="00865163">
        <w:rPr>
          <w:rFonts w:cs="Arial"/>
          <w:szCs w:val="24"/>
          <w:lang w:val="es-MX"/>
        </w:rPr>
        <w:lastRenderedPageBreak/>
        <w:t>inflación, evitando que incrementos en la planta de personal o en los gastos operativos generen presiones sobre los ingresos corrientes de libre destinación y comprometan el cumplimiento de los límites de la Ley 617 de 2000.</w:t>
      </w:r>
    </w:p>
    <w:p w14:paraId="2B61EF9C" w14:textId="4E6E2FF0" w:rsidR="00865163" w:rsidRDefault="00EA373F" w:rsidP="00A23E4D">
      <w:pPr>
        <w:spacing w:after="480"/>
        <w:rPr>
          <w:rFonts w:cs="Arial"/>
          <w:szCs w:val="24"/>
          <w:lang w:val="es-MX"/>
        </w:rPr>
      </w:pPr>
      <w:r>
        <w:rPr>
          <w:rFonts w:cs="Arial"/>
          <w:szCs w:val="24"/>
          <w:lang w:val="es-MX"/>
        </w:rPr>
        <w:t xml:space="preserve">La eficiencia </w:t>
      </w:r>
      <w:r w:rsidR="00865163" w:rsidRPr="00865163">
        <w:rPr>
          <w:rFonts w:cs="Arial"/>
          <w:szCs w:val="24"/>
          <w:lang w:val="es-MX"/>
        </w:rPr>
        <w:t xml:space="preserve">de los procesos de planeación y priorización de la inversión busca evitar la repetición del episodio de 2022, cuando una expansión del gasto de inversión no acompañada de un crecimiento equivalente del ingreso derivó en déficit fiscal. La inversión debe planificarse en coherencia con la disponibilidad real de recursos y con las metas del Plan de Desarrollo Territorial, no como respuesta reactiva a la disponibilidad coyuntural de recursos de balance. </w:t>
      </w:r>
    </w:p>
    <w:p w14:paraId="533F9959" w14:textId="22375212" w:rsidR="00A94B3E" w:rsidRDefault="00865163" w:rsidP="00A23E4D">
      <w:pPr>
        <w:spacing w:after="480"/>
        <w:rPr>
          <w:rFonts w:cs="Arial"/>
          <w:szCs w:val="24"/>
          <w:lang w:val="es-MX"/>
        </w:rPr>
      </w:pPr>
      <w:r w:rsidRPr="00865163">
        <w:rPr>
          <w:rFonts w:cs="Arial"/>
          <w:szCs w:val="24"/>
          <w:lang w:val="es-MX"/>
        </w:rPr>
        <w:t xml:space="preserve">El seguimiento sistemático a la ejecución de proyectos contribuirá a reducir las subejecuciones recurrentes y a mejorar la calidad y oportunidad del gasto público. </w:t>
      </w:r>
    </w:p>
    <w:p w14:paraId="12A1C782" w14:textId="7B750265" w:rsidR="00865163" w:rsidRPr="00865163" w:rsidRDefault="00865163" w:rsidP="00865163">
      <w:pPr>
        <w:pStyle w:val="Descripcin"/>
        <w:keepNext/>
        <w:rPr>
          <w:rFonts w:ascii="Arial" w:hAnsi="Arial" w:cs="Arial"/>
          <w:i w:val="0"/>
          <w:iCs w:val="0"/>
          <w:color w:val="auto"/>
          <w:sz w:val="24"/>
          <w:szCs w:val="24"/>
        </w:rPr>
      </w:pPr>
      <w:bookmarkStart w:id="92" w:name="_Toc231741485"/>
      <w:r w:rsidRPr="00865163">
        <w:rPr>
          <w:rFonts w:ascii="Arial" w:hAnsi="Arial" w:cs="Arial"/>
          <w:b/>
          <w:bCs/>
          <w:i w:val="0"/>
          <w:iCs w:val="0"/>
          <w:color w:val="auto"/>
          <w:sz w:val="24"/>
          <w:szCs w:val="24"/>
        </w:rPr>
        <w:t xml:space="preserve">Tabla </w:t>
      </w:r>
      <w:r w:rsidRPr="00865163">
        <w:rPr>
          <w:rFonts w:ascii="Arial" w:hAnsi="Arial" w:cs="Arial"/>
          <w:b/>
          <w:bCs/>
          <w:i w:val="0"/>
          <w:iCs w:val="0"/>
          <w:color w:val="auto"/>
          <w:sz w:val="24"/>
          <w:szCs w:val="24"/>
        </w:rPr>
        <w:fldChar w:fldCharType="begin"/>
      </w:r>
      <w:r w:rsidRPr="00865163">
        <w:rPr>
          <w:rFonts w:ascii="Arial" w:hAnsi="Arial" w:cs="Arial"/>
          <w:b/>
          <w:bCs/>
          <w:i w:val="0"/>
          <w:iCs w:val="0"/>
          <w:color w:val="auto"/>
          <w:sz w:val="24"/>
          <w:szCs w:val="24"/>
        </w:rPr>
        <w:instrText xml:space="preserve"> SEQ Tabla \* ARABIC </w:instrText>
      </w:r>
      <w:r w:rsidRPr="00865163">
        <w:rPr>
          <w:rFonts w:ascii="Arial" w:hAnsi="Arial" w:cs="Arial"/>
          <w:b/>
          <w:bCs/>
          <w:i w:val="0"/>
          <w:iCs w:val="0"/>
          <w:color w:val="auto"/>
          <w:sz w:val="24"/>
          <w:szCs w:val="24"/>
        </w:rPr>
        <w:fldChar w:fldCharType="separate"/>
      </w:r>
      <w:r w:rsidR="002B0D85">
        <w:rPr>
          <w:rFonts w:ascii="Arial" w:hAnsi="Arial" w:cs="Arial"/>
          <w:b/>
          <w:bCs/>
          <w:i w:val="0"/>
          <w:iCs w:val="0"/>
          <w:noProof/>
          <w:color w:val="auto"/>
          <w:sz w:val="24"/>
          <w:szCs w:val="24"/>
        </w:rPr>
        <w:t>7</w:t>
      </w:r>
      <w:r w:rsidRPr="00865163">
        <w:rPr>
          <w:rFonts w:ascii="Arial" w:hAnsi="Arial" w:cs="Arial"/>
          <w:b/>
          <w:bCs/>
          <w:i w:val="0"/>
          <w:iCs w:val="0"/>
          <w:color w:val="auto"/>
          <w:sz w:val="24"/>
          <w:szCs w:val="24"/>
        </w:rPr>
        <w:fldChar w:fldCharType="end"/>
      </w:r>
      <w:r w:rsidRPr="00865163">
        <w:rPr>
          <w:rFonts w:ascii="Arial" w:hAnsi="Arial" w:cs="Arial"/>
          <w:i w:val="0"/>
          <w:iCs w:val="0"/>
          <w:color w:val="auto"/>
          <w:sz w:val="24"/>
          <w:szCs w:val="24"/>
        </w:rPr>
        <w:t>. Matriz de medidas específicas del plan de acción MFMP 2026–2035</w:t>
      </w:r>
      <w:bookmarkEnd w:id="92"/>
    </w:p>
    <w:tbl>
      <w:tblPr>
        <w:tblW w:w="5000" w:type="pct"/>
        <w:tblBorders>
          <w:top w:val="single" w:sz="1" w:space="0" w:color="AAAAAA"/>
          <w:left w:val="single" w:sz="1" w:space="0" w:color="AAAAAA"/>
          <w:bottom w:val="single" w:sz="1" w:space="0" w:color="AAAAAA"/>
          <w:right w:val="single" w:sz="1" w:space="0" w:color="AAAAAA"/>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289"/>
        <w:gridCol w:w="1975"/>
        <w:gridCol w:w="1017"/>
        <w:gridCol w:w="2557"/>
      </w:tblGrid>
      <w:tr w:rsidR="00865163" w14:paraId="3611F013" w14:textId="77777777" w:rsidTr="00844373">
        <w:tc>
          <w:tcPr>
            <w:tcW w:w="0" w:type="auto"/>
            <w:shd w:val="clear" w:color="auto" w:fill="D9D9D9"/>
            <w:tcMar>
              <w:top w:w="60" w:type="dxa"/>
              <w:left w:w="120" w:type="dxa"/>
              <w:bottom w:w="60" w:type="dxa"/>
              <w:right w:w="120" w:type="dxa"/>
            </w:tcMar>
          </w:tcPr>
          <w:p w14:paraId="41A2A120" w14:textId="77777777" w:rsidR="00865163" w:rsidRDefault="00865163" w:rsidP="00844373">
            <w:pPr>
              <w:jc w:val="center"/>
            </w:pPr>
            <w:r>
              <w:rPr>
                <w:rFonts w:ascii="Times New Roman" w:eastAsia="Times New Roman" w:hAnsi="Times New Roman" w:cs="Times New Roman"/>
                <w:b/>
                <w:bCs/>
                <w:sz w:val="18"/>
                <w:szCs w:val="18"/>
              </w:rPr>
              <w:t>Medida específica</w:t>
            </w:r>
          </w:p>
        </w:tc>
        <w:tc>
          <w:tcPr>
            <w:tcW w:w="0" w:type="auto"/>
            <w:shd w:val="clear" w:color="auto" w:fill="D9D9D9"/>
            <w:tcMar>
              <w:top w:w="60" w:type="dxa"/>
              <w:left w:w="120" w:type="dxa"/>
              <w:bottom w:w="60" w:type="dxa"/>
              <w:right w:w="120" w:type="dxa"/>
            </w:tcMar>
          </w:tcPr>
          <w:p w14:paraId="170C10C9" w14:textId="77777777" w:rsidR="00865163" w:rsidRDefault="00865163" w:rsidP="00844373">
            <w:pPr>
              <w:jc w:val="center"/>
            </w:pPr>
            <w:r>
              <w:rPr>
                <w:rFonts w:ascii="Times New Roman" w:eastAsia="Times New Roman" w:hAnsi="Times New Roman" w:cs="Times New Roman"/>
                <w:b/>
                <w:bCs/>
                <w:sz w:val="18"/>
                <w:szCs w:val="18"/>
              </w:rPr>
              <w:t>Área responsable</w:t>
            </w:r>
          </w:p>
        </w:tc>
        <w:tc>
          <w:tcPr>
            <w:tcW w:w="0" w:type="auto"/>
            <w:shd w:val="clear" w:color="auto" w:fill="D9D9D9"/>
            <w:tcMar>
              <w:top w:w="60" w:type="dxa"/>
              <w:left w:w="120" w:type="dxa"/>
              <w:bottom w:w="60" w:type="dxa"/>
              <w:right w:w="120" w:type="dxa"/>
            </w:tcMar>
          </w:tcPr>
          <w:p w14:paraId="44EC9F6C" w14:textId="77777777" w:rsidR="00865163" w:rsidRDefault="00865163" w:rsidP="00844373">
            <w:pPr>
              <w:jc w:val="center"/>
            </w:pPr>
            <w:r>
              <w:rPr>
                <w:rFonts w:ascii="Times New Roman" w:eastAsia="Times New Roman" w:hAnsi="Times New Roman" w:cs="Times New Roman"/>
                <w:b/>
                <w:bCs/>
                <w:sz w:val="18"/>
                <w:szCs w:val="18"/>
              </w:rPr>
              <w:t>Plazo</w:t>
            </w:r>
          </w:p>
        </w:tc>
        <w:tc>
          <w:tcPr>
            <w:tcW w:w="0" w:type="auto"/>
            <w:shd w:val="clear" w:color="auto" w:fill="D9D9D9"/>
            <w:tcMar>
              <w:top w:w="60" w:type="dxa"/>
              <w:left w:w="120" w:type="dxa"/>
              <w:bottom w:w="60" w:type="dxa"/>
              <w:right w:w="120" w:type="dxa"/>
            </w:tcMar>
          </w:tcPr>
          <w:p w14:paraId="44ACD91C" w14:textId="77777777" w:rsidR="00865163" w:rsidRDefault="00865163" w:rsidP="00844373">
            <w:pPr>
              <w:jc w:val="center"/>
            </w:pPr>
            <w:r>
              <w:rPr>
                <w:rFonts w:ascii="Times New Roman" w:eastAsia="Times New Roman" w:hAnsi="Times New Roman" w:cs="Times New Roman"/>
                <w:b/>
                <w:bCs/>
                <w:sz w:val="18"/>
                <w:szCs w:val="18"/>
              </w:rPr>
              <w:t>Indicador de seguimiento</w:t>
            </w:r>
          </w:p>
        </w:tc>
      </w:tr>
      <w:tr w:rsidR="00865163" w14:paraId="187C17F9" w14:textId="77777777" w:rsidTr="00844373">
        <w:tc>
          <w:tcPr>
            <w:tcW w:w="0" w:type="auto"/>
            <w:tcMar>
              <w:top w:w="60" w:type="dxa"/>
              <w:left w:w="120" w:type="dxa"/>
              <w:bottom w:w="60" w:type="dxa"/>
              <w:right w:w="120" w:type="dxa"/>
            </w:tcMar>
          </w:tcPr>
          <w:p w14:paraId="6933C7C4" w14:textId="77777777" w:rsidR="00865163" w:rsidRDefault="00865163" w:rsidP="00844373">
            <w:r>
              <w:rPr>
                <w:rFonts w:ascii="Times New Roman" w:eastAsia="Times New Roman" w:hAnsi="Times New Roman" w:cs="Times New Roman"/>
                <w:sz w:val="18"/>
                <w:szCs w:val="18"/>
              </w:rPr>
              <w:t>Actualización del inventario de predios y base catastral</w:t>
            </w:r>
          </w:p>
        </w:tc>
        <w:tc>
          <w:tcPr>
            <w:tcW w:w="0" w:type="auto"/>
            <w:tcMar>
              <w:top w:w="60" w:type="dxa"/>
              <w:left w:w="120" w:type="dxa"/>
              <w:bottom w:w="60" w:type="dxa"/>
              <w:right w:w="120" w:type="dxa"/>
            </w:tcMar>
          </w:tcPr>
          <w:p w14:paraId="02839342" w14:textId="77777777" w:rsidR="00865163" w:rsidRDefault="00865163" w:rsidP="00844373">
            <w:r>
              <w:rPr>
                <w:rFonts w:ascii="Times New Roman" w:eastAsia="Times New Roman" w:hAnsi="Times New Roman" w:cs="Times New Roman"/>
                <w:sz w:val="18"/>
                <w:szCs w:val="18"/>
              </w:rPr>
              <w:t>Secretaría de Hacienda – Oficina de Impuestos</w:t>
            </w:r>
          </w:p>
        </w:tc>
        <w:tc>
          <w:tcPr>
            <w:tcW w:w="0" w:type="auto"/>
            <w:tcMar>
              <w:top w:w="60" w:type="dxa"/>
              <w:left w:w="120" w:type="dxa"/>
              <w:bottom w:w="60" w:type="dxa"/>
              <w:right w:w="120" w:type="dxa"/>
            </w:tcMar>
          </w:tcPr>
          <w:p w14:paraId="0CB4F16B" w14:textId="77777777" w:rsidR="00865163" w:rsidRDefault="00865163" w:rsidP="00844373">
            <w:pPr>
              <w:jc w:val="center"/>
            </w:pPr>
            <w:r>
              <w:rPr>
                <w:rFonts w:ascii="Times New Roman" w:eastAsia="Times New Roman" w:hAnsi="Times New Roman" w:cs="Times New Roman"/>
                <w:sz w:val="18"/>
                <w:szCs w:val="18"/>
              </w:rPr>
              <w:t>2026–2028</w:t>
            </w:r>
          </w:p>
        </w:tc>
        <w:tc>
          <w:tcPr>
            <w:tcW w:w="0" w:type="auto"/>
            <w:tcMar>
              <w:top w:w="60" w:type="dxa"/>
              <w:left w:w="120" w:type="dxa"/>
              <w:bottom w:w="60" w:type="dxa"/>
              <w:right w:w="120" w:type="dxa"/>
            </w:tcMar>
          </w:tcPr>
          <w:p w14:paraId="149E5052" w14:textId="77777777" w:rsidR="00865163" w:rsidRDefault="00865163" w:rsidP="00844373">
            <w:r>
              <w:rPr>
                <w:rFonts w:ascii="Times New Roman" w:eastAsia="Times New Roman" w:hAnsi="Times New Roman" w:cs="Times New Roman"/>
                <w:sz w:val="18"/>
                <w:szCs w:val="18"/>
              </w:rPr>
              <w:t>Número de predios actualizados / variación del recaudo predial</w:t>
            </w:r>
          </w:p>
        </w:tc>
      </w:tr>
      <w:tr w:rsidR="00865163" w14:paraId="387A7DF9" w14:textId="77777777" w:rsidTr="00844373">
        <w:tc>
          <w:tcPr>
            <w:tcW w:w="0" w:type="auto"/>
            <w:tcMar>
              <w:top w:w="60" w:type="dxa"/>
              <w:left w:w="120" w:type="dxa"/>
              <w:bottom w:w="60" w:type="dxa"/>
              <w:right w:w="120" w:type="dxa"/>
            </w:tcMar>
          </w:tcPr>
          <w:p w14:paraId="6BB06CE8" w14:textId="77777777" w:rsidR="00865163" w:rsidRDefault="00865163" w:rsidP="00844373">
            <w:r>
              <w:rPr>
                <w:rFonts w:ascii="Times New Roman" w:eastAsia="Times New Roman" w:hAnsi="Times New Roman" w:cs="Times New Roman"/>
                <w:sz w:val="18"/>
                <w:szCs w:val="18"/>
              </w:rPr>
              <w:t>Implementación progresiva del catastro multipropósito</w:t>
            </w:r>
          </w:p>
        </w:tc>
        <w:tc>
          <w:tcPr>
            <w:tcW w:w="0" w:type="auto"/>
            <w:tcMar>
              <w:top w:w="60" w:type="dxa"/>
              <w:left w:w="120" w:type="dxa"/>
              <w:bottom w:w="60" w:type="dxa"/>
              <w:right w:w="120" w:type="dxa"/>
            </w:tcMar>
          </w:tcPr>
          <w:p w14:paraId="6A4EE060" w14:textId="77777777" w:rsidR="00865163" w:rsidRDefault="00865163" w:rsidP="00844373">
            <w:r>
              <w:rPr>
                <w:rFonts w:ascii="Times New Roman" w:eastAsia="Times New Roman" w:hAnsi="Times New Roman" w:cs="Times New Roman"/>
                <w:sz w:val="18"/>
                <w:szCs w:val="18"/>
              </w:rPr>
              <w:t>Secretaría de Hacienda – IGAC / operador catastral</w:t>
            </w:r>
          </w:p>
        </w:tc>
        <w:tc>
          <w:tcPr>
            <w:tcW w:w="0" w:type="auto"/>
            <w:tcMar>
              <w:top w:w="60" w:type="dxa"/>
              <w:left w:w="120" w:type="dxa"/>
              <w:bottom w:w="60" w:type="dxa"/>
              <w:right w:w="120" w:type="dxa"/>
            </w:tcMar>
          </w:tcPr>
          <w:p w14:paraId="6F02AE3F" w14:textId="77777777" w:rsidR="00865163" w:rsidRDefault="00865163" w:rsidP="00844373">
            <w:pPr>
              <w:jc w:val="center"/>
            </w:pPr>
            <w:r>
              <w:rPr>
                <w:rFonts w:ascii="Times New Roman" w:eastAsia="Times New Roman" w:hAnsi="Times New Roman" w:cs="Times New Roman"/>
                <w:sz w:val="18"/>
                <w:szCs w:val="18"/>
              </w:rPr>
              <w:t>2026–2030</w:t>
            </w:r>
          </w:p>
        </w:tc>
        <w:tc>
          <w:tcPr>
            <w:tcW w:w="0" w:type="auto"/>
            <w:tcMar>
              <w:top w:w="60" w:type="dxa"/>
              <w:left w:w="120" w:type="dxa"/>
              <w:bottom w:w="60" w:type="dxa"/>
              <w:right w:w="120" w:type="dxa"/>
            </w:tcMar>
          </w:tcPr>
          <w:p w14:paraId="54E38BE4" w14:textId="77777777" w:rsidR="00865163" w:rsidRDefault="00865163" w:rsidP="00844373">
            <w:r>
              <w:rPr>
                <w:rFonts w:ascii="Times New Roman" w:eastAsia="Times New Roman" w:hAnsi="Times New Roman" w:cs="Times New Roman"/>
                <w:sz w:val="18"/>
                <w:szCs w:val="18"/>
              </w:rPr>
              <w:t>% de avance en la actualización catastral</w:t>
            </w:r>
          </w:p>
        </w:tc>
      </w:tr>
      <w:tr w:rsidR="00865163" w14:paraId="0A57916D" w14:textId="77777777" w:rsidTr="00844373">
        <w:tc>
          <w:tcPr>
            <w:tcW w:w="0" w:type="auto"/>
            <w:tcMar>
              <w:top w:w="60" w:type="dxa"/>
              <w:left w:w="120" w:type="dxa"/>
              <w:bottom w:w="60" w:type="dxa"/>
              <w:right w:w="120" w:type="dxa"/>
            </w:tcMar>
          </w:tcPr>
          <w:p w14:paraId="4E3F929F" w14:textId="3D5287FA" w:rsidR="00865163" w:rsidRDefault="00EA373F" w:rsidP="00844373">
            <w:r>
              <w:rPr>
                <w:rFonts w:ascii="Times New Roman" w:eastAsia="Times New Roman" w:hAnsi="Times New Roman" w:cs="Times New Roman"/>
                <w:sz w:val="18"/>
                <w:szCs w:val="18"/>
              </w:rPr>
              <w:t xml:space="preserve">Real </w:t>
            </w:r>
            <w:r w:rsidR="00865163">
              <w:rPr>
                <w:rFonts w:ascii="Times New Roman" w:eastAsia="Times New Roman" w:hAnsi="Times New Roman" w:cs="Times New Roman"/>
                <w:sz w:val="18"/>
                <w:szCs w:val="18"/>
              </w:rPr>
              <w:t>fiscalización del ICA: cruce de información con fuentes externas y formalización empresarial</w:t>
            </w:r>
          </w:p>
        </w:tc>
        <w:tc>
          <w:tcPr>
            <w:tcW w:w="0" w:type="auto"/>
            <w:tcMar>
              <w:top w:w="60" w:type="dxa"/>
              <w:left w:w="120" w:type="dxa"/>
              <w:bottom w:w="60" w:type="dxa"/>
              <w:right w:w="120" w:type="dxa"/>
            </w:tcMar>
          </w:tcPr>
          <w:p w14:paraId="77E8BD71" w14:textId="77777777" w:rsidR="00865163" w:rsidRDefault="00865163" w:rsidP="00844373">
            <w:r>
              <w:rPr>
                <w:rFonts w:ascii="Times New Roman" w:eastAsia="Times New Roman" w:hAnsi="Times New Roman" w:cs="Times New Roman"/>
                <w:sz w:val="18"/>
                <w:szCs w:val="18"/>
              </w:rPr>
              <w:t>Secretaría de Hacienda – Oficina de Impuestos</w:t>
            </w:r>
          </w:p>
        </w:tc>
        <w:tc>
          <w:tcPr>
            <w:tcW w:w="0" w:type="auto"/>
            <w:tcMar>
              <w:top w:w="60" w:type="dxa"/>
              <w:left w:w="120" w:type="dxa"/>
              <w:bottom w:w="60" w:type="dxa"/>
              <w:right w:w="120" w:type="dxa"/>
            </w:tcMar>
          </w:tcPr>
          <w:p w14:paraId="36B89688" w14:textId="77777777" w:rsidR="00865163" w:rsidRDefault="00865163" w:rsidP="00844373">
            <w:pPr>
              <w:jc w:val="center"/>
            </w:pPr>
            <w:r>
              <w:rPr>
                <w:rFonts w:ascii="Times New Roman" w:eastAsia="Times New Roman" w:hAnsi="Times New Roman" w:cs="Times New Roman"/>
                <w:sz w:val="18"/>
                <w:szCs w:val="18"/>
              </w:rPr>
              <w:t>2026–2035</w:t>
            </w:r>
          </w:p>
        </w:tc>
        <w:tc>
          <w:tcPr>
            <w:tcW w:w="0" w:type="auto"/>
            <w:tcMar>
              <w:top w:w="60" w:type="dxa"/>
              <w:left w:w="120" w:type="dxa"/>
              <w:bottom w:w="60" w:type="dxa"/>
              <w:right w:w="120" w:type="dxa"/>
            </w:tcMar>
          </w:tcPr>
          <w:p w14:paraId="6273AA42" w14:textId="77777777" w:rsidR="00865163" w:rsidRDefault="00865163" w:rsidP="00844373">
            <w:r>
              <w:rPr>
                <w:rFonts w:ascii="Times New Roman" w:eastAsia="Times New Roman" w:hAnsi="Times New Roman" w:cs="Times New Roman"/>
                <w:sz w:val="18"/>
                <w:szCs w:val="18"/>
              </w:rPr>
              <w:t>Número de contribuyentes formalizados / incremento del recaudo ICA</w:t>
            </w:r>
          </w:p>
        </w:tc>
      </w:tr>
      <w:tr w:rsidR="00865163" w14:paraId="19283082" w14:textId="77777777" w:rsidTr="00844373">
        <w:tc>
          <w:tcPr>
            <w:tcW w:w="0" w:type="auto"/>
            <w:tcMar>
              <w:top w:w="60" w:type="dxa"/>
              <w:left w:w="120" w:type="dxa"/>
              <w:bottom w:w="60" w:type="dxa"/>
              <w:right w:w="120" w:type="dxa"/>
            </w:tcMar>
          </w:tcPr>
          <w:p w14:paraId="5C72C834" w14:textId="77777777" w:rsidR="00865163" w:rsidRDefault="00865163" w:rsidP="00844373">
            <w:r>
              <w:rPr>
                <w:rFonts w:ascii="Times New Roman" w:eastAsia="Times New Roman" w:hAnsi="Times New Roman" w:cs="Times New Roman"/>
                <w:sz w:val="18"/>
                <w:szCs w:val="18"/>
              </w:rPr>
              <w:t>Campañas de cultura tributaria para predial e ICA</w:t>
            </w:r>
          </w:p>
        </w:tc>
        <w:tc>
          <w:tcPr>
            <w:tcW w:w="0" w:type="auto"/>
            <w:tcMar>
              <w:top w:w="60" w:type="dxa"/>
              <w:left w:w="120" w:type="dxa"/>
              <w:bottom w:w="60" w:type="dxa"/>
              <w:right w:w="120" w:type="dxa"/>
            </w:tcMar>
          </w:tcPr>
          <w:p w14:paraId="3A776947" w14:textId="77777777" w:rsidR="00865163" w:rsidRDefault="00865163" w:rsidP="00844373">
            <w:r>
              <w:rPr>
                <w:rFonts w:ascii="Times New Roman" w:eastAsia="Times New Roman" w:hAnsi="Times New Roman" w:cs="Times New Roman"/>
                <w:sz w:val="18"/>
                <w:szCs w:val="18"/>
              </w:rPr>
              <w:t>Secretaría de Hacienda</w:t>
            </w:r>
          </w:p>
        </w:tc>
        <w:tc>
          <w:tcPr>
            <w:tcW w:w="0" w:type="auto"/>
            <w:tcMar>
              <w:top w:w="60" w:type="dxa"/>
              <w:left w:w="120" w:type="dxa"/>
              <w:bottom w:w="60" w:type="dxa"/>
              <w:right w:w="120" w:type="dxa"/>
            </w:tcMar>
          </w:tcPr>
          <w:p w14:paraId="120EA256" w14:textId="77777777" w:rsidR="00865163" w:rsidRDefault="00865163" w:rsidP="00844373">
            <w:pPr>
              <w:jc w:val="center"/>
            </w:pPr>
            <w:r>
              <w:rPr>
                <w:rFonts w:ascii="Times New Roman" w:eastAsia="Times New Roman" w:hAnsi="Times New Roman" w:cs="Times New Roman"/>
                <w:sz w:val="18"/>
                <w:szCs w:val="18"/>
              </w:rPr>
              <w:t>Anual (2026–2035)</w:t>
            </w:r>
          </w:p>
        </w:tc>
        <w:tc>
          <w:tcPr>
            <w:tcW w:w="0" w:type="auto"/>
            <w:tcMar>
              <w:top w:w="60" w:type="dxa"/>
              <w:left w:w="120" w:type="dxa"/>
              <w:bottom w:w="60" w:type="dxa"/>
              <w:right w:w="120" w:type="dxa"/>
            </w:tcMar>
          </w:tcPr>
          <w:p w14:paraId="5676730A" w14:textId="77777777" w:rsidR="00865163" w:rsidRDefault="00865163" w:rsidP="00844373">
            <w:r>
              <w:rPr>
                <w:rFonts w:ascii="Times New Roman" w:eastAsia="Times New Roman" w:hAnsi="Times New Roman" w:cs="Times New Roman"/>
                <w:sz w:val="18"/>
                <w:szCs w:val="18"/>
              </w:rPr>
              <w:t>Número de campañas ejecutadas / tasa de pago oportuno</w:t>
            </w:r>
          </w:p>
        </w:tc>
      </w:tr>
      <w:tr w:rsidR="00865163" w14:paraId="701A8EBE" w14:textId="77777777" w:rsidTr="00844373">
        <w:tc>
          <w:tcPr>
            <w:tcW w:w="0" w:type="auto"/>
            <w:tcMar>
              <w:top w:w="60" w:type="dxa"/>
              <w:left w:w="120" w:type="dxa"/>
              <w:bottom w:w="60" w:type="dxa"/>
              <w:right w:w="120" w:type="dxa"/>
            </w:tcMar>
          </w:tcPr>
          <w:p w14:paraId="35D9B7F4" w14:textId="77777777" w:rsidR="00865163" w:rsidRDefault="00865163" w:rsidP="00844373">
            <w:r>
              <w:rPr>
                <w:rFonts w:ascii="Times New Roman" w:eastAsia="Times New Roman" w:hAnsi="Times New Roman" w:cs="Times New Roman"/>
                <w:sz w:val="18"/>
                <w:szCs w:val="18"/>
              </w:rPr>
              <w:t>Revisión y optimización de la estructura de beneficios tributarios</w:t>
            </w:r>
          </w:p>
        </w:tc>
        <w:tc>
          <w:tcPr>
            <w:tcW w:w="0" w:type="auto"/>
            <w:tcMar>
              <w:top w:w="60" w:type="dxa"/>
              <w:left w:w="120" w:type="dxa"/>
              <w:bottom w:w="60" w:type="dxa"/>
              <w:right w:w="120" w:type="dxa"/>
            </w:tcMar>
          </w:tcPr>
          <w:p w14:paraId="7C72E57A" w14:textId="77777777" w:rsidR="00865163" w:rsidRDefault="00865163" w:rsidP="00844373">
            <w:r>
              <w:rPr>
                <w:rFonts w:ascii="Times New Roman" w:eastAsia="Times New Roman" w:hAnsi="Times New Roman" w:cs="Times New Roman"/>
                <w:sz w:val="18"/>
                <w:szCs w:val="18"/>
              </w:rPr>
              <w:t>Secretaría de Hacienda – Oficina Jurídica</w:t>
            </w:r>
          </w:p>
        </w:tc>
        <w:tc>
          <w:tcPr>
            <w:tcW w:w="0" w:type="auto"/>
            <w:tcMar>
              <w:top w:w="60" w:type="dxa"/>
              <w:left w:w="120" w:type="dxa"/>
              <w:bottom w:w="60" w:type="dxa"/>
              <w:right w:w="120" w:type="dxa"/>
            </w:tcMar>
          </w:tcPr>
          <w:p w14:paraId="5EDA715B" w14:textId="77777777" w:rsidR="00865163" w:rsidRDefault="00865163" w:rsidP="00844373">
            <w:pPr>
              <w:jc w:val="center"/>
            </w:pPr>
            <w:r>
              <w:rPr>
                <w:rFonts w:ascii="Times New Roman" w:eastAsia="Times New Roman" w:hAnsi="Times New Roman" w:cs="Times New Roman"/>
                <w:sz w:val="18"/>
                <w:szCs w:val="18"/>
              </w:rPr>
              <w:t>2026–2027</w:t>
            </w:r>
          </w:p>
        </w:tc>
        <w:tc>
          <w:tcPr>
            <w:tcW w:w="0" w:type="auto"/>
            <w:tcMar>
              <w:top w:w="60" w:type="dxa"/>
              <w:left w:w="120" w:type="dxa"/>
              <w:bottom w:w="60" w:type="dxa"/>
              <w:right w:w="120" w:type="dxa"/>
            </w:tcMar>
          </w:tcPr>
          <w:p w14:paraId="7D3B8998" w14:textId="77777777" w:rsidR="00865163" w:rsidRDefault="00865163" w:rsidP="00844373">
            <w:r>
              <w:rPr>
                <w:rFonts w:ascii="Times New Roman" w:eastAsia="Times New Roman" w:hAnsi="Times New Roman" w:cs="Times New Roman"/>
                <w:sz w:val="18"/>
                <w:szCs w:val="18"/>
              </w:rPr>
              <w:t>Costo fiscal estimado de exenciones vigentes</w:t>
            </w:r>
          </w:p>
        </w:tc>
      </w:tr>
      <w:tr w:rsidR="00865163" w14:paraId="57675E07" w14:textId="77777777" w:rsidTr="00844373">
        <w:tc>
          <w:tcPr>
            <w:tcW w:w="0" w:type="auto"/>
            <w:tcMar>
              <w:top w:w="60" w:type="dxa"/>
              <w:left w:w="120" w:type="dxa"/>
              <w:bottom w:w="60" w:type="dxa"/>
              <w:right w:w="120" w:type="dxa"/>
            </w:tcMar>
          </w:tcPr>
          <w:p w14:paraId="45E2F90C" w14:textId="77777777" w:rsidR="00865163" w:rsidRDefault="00865163" w:rsidP="00844373">
            <w:r>
              <w:rPr>
                <w:rFonts w:ascii="Times New Roman" w:eastAsia="Times New Roman" w:hAnsi="Times New Roman" w:cs="Times New Roman"/>
                <w:sz w:val="18"/>
                <w:szCs w:val="18"/>
              </w:rPr>
              <w:lastRenderedPageBreak/>
              <w:t>Control del crecimiento del gasto de funcionamiento alineado con la inflación</w:t>
            </w:r>
          </w:p>
        </w:tc>
        <w:tc>
          <w:tcPr>
            <w:tcW w:w="0" w:type="auto"/>
            <w:tcMar>
              <w:top w:w="60" w:type="dxa"/>
              <w:left w:w="120" w:type="dxa"/>
              <w:bottom w:w="60" w:type="dxa"/>
              <w:right w:w="120" w:type="dxa"/>
            </w:tcMar>
          </w:tcPr>
          <w:p w14:paraId="2F791C19" w14:textId="77777777" w:rsidR="00865163" w:rsidRDefault="00865163" w:rsidP="00844373">
            <w:r>
              <w:rPr>
                <w:rFonts w:ascii="Times New Roman" w:eastAsia="Times New Roman" w:hAnsi="Times New Roman" w:cs="Times New Roman"/>
                <w:sz w:val="18"/>
                <w:szCs w:val="18"/>
              </w:rPr>
              <w:t>Secretaría de Hacienda – Presupuesto</w:t>
            </w:r>
          </w:p>
        </w:tc>
        <w:tc>
          <w:tcPr>
            <w:tcW w:w="0" w:type="auto"/>
            <w:tcMar>
              <w:top w:w="60" w:type="dxa"/>
              <w:left w:w="120" w:type="dxa"/>
              <w:bottom w:w="60" w:type="dxa"/>
              <w:right w:w="120" w:type="dxa"/>
            </w:tcMar>
          </w:tcPr>
          <w:p w14:paraId="5437C3A5" w14:textId="77777777" w:rsidR="00865163" w:rsidRDefault="00865163" w:rsidP="00844373">
            <w:pPr>
              <w:jc w:val="center"/>
            </w:pPr>
            <w:r>
              <w:rPr>
                <w:rFonts w:ascii="Times New Roman" w:eastAsia="Times New Roman" w:hAnsi="Times New Roman" w:cs="Times New Roman"/>
                <w:sz w:val="18"/>
                <w:szCs w:val="18"/>
              </w:rPr>
              <w:t>Anual (2026–2035)</w:t>
            </w:r>
          </w:p>
        </w:tc>
        <w:tc>
          <w:tcPr>
            <w:tcW w:w="0" w:type="auto"/>
            <w:tcMar>
              <w:top w:w="60" w:type="dxa"/>
              <w:left w:w="120" w:type="dxa"/>
              <w:bottom w:w="60" w:type="dxa"/>
              <w:right w:w="120" w:type="dxa"/>
            </w:tcMar>
          </w:tcPr>
          <w:p w14:paraId="7A59859A" w14:textId="77777777" w:rsidR="00865163" w:rsidRDefault="00865163" w:rsidP="00844373">
            <w:r>
              <w:rPr>
                <w:rFonts w:ascii="Times New Roman" w:eastAsia="Times New Roman" w:hAnsi="Times New Roman" w:cs="Times New Roman"/>
                <w:sz w:val="18"/>
                <w:szCs w:val="18"/>
              </w:rPr>
              <w:t>Relación funcionamiento / ICLD (Ley 617 de 2000)</w:t>
            </w:r>
          </w:p>
        </w:tc>
      </w:tr>
      <w:tr w:rsidR="00865163" w14:paraId="3E3DAD13" w14:textId="77777777" w:rsidTr="00844373">
        <w:tc>
          <w:tcPr>
            <w:tcW w:w="0" w:type="auto"/>
            <w:tcMar>
              <w:top w:w="60" w:type="dxa"/>
              <w:left w:w="120" w:type="dxa"/>
              <w:bottom w:w="60" w:type="dxa"/>
              <w:right w:w="120" w:type="dxa"/>
            </w:tcMar>
          </w:tcPr>
          <w:p w14:paraId="338F20C3" w14:textId="589D1A78" w:rsidR="00865163" w:rsidRDefault="00EA373F" w:rsidP="00844373">
            <w:r>
              <w:rPr>
                <w:rFonts w:ascii="Times New Roman" w:eastAsia="Times New Roman" w:hAnsi="Times New Roman" w:cs="Times New Roman"/>
                <w:sz w:val="18"/>
                <w:szCs w:val="18"/>
              </w:rPr>
              <w:t>Perfeccionamiento</w:t>
            </w:r>
            <w:r w:rsidR="00865163">
              <w:rPr>
                <w:rFonts w:ascii="Times New Roman" w:eastAsia="Times New Roman" w:hAnsi="Times New Roman" w:cs="Times New Roman"/>
                <w:sz w:val="18"/>
                <w:szCs w:val="18"/>
              </w:rPr>
              <w:t xml:space="preserve"> de la planeación y priorización de la inversión pública</w:t>
            </w:r>
          </w:p>
        </w:tc>
        <w:tc>
          <w:tcPr>
            <w:tcW w:w="0" w:type="auto"/>
            <w:tcMar>
              <w:top w:w="60" w:type="dxa"/>
              <w:left w:w="120" w:type="dxa"/>
              <w:bottom w:w="60" w:type="dxa"/>
              <w:right w:w="120" w:type="dxa"/>
            </w:tcMar>
          </w:tcPr>
          <w:p w14:paraId="14E8BA1A" w14:textId="77777777" w:rsidR="00865163" w:rsidRDefault="00865163" w:rsidP="00844373">
            <w:r>
              <w:rPr>
                <w:rFonts w:ascii="Times New Roman" w:eastAsia="Times New Roman" w:hAnsi="Times New Roman" w:cs="Times New Roman"/>
                <w:sz w:val="18"/>
                <w:szCs w:val="18"/>
              </w:rPr>
              <w:t>Secretaría de Hacienda – Secretaría de Planeación</w:t>
            </w:r>
          </w:p>
        </w:tc>
        <w:tc>
          <w:tcPr>
            <w:tcW w:w="0" w:type="auto"/>
            <w:tcMar>
              <w:top w:w="60" w:type="dxa"/>
              <w:left w:w="120" w:type="dxa"/>
              <w:bottom w:w="60" w:type="dxa"/>
              <w:right w:w="120" w:type="dxa"/>
            </w:tcMar>
          </w:tcPr>
          <w:p w14:paraId="3F382214" w14:textId="77777777" w:rsidR="00865163" w:rsidRDefault="00865163" w:rsidP="00844373">
            <w:pPr>
              <w:jc w:val="center"/>
            </w:pPr>
            <w:r>
              <w:rPr>
                <w:rFonts w:ascii="Times New Roman" w:eastAsia="Times New Roman" w:hAnsi="Times New Roman" w:cs="Times New Roman"/>
                <w:sz w:val="18"/>
                <w:szCs w:val="18"/>
              </w:rPr>
              <w:t>Anual (2026–2035)</w:t>
            </w:r>
          </w:p>
        </w:tc>
        <w:tc>
          <w:tcPr>
            <w:tcW w:w="0" w:type="auto"/>
            <w:tcMar>
              <w:top w:w="60" w:type="dxa"/>
              <w:left w:w="120" w:type="dxa"/>
              <w:bottom w:w="60" w:type="dxa"/>
              <w:right w:w="120" w:type="dxa"/>
            </w:tcMar>
          </w:tcPr>
          <w:p w14:paraId="678040AA" w14:textId="77777777" w:rsidR="00865163" w:rsidRDefault="00865163" w:rsidP="00844373">
            <w:r>
              <w:rPr>
                <w:rFonts w:ascii="Times New Roman" w:eastAsia="Times New Roman" w:hAnsi="Times New Roman" w:cs="Times New Roman"/>
                <w:sz w:val="18"/>
                <w:szCs w:val="18"/>
              </w:rPr>
              <w:t>% de ejecución de inversión / coherencia con el PDT</w:t>
            </w:r>
          </w:p>
        </w:tc>
      </w:tr>
      <w:tr w:rsidR="00865163" w14:paraId="0790D1D8" w14:textId="77777777" w:rsidTr="00844373">
        <w:tc>
          <w:tcPr>
            <w:tcW w:w="0" w:type="auto"/>
            <w:tcMar>
              <w:top w:w="60" w:type="dxa"/>
              <w:left w:w="120" w:type="dxa"/>
              <w:bottom w:w="60" w:type="dxa"/>
              <w:right w:w="120" w:type="dxa"/>
            </w:tcMar>
          </w:tcPr>
          <w:p w14:paraId="5F257A48" w14:textId="77777777" w:rsidR="00865163" w:rsidRDefault="00865163" w:rsidP="00844373">
            <w:r>
              <w:rPr>
                <w:rFonts w:ascii="Times New Roman" w:eastAsia="Times New Roman" w:hAnsi="Times New Roman" w:cs="Times New Roman"/>
                <w:sz w:val="18"/>
                <w:szCs w:val="18"/>
              </w:rPr>
              <w:t>Seguimiento a la ejecución de proyectos para reducir subejecuciones</w:t>
            </w:r>
          </w:p>
        </w:tc>
        <w:tc>
          <w:tcPr>
            <w:tcW w:w="0" w:type="auto"/>
            <w:tcMar>
              <w:top w:w="60" w:type="dxa"/>
              <w:left w:w="120" w:type="dxa"/>
              <w:bottom w:w="60" w:type="dxa"/>
              <w:right w:w="120" w:type="dxa"/>
            </w:tcMar>
          </w:tcPr>
          <w:p w14:paraId="3BD107D4" w14:textId="77777777" w:rsidR="00865163" w:rsidRDefault="00865163" w:rsidP="00844373">
            <w:r>
              <w:rPr>
                <w:rFonts w:ascii="Times New Roman" w:eastAsia="Times New Roman" w:hAnsi="Times New Roman" w:cs="Times New Roman"/>
                <w:sz w:val="18"/>
                <w:szCs w:val="18"/>
              </w:rPr>
              <w:t>Secretaría de Planeación – Secretaría de Hacienda</w:t>
            </w:r>
          </w:p>
        </w:tc>
        <w:tc>
          <w:tcPr>
            <w:tcW w:w="0" w:type="auto"/>
            <w:tcMar>
              <w:top w:w="60" w:type="dxa"/>
              <w:left w:w="120" w:type="dxa"/>
              <w:bottom w:w="60" w:type="dxa"/>
              <w:right w:w="120" w:type="dxa"/>
            </w:tcMar>
          </w:tcPr>
          <w:p w14:paraId="5D262A87" w14:textId="77777777" w:rsidR="00865163" w:rsidRDefault="00865163" w:rsidP="00844373">
            <w:pPr>
              <w:jc w:val="center"/>
            </w:pPr>
            <w:r>
              <w:rPr>
                <w:rFonts w:ascii="Times New Roman" w:eastAsia="Times New Roman" w:hAnsi="Times New Roman" w:cs="Times New Roman"/>
                <w:sz w:val="18"/>
                <w:szCs w:val="18"/>
              </w:rPr>
              <w:t>Anual (2026–2035)</w:t>
            </w:r>
          </w:p>
        </w:tc>
        <w:tc>
          <w:tcPr>
            <w:tcW w:w="0" w:type="auto"/>
            <w:tcMar>
              <w:top w:w="60" w:type="dxa"/>
              <w:left w:w="120" w:type="dxa"/>
              <w:bottom w:w="60" w:type="dxa"/>
              <w:right w:w="120" w:type="dxa"/>
            </w:tcMar>
          </w:tcPr>
          <w:p w14:paraId="1C3A6712" w14:textId="77777777" w:rsidR="00865163" w:rsidRDefault="00865163" w:rsidP="00844373">
            <w:r>
              <w:rPr>
                <w:rFonts w:ascii="Times New Roman" w:eastAsia="Times New Roman" w:hAnsi="Times New Roman" w:cs="Times New Roman"/>
                <w:sz w:val="18"/>
                <w:szCs w:val="18"/>
              </w:rPr>
              <w:t>% de ejecución presupuestal de inversión</w:t>
            </w:r>
          </w:p>
        </w:tc>
      </w:tr>
      <w:tr w:rsidR="00865163" w14:paraId="690C258C" w14:textId="77777777" w:rsidTr="00844373">
        <w:tc>
          <w:tcPr>
            <w:tcW w:w="0" w:type="auto"/>
            <w:tcMar>
              <w:top w:w="60" w:type="dxa"/>
              <w:left w:w="120" w:type="dxa"/>
              <w:bottom w:w="60" w:type="dxa"/>
              <w:right w:w="120" w:type="dxa"/>
            </w:tcMar>
          </w:tcPr>
          <w:p w14:paraId="59CEF6B3" w14:textId="2A438ABB" w:rsidR="00865163" w:rsidRDefault="00EA373F" w:rsidP="00844373">
            <w:r>
              <w:rPr>
                <w:rFonts w:ascii="Times New Roman" w:eastAsia="Times New Roman" w:hAnsi="Times New Roman" w:cs="Times New Roman"/>
                <w:sz w:val="18"/>
                <w:szCs w:val="18"/>
              </w:rPr>
              <w:t>Altas</w:t>
            </w:r>
            <w:r w:rsidR="00865163">
              <w:rPr>
                <w:rFonts w:ascii="Times New Roman" w:eastAsia="Times New Roman" w:hAnsi="Times New Roman" w:cs="Times New Roman"/>
                <w:sz w:val="18"/>
                <w:szCs w:val="18"/>
              </w:rPr>
              <w:t xml:space="preserve"> capacidades institucionales para la sostenibilidad operativa de las inversiones</w:t>
            </w:r>
          </w:p>
        </w:tc>
        <w:tc>
          <w:tcPr>
            <w:tcW w:w="0" w:type="auto"/>
            <w:tcMar>
              <w:top w:w="60" w:type="dxa"/>
              <w:left w:w="120" w:type="dxa"/>
              <w:bottom w:w="60" w:type="dxa"/>
              <w:right w:w="120" w:type="dxa"/>
            </w:tcMar>
          </w:tcPr>
          <w:p w14:paraId="73DB29CF" w14:textId="77777777" w:rsidR="00865163" w:rsidRDefault="00865163" w:rsidP="00844373">
            <w:r>
              <w:rPr>
                <w:rFonts w:ascii="Times New Roman" w:eastAsia="Times New Roman" w:hAnsi="Times New Roman" w:cs="Times New Roman"/>
                <w:sz w:val="18"/>
                <w:szCs w:val="18"/>
              </w:rPr>
              <w:t>Secretaría de Hacienda – Secretaría de Planeación</w:t>
            </w:r>
          </w:p>
        </w:tc>
        <w:tc>
          <w:tcPr>
            <w:tcW w:w="0" w:type="auto"/>
            <w:tcMar>
              <w:top w:w="60" w:type="dxa"/>
              <w:left w:w="120" w:type="dxa"/>
              <w:bottom w:w="60" w:type="dxa"/>
              <w:right w:w="120" w:type="dxa"/>
            </w:tcMar>
          </w:tcPr>
          <w:p w14:paraId="39DFE2E9" w14:textId="77777777" w:rsidR="00865163" w:rsidRDefault="00865163" w:rsidP="00844373">
            <w:pPr>
              <w:jc w:val="center"/>
            </w:pPr>
            <w:r>
              <w:rPr>
                <w:rFonts w:ascii="Times New Roman" w:eastAsia="Times New Roman" w:hAnsi="Times New Roman" w:cs="Times New Roman"/>
                <w:sz w:val="18"/>
                <w:szCs w:val="18"/>
              </w:rPr>
              <w:t>2026–2028</w:t>
            </w:r>
          </w:p>
        </w:tc>
        <w:tc>
          <w:tcPr>
            <w:tcW w:w="0" w:type="auto"/>
            <w:tcMar>
              <w:top w:w="60" w:type="dxa"/>
              <w:left w:w="120" w:type="dxa"/>
              <w:bottom w:w="60" w:type="dxa"/>
              <w:right w:w="120" w:type="dxa"/>
            </w:tcMar>
          </w:tcPr>
          <w:p w14:paraId="5D10D019" w14:textId="77777777" w:rsidR="00865163" w:rsidRDefault="00865163" w:rsidP="00844373">
            <w:r>
              <w:rPr>
                <w:rFonts w:ascii="Times New Roman" w:eastAsia="Times New Roman" w:hAnsi="Times New Roman" w:cs="Times New Roman"/>
                <w:sz w:val="18"/>
                <w:szCs w:val="18"/>
              </w:rPr>
              <w:t>Número de funcionarios capacitados / implementación del MIPG</w:t>
            </w:r>
          </w:p>
        </w:tc>
      </w:tr>
      <w:tr w:rsidR="00865163" w14:paraId="0E1964B4" w14:textId="77777777" w:rsidTr="00844373">
        <w:tc>
          <w:tcPr>
            <w:tcW w:w="0" w:type="auto"/>
            <w:tcMar>
              <w:top w:w="60" w:type="dxa"/>
              <w:left w:w="120" w:type="dxa"/>
              <w:bottom w:w="60" w:type="dxa"/>
              <w:right w:w="120" w:type="dxa"/>
            </w:tcMar>
          </w:tcPr>
          <w:p w14:paraId="12095D3B" w14:textId="77777777" w:rsidR="00865163" w:rsidRDefault="00865163" w:rsidP="00844373">
            <w:r>
              <w:rPr>
                <w:rFonts w:ascii="Times New Roman" w:eastAsia="Times New Roman" w:hAnsi="Times New Roman" w:cs="Times New Roman"/>
                <w:sz w:val="18"/>
                <w:szCs w:val="18"/>
              </w:rPr>
              <w:t>Monitoreo anual de los indicadores de la Ley 358 de 1997 y actualización del perfil de la deuda</w:t>
            </w:r>
          </w:p>
        </w:tc>
        <w:tc>
          <w:tcPr>
            <w:tcW w:w="0" w:type="auto"/>
            <w:tcMar>
              <w:top w:w="60" w:type="dxa"/>
              <w:left w:w="120" w:type="dxa"/>
              <w:bottom w:w="60" w:type="dxa"/>
              <w:right w:w="120" w:type="dxa"/>
            </w:tcMar>
          </w:tcPr>
          <w:p w14:paraId="0C4A4D18" w14:textId="77777777" w:rsidR="00865163" w:rsidRDefault="00865163" w:rsidP="00844373">
            <w:r>
              <w:rPr>
                <w:rFonts w:ascii="Times New Roman" w:eastAsia="Times New Roman" w:hAnsi="Times New Roman" w:cs="Times New Roman"/>
                <w:sz w:val="18"/>
                <w:szCs w:val="18"/>
              </w:rPr>
              <w:t>Secretaría de Hacienda</w:t>
            </w:r>
          </w:p>
        </w:tc>
        <w:tc>
          <w:tcPr>
            <w:tcW w:w="0" w:type="auto"/>
            <w:tcMar>
              <w:top w:w="60" w:type="dxa"/>
              <w:left w:w="120" w:type="dxa"/>
              <w:bottom w:w="60" w:type="dxa"/>
              <w:right w:w="120" w:type="dxa"/>
            </w:tcMar>
          </w:tcPr>
          <w:p w14:paraId="197C4F16" w14:textId="77777777" w:rsidR="00865163" w:rsidRDefault="00865163" w:rsidP="00844373">
            <w:pPr>
              <w:jc w:val="center"/>
            </w:pPr>
            <w:r>
              <w:rPr>
                <w:rFonts w:ascii="Times New Roman" w:eastAsia="Times New Roman" w:hAnsi="Times New Roman" w:cs="Times New Roman"/>
                <w:sz w:val="18"/>
                <w:szCs w:val="18"/>
              </w:rPr>
              <w:t>Anual (2026–2035)</w:t>
            </w:r>
          </w:p>
        </w:tc>
        <w:tc>
          <w:tcPr>
            <w:tcW w:w="0" w:type="auto"/>
            <w:tcMar>
              <w:top w:w="60" w:type="dxa"/>
              <w:left w:w="120" w:type="dxa"/>
              <w:bottom w:w="60" w:type="dxa"/>
              <w:right w:w="120" w:type="dxa"/>
            </w:tcMar>
          </w:tcPr>
          <w:p w14:paraId="50F2CFC4" w14:textId="77777777" w:rsidR="00865163" w:rsidRDefault="00865163" w:rsidP="00844373">
            <w:r>
              <w:rPr>
                <w:rFonts w:ascii="Times New Roman" w:eastAsia="Times New Roman" w:hAnsi="Times New Roman" w:cs="Times New Roman"/>
                <w:sz w:val="18"/>
                <w:szCs w:val="18"/>
              </w:rPr>
              <w:t>Indicadores de solvencia y liquidez dentro del semáforo verde</w:t>
            </w:r>
          </w:p>
        </w:tc>
      </w:tr>
    </w:tbl>
    <w:p w14:paraId="2F5C5E5B" w14:textId="460E9D1B" w:rsidR="00A94B3E" w:rsidRPr="00865163" w:rsidRDefault="00865163" w:rsidP="00865163">
      <w:pPr>
        <w:spacing w:after="480"/>
        <w:rPr>
          <w:rFonts w:cs="Arial"/>
          <w:szCs w:val="24"/>
        </w:rPr>
      </w:pPr>
      <w:r w:rsidRPr="00865163">
        <w:rPr>
          <w:rFonts w:cs="Arial"/>
          <w:b/>
          <w:bCs/>
          <w:szCs w:val="24"/>
        </w:rPr>
        <w:t>Fuente</w:t>
      </w:r>
      <w:r w:rsidRPr="00865163">
        <w:rPr>
          <w:rFonts w:cs="Arial"/>
          <w:szCs w:val="24"/>
        </w:rPr>
        <w:t>: elaboración propia.</w:t>
      </w:r>
    </w:p>
    <w:p w14:paraId="385C77D6" w14:textId="73606D13" w:rsidR="00865163" w:rsidRPr="00865163" w:rsidRDefault="00A94B3E" w:rsidP="00865163">
      <w:pPr>
        <w:pStyle w:val="Ttulo3"/>
        <w:rPr>
          <w:lang w:val="es-MX"/>
        </w:rPr>
      </w:pPr>
      <w:bookmarkStart w:id="93" w:name="_Toc231741474"/>
      <w:r>
        <w:rPr>
          <w:lang w:val="es-MX"/>
        </w:rPr>
        <w:t>3.3.4</w:t>
      </w:r>
      <w:r w:rsidR="00865163" w:rsidRPr="00865163">
        <w:t xml:space="preserve"> </w:t>
      </w:r>
      <w:r w:rsidR="00865163" w:rsidRPr="00865163">
        <w:rPr>
          <w:lang w:val="es-MX"/>
        </w:rPr>
        <w:t>Seguimiento y actualización del MFMP</w:t>
      </w:r>
      <w:bookmarkEnd w:id="93"/>
    </w:p>
    <w:p w14:paraId="5B884DD9" w14:textId="4E6E2A7A" w:rsidR="00A94B3E" w:rsidRDefault="00865163" w:rsidP="00FB21CD">
      <w:pPr>
        <w:spacing w:after="480"/>
        <w:rPr>
          <w:rFonts w:cs="Arial"/>
          <w:szCs w:val="24"/>
          <w:lang w:val="es-MX"/>
        </w:rPr>
      </w:pPr>
      <w:r w:rsidRPr="00865163">
        <w:rPr>
          <w:rFonts w:cs="Arial"/>
          <w:szCs w:val="24"/>
          <w:lang w:val="es-MX"/>
        </w:rPr>
        <w:t>El plan de acción no agota su utilidad en el momento de su formulación. La Ley 819 de 2003 establece que el MFMP debe presentarse y actualizarse cada año junto con el proyecto de presupuesto, lo que convierte a este instrumento en un mecanismo de seguimiento continuo y no en un ejercicio puntual. En cada actualización anual, la administración municipal deberá evaluar el grado de cumplimiento de las medidas definidas en esta matriz, explicar las desviaciones respecto a las metas proyectadas y, si fuera necesario, ajustar los supuestos y las medidas del plan de acción para garantizar la sostenibilidad fiscal en el horizonte vigente.</w:t>
      </w:r>
    </w:p>
    <w:p w14:paraId="29B6DAB5" w14:textId="10B0177E" w:rsidR="00EC7ADA" w:rsidRDefault="00FB21CD" w:rsidP="00FB21CD">
      <w:pPr>
        <w:spacing w:after="480"/>
        <w:rPr>
          <w:rFonts w:cs="Arial"/>
          <w:szCs w:val="24"/>
          <w:lang w:val="es-MX"/>
        </w:rPr>
      </w:pPr>
      <w:r w:rsidRPr="00FB21CD">
        <w:rPr>
          <w:rFonts w:cs="Arial"/>
          <w:szCs w:val="24"/>
          <w:lang w:val="es-MX"/>
        </w:rPr>
        <w:t xml:space="preserve">En síntesis, el desarrollo de este tercer objetivo tradujo el análisis técnico acumulado en los objetivos anteriores en una hoja de ruta de gestión fiscal para el municipio de Aguachica. La combinación de un balance proyectado superavitario en todo el horizonte, medidas de ingresos propios orientadas a reducir la dependencia de transferencias, y acciones de racionalización del gasto que preservan la flexibilidad presupuestal existente, configura un escenario de </w:t>
      </w:r>
      <w:r w:rsidRPr="00FB21CD">
        <w:rPr>
          <w:rFonts w:cs="Arial"/>
          <w:szCs w:val="24"/>
          <w:lang w:val="es-MX"/>
        </w:rPr>
        <w:lastRenderedPageBreak/>
        <w:t>sostenibilidad fiscal técnicamente fundamentado y operativamente viable para el periodo 2026–2035.</w:t>
      </w:r>
    </w:p>
    <w:p w14:paraId="5626EB04" w14:textId="77777777" w:rsidR="00EC7ADA" w:rsidRDefault="00EC7ADA" w:rsidP="002824F1">
      <w:pPr>
        <w:rPr>
          <w:rFonts w:cs="Arial"/>
          <w:szCs w:val="24"/>
          <w:lang w:val="es-MX"/>
        </w:rPr>
      </w:pPr>
    </w:p>
    <w:p w14:paraId="6D53E32D" w14:textId="77777777" w:rsidR="00EC7ADA" w:rsidRDefault="00EC7ADA" w:rsidP="002824F1">
      <w:pPr>
        <w:rPr>
          <w:rFonts w:cs="Arial"/>
          <w:szCs w:val="24"/>
          <w:lang w:val="es-MX"/>
        </w:rPr>
      </w:pPr>
    </w:p>
    <w:p w14:paraId="60EEAF49" w14:textId="77777777" w:rsidR="00EC7ADA" w:rsidRDefault="00EC7ADA" w:rsidP="002824F1">
      <w:pPr>
        <w:rPr>
          <w:rFonts w:cs="Arial"/>
          <w:szCs w:val="24"/>
          <w:lang w:val="es-MX"/>
        </w:rPr>
      </w:pPr>
    </w:p>
    <w:p w14:paraId="0B253B3F" w14:textId="77777777" w:rsidR="00FB21CD" w:rsidRDefault="00FB21CD" w:rsidP="002824F1">
      <w:pPr>
        <w:rPr>
          <w:rFonts w:cs="Arial"/>
          <w:szCs w:val="24"/>
          <w:lang w:val="es-MX"/>
        </w:rPr>
      </w:pPr>
    </w:p>
    <w:p w14:paraId="7B8AB37E" w14:textId="77777777" w:rsidR="00FB21CD" w:rsidRDefault="00FB21CD" w:rsidP="002824F1">
      <w:pPr>
        <w:rPr>
          <w:rFonts w:cs="Arial"/>
          <w:szCs w:val="24"/>
          <w:lang w:val="es-MX"/>
        </w:rPr>
      </w:pPr>
    </w:p>
    <w:p w14:paraId="2441C035" w14:textId="77777777" w:rsidR="00FB21CD" w:rsidRDefault="00FB21CD" w:rsidP="002824F1">
      <w:pPr>
        <w:rPr>
          <w:rFonts w:cs="Arial"/>
          <w:szCs w:val="24"/>
          <w:lang w:val="es-MX"/>
        </w:rPr>
      </w:pPr>
    </w:p>
    <w:p w14:paraId="490915EF" w14:textId="77777777" w:rsidR="00FB21CD" w:rsidRDefault="00FB21CD" w:rsidP="002824F1">
      <w:pPr>
        <w:rPr>
          <w:rFonts w:cs="Arial"/>
          <w:szCs w:val="24"/>
          <w:lang w:val="es-MX"/>
        </w:rPr>
      </w:pPr>
    </w:p>
    <w:p w14:paraId="6F0B4F66" w14:textId="77777777" w:rsidR="00FB21CD" w:rsidRDefault="00FB21CD" w:rsidP="002824F1">
      <w:pPr>
        <w:rPr>
          <w:rFonts w:cs="Arial"/>
          <w:szCs w:val="24"/>
          <w:lang w:val="es-MX"/>
        </w:rPr>
      </w:pPr>
    </w:p>
    <w:p w14:paraId="1EC0E03F" w14:textId="77777777" w:rsidR="00FB21CD" w:rsidRDefault="00FB21CD" w:rsidP="002824F1">
      <w:pPr>
        <w:rPr>
          <w:rFonts w:cs="Arial"/>
          <w:szCs w:val="24"/>
          <w:lang w:val="es-MX"/>
        </w:rPr>
      </w:pPr>
    </w:p>
    <w:p w14:paraId="694D32ED" w14:textId="77777777" w:rsidR="00FB21CD" w:rsidRDefault="00FB21CD" w:rsidP="002824F1">
      <w:pPr>
        <w:rPr>
          <w:rFonts w:cs="Arial"/>
          <w:szCs w:val="24"/>
          <w:lang w:val="es-MX"/>
        </w:rPr>
      </w:pPr>
    </w:p>
    <w:p w14:paraId="24DA1F8F" w14:textId="77777777" w:rsidR="00FB21CD" w:rsidRDefault="00FB21CD" w:rsidP="002824F1">
      <w:pPr>
        <w:rPr>
          <w:rFonts w:cs="Arial"/>
          <w:szCs w:val="24"/>
          <w:lang w:val="es-MX"/>
        </w:rPr>
      </w:pPr>
    </w:p>
    <w:p w14:paraId="21439320" w14:textId="77777777" w:rsidR="00FB21CD" w:rsidRDefault="00FB21CD" w:rsidP="002824F1">
      <w:pPr>
        <w:rPr>
          <w:rFonts w:cs="Arial"/>
          <w:szCs w:val="24"/>
          <w:lang w:val="es-MX"/>
        </w:rPr>
      </w:pPr>
    </w:p>
    <w:p w14:paraId="39201681" w14:textId="77777777" w:rsidR="00FB21CD" w:rsidRDefault="00FB21CD" w:rsidP="002824F1">
      <w:pPr>
        <w:rPr>
          <w:rFonts w:cs="Arial"/>
          <w:szCs w:val="24"/>
          <w:lang w:val="es-MX"/>
        </w:rPr>
      </w:pPr>
    </w:p>
    <w:p w14:paraId="303E7106" w14:textId="77777777" w:rsidR="00FB21CD" w:rsidRDefault="00FB21CD" w:rsidP="002824F1">
      <w:pPr>
        <w:rPr>
          <w:rFonts w:cs="Arial"/>
          <w:szCs w:val="24"/>
          <w:lang w:val="es-MX"/>
        </w:rPr>
      </w:pPr>
    </w:p>
    <w:p w14:paraId="3EBE9B81" w14:textId="77777777" w:rsidR="00FB21CD" w:rsidRDefault="00FB21CD" w:rsidP="002824F1">
      <w:pPr>
        <w:rPr>
          <w:rFonts w:cs="Arial"/>
          <w:szCs w:val="24"/>
          <w:lang w:val="es-MX"/>
        </w:rPr>
      </w:pPr>
    </w:p>
    <w:p w14:paraId="5C0B67D9" w14:textId="77777777" w:rsidR="00FB21CD" w:rsidRDefault="00FB21CD" w:rsidP="002824F1">
      <w:pPr>
        <w:rPr>
          <w:rFonts w:cs="Arial"/>
          <w:szCs w:val="24"/>
          <w:lang w:val="es-MX"/>
        </w:rPr>
      </w:pPr>
    </w:p>
    <w:p w14:paraId="42046118" w14:textId="77777777" w:rsidR="00FB21CD" w:rsidRDefault="00FB21CD" w:rsidP="002824F1">
      <w:pPr>
        <w:rPr>
          <w:rFonts w:cs="Arial"/>
          <w:szCs w:val="24"/>
          <w:lang w:val="es-MX"/>
        </w:rPr>
      </w:pPr>
    </w:p>
    <w:p w14:paraId="4F3A87F6" w14:textId="77777777" w:rsidR="00FB21CD" w:rsidRDefault="00FB21CD" w:rsidP="002824F1">
      <w:pPr>
        <w:rPr>
          <w:rFonts w:cs="Arial"/>
          <w:szCs w:val="24"/>
          <w:lang w:val="es-MX"/>
        </w:rPr>
      </w:pPr>
    </w:p>
    <w:p w14:paraId="7F46AFEF" w14:textId="77777777" w:rsidR="00FB21CD" w:rsidRDefault="00FB21CD" w:rsidP="002824F1">
      <w:pPr>
        <w:rPr>
          <w:rFonts w:cs="Arial"/>
          <w:szCs w:val="24"/>
          <w:lang w:val="es-MX"/>
        </w:rPr>
      </w:pPr>
    </w:p>
    <w:p w14:paraId="683D60FA" w14:textId="77777777" w:rsidR="00FB21CD" w:rsidRDefault="00FB21CD" w:rsidP="002824F1">
      <w:pPr>
        <w:rPr>
          <w:rFonts w:cs="Arial"/>
          <w:szCs w:val="24"/>
          <w:lang w:val="es-MX"/>
        </w:rPr>
      </w:pPr>
    </w:p>
    <w:p w14:paraId="3F2F149B" w14:textId="717F421B" w:rsidR="00FB21CD" w:rsidRDefault="00021632" w:rsidP="00021632">
      <w:pPr>
        <w:pStyle w:val="Ttulo1"/>
        <w:rPr>
          <w:lang w:val="es-MX"/>
        </w:rPr>
      </w:pPr>
      <w:bookmarkStart w:id="94" w:name="_Toc231741475"/>
      <w:r>
        <w:rPr>
          <w:lang w:val="es-MX"/>
        </w:rPr>
        <w:lastRenderedPageBreak/>
        <w:t>CONCLUSIONES</w:t>
      </w:r>
      <w:bookmarkEnd w:id="94"/>
    </w:p>
    <w:p w14:paraId="5EDCA9CE" w14:textId="77777777" w:rsidR="00B3022B" w:rsidRPr="00B3022B" w:rsidRDefault="00B3022B" w:rsidP="00B3022B">
      <w:pPr>
        <w:spacing w:after="480"/>
        <w:rPr>
          <w:rFonts w:cs="Arial"/>
          <w:szCs w:val="24"/>
          <w:lang w:val="es-MX"/>
        </w:rPr>
      </w:pPr>
      <w:r w:rsidRPr="00B3022B">
        <w:rPr>
          <w:rFonts w:cs="Arial"/>
          <w:szCs w:val="24"/>
          <w:lang w:val="es-MX"/>
        </w:rPr>
        <w:t>El desarrollo de la práctica profesional en la Alcaldía Municipal de Aguachica, en el marco del proceso de actualización del Marco Fiscal de Mediano Plazo 2026–2035, permitió alcanzar los tres objetivos específicos propuestos y derivó en dos productos concretos: un instrumento de planeación fiscal actualizado para el municipio y una propuesta de modernización organizacional para el área de Presupuesto. Las conclusiones que se presentan a continuación sintetizan los hallazgos más relevantes desde una perspectiva de análisis institucional.</w:t>
      </w:r>
    </w:p>
    <w:p w14:paraId="526B2F22" w14:textId="77777777" w:rsidR="00B3022B" w:rsidRPr="00B3022B" w:rsidRDefault="00B3022B" w:rsidP="00B3022B">
      <w:pPr>
        <w:spacing w:after="480"/>
        <w:rPr>
          <w:rFonts w:cs="Arial"/>
          <w:szCs w:val="24"/>
          <w:lang w:val="es-MX"/>
        </w:rPr>
      </w:pPr>
      <w:r w:rsidRPr="00B3022B">
        <w:rPr>
          <w:rFonts w:cs="Arial"/>
          <w:szCs w:val="24"/>
          <w:lang w:val="es-MX"/>
        </w:rPr>
        <w:t>Primero, en relación con la consolidación de la base técnica: la fase de alistamiento evidenció que la solidez técnica de un Marco Fiscal de Mediano Plazo no depende únicamente de la calidad del análisis proyectado, sino de la calidad de la información histórica sobre la que se construye. La mayor parte de los datos requeridos para la actualización del MFMP 2026–2035 se encontraba incompleta o desagregada de manera incompatible con los requerimientos metodológicos del instrumento, lo que implicó destinar una proporción significativa del tiempo disponible a procesos de depuración, estimación y validación. Esta situación revela una brecha estructural de gestión de información en el municipio que trasciende el ejercicio puntual de actualización del MFMP y que requiere atención institucional sostenida.</w:t>
      </w:r>
    </w:p>
    <w:p w14:paraId="74FC0962" w14:textId="77777777" w:rsidR="00B3022B" w:rsidRPr="00B3022B" w:rsidRDefault="00B3022B" w:rsidP="00B3022B">
      <w:pPr>
        <w:spacing w:after="480"/>
        <w:rPr>
          <w:rFonts w:cs="Arial"/>
          <w:szCs w:val="24"/>
          <w:lang w:val="es-MX"/>
        </w:rPr>
      </w:pPr>
      <w:r w:rsidRPr="00B3022B">
        <w:rPr>
          <w:rFonts w:cs="Arial"/>
          <w:szCs w:val="24"/>
          <w:lang w:val="es-MX"/>
        </w:rPr>
        <w:t>Segundo, en relación con el análisis de sostenibilidad financiera: el diagnóstico fiscal del período 2021–2025 permite calificar las finanzas del municipio de Aguachica como sostenibles en el corto plazo, pero estructuralmente vulnerables en el mediano y largo plazo. La dependencia del 80% de los ingresos municipales de transferencias externas sobre las cuales la administración no ejerce control, particularmente el Sistema General de Participaciones, representa el riesgo fiscal más relevante del territorio. A ello se suma el bajo peso relativo del impuesto predial dentro del recaudo tributario propio, que no superó el 14% en el período analizado pese a ser el tributo con mayor potencial de crecimiento autónomo. Estos dos factores configuran un patrón de financiamiento con baja autonomía fiscal que limita estructuralmente la capacidad del municipio de responder a shocks externos sin comprometer su equilibrio presupuestal.</w:t>
      </w:r>
    </w:p>
    <w:p w14:paraId="0400F33C" w14:textId="77777777" w:rsidR="00B3022B" w:rsidRPr="00B3022B" w:rsidRDefault="00B3022B" w:rsidP="00B3022B">
      <w:pPr>
        <w:spacing w:after="480"/>
        <w:rPr>
          <w:rFonts w:cs="Arial"/>
          <w:szCs w:val="24"/>
          <w:lang w:val="es-MX"/>
        </w:rPr>
      </w:pPr>
      <w:r w:rsidRPr="00B3022B">
        <w:rPr>
          <w:rFonts w:cs="Arial"/>
          <w:szCs w:val="24"/>
          <w:lang w:val="es-MX"/>
        </w:rPr>
        <w:t xml:space="preserve">Tercero, en relación con el plan de acción: las proyecciones financieras para el horizonte 2026–2035 confirman que el municipio mantiene una posición superavitaria en ambas medidas del balance primario y presupuestal a lo largo de todo el período, con un superávit primario que oscila entre 7.246 y 11.555 millones de pesos corrientes. Esta trayectoria favorable no está garantizada por la estructura actual de ingresos y gastos, sino condicionada a que la administración </w:t>
      </w:r>
      <w:r w:rsidRPr="00B3022B">
        <w:rPr>
          <w:rFonts w:cs="Arial"/>
          <w:szCs w:val="24"/>
          <w:lang w:val="es-MX"/>
        </w:rPr>
        <w:lastRenderedPageBreak/>
        <w:t>mantenga la disciplina fiscal en el gasto de funcionamiento y evite repetir el episodio de 2022, cuando una expansión no planificada del gasto de inversión generó el único déficit fiscal del período analizado. El plan de acción formulado en dos ejes, fortalecimiento de ingresos propios y racionalización del gasto, responde directamente a estas condicionantes y proporciona una hoja de ruta técnica para garantizar la sostenibilidad al 2035.</w:t>
      </w:r>
    </w:p>
    <w:p w14:paraId="57CFD20C" w14:textId="337FF760" w:rsidR="00B3022B" w:rsidRDefault="00B3022B" w:rsidP="00B3022B">
      <w:pPr>
        <w:spacing w:after="480"/>
        <w:rPr>
          <w:rFonts w:cs="Arial"/>
          <w:szCs w:val="24"/>
          <w:lang w:val="es-MX"/>
        </w:rPr>
      </w:pPr>
      <w:r w:rsidRPr="00B3022B">
        <w:rPr>
          <w:rFonts w:cs="Arial"/>
          <w:szCs w:val="24"/>
          <w:lang w:val="es-MX"/>
        </w:rPr>
        <w:t>Cuarto, en relación con el diagnóstico operativo del área: la observación directa durante la práctica profesional reveló que el principal riesgo de continuidad del área de Presupuesto no es de naturaleza fiscal sino organizacional. La concentración del conocimiento técnico de los procesos presupuestales en una sola persona, la ausencia de manuales de procedimiento formales, la dependencia de herramientas tecnológicas desactualizadas y la inexistencia de un sistema de indicadores de seguimiento configuran un entorno de alta vulnerabilidad operativa que podría comprometer la calidad de la gestión presupuestal ante cambios en el personal o ante incrementos en la carga de trabajo. La propuesta de modernización presupuestal formulada en el capítulo anterior, con sus cinco componentes de digitalización, manual de procesos, automatización, indicadores y trazabilidad, constituye la respuesta técnica a este diagnóstico y el aporte innovador central del presente informe.</w:t>
      </w:r>
    </w:p>
    <w:p w14:paraId="2E0C3A7D" w14:textId="77777777" w:rsidR="00B3022B" w:rsidRDefault="00B3022B" w:rsidP="005D6C12">
      <w:pPr>
        <w:spacing w:after="480"/>
        <w:rPr>
          <w:rFonts w:cs="Arial"/>
          <w:szCs w:val="24"/>
          <w:lang w:val="es-MX"/>
        </w:rPr>
      </w:pPr>
    </w:p>
    <w:p w14:paraId="553079C0" w14:textId="77777777" w:rsidR="00021632" w:rsidRDefault="00021632" w:rsidP="005D6C12">
      <w:pPr>
        <w:spacing w:after="480"/>
        <w:rPr>
          <w:rFonts w:cs="Arial"/>
          <w:szCs w:val="24"/>
          <w:lang w:val="es-MX"/>
        </w:rPr>
      </w:pPr>
    </w:p>
    <w:p w14:paraId="1B7C684E" w14:textId="77777777" w:rsidR="00021632" w:rsidRDefault="00021632" w:rsidP="005D6C12">
      <w:pPr>
        <w:spacing w:after="480"/>
        <w:rPr>
          <w:rFonts w:cs="Arial"/>
          <w:szCs w:val="24"/>
          <w:lang w:val="es-MX"/>
        </w:rPr>
      </w:pPr>
    </w:p>
    <w:p w14:paraId="182C90DB" w14:textId="77777777" w:rsidR="00021632" w:rsidRDefault="00021632" w:rsidP="002824F1">
      <w:pPr>
        <w:rPr>
          <w:rFonts w:cs="Arial"/>
          <w:szCs w:val="24"/>
          <w:lang w:val="es-MX"/>
        </w:rPr>
      </w:pPr>
    </w:p>
    <w:p w14:paraId="3065A59B" w14:textId="77777777" w:rsidR="00797B91" w:rsidRDefault="00797B91" w:rsidP="002824F1">
      <w:pPr>
        <w:rPr>
          <w:rFonts w:cs="Arial"/>
          <w:szCs w:val="24"/>
          <w:lang w:val="es-MX"/>
        </w:rPr>
      </w:pPr>
    </w:p>
    <w:p w14:paraId="2B7904AF" w14:textId="77777777" w:rsidR="00B3022B" w:rsidRDefault="00B3022B" w:rsidP="002824F1">
      <w:pPr>
        <w:rPr>
          <w:rFonts w:cs="Arial"/>
          <w:szCs w:val="24"/>
          <w:lang w:val="es-MX"/>
        </w:rPr>
      </w:pPr>
    </w:p>
    <w:p w14:paraId="0BAFBC1E" w14:textId="77777777" w:rsidR="00021632" w:rsidRDefault="00021632" w:rsidP="002824F1">
      <w:pPr>
        <w:rPr>
          <w:rFonts w:cs="Arial"/>
          <w:szCs w:val="24"/>
          <w:lang w:val="es-MX"/>
        </w:rPr>
      </w:pPr>
    </w:p>
    <w:p w14:paraId="05BF7453" w14:textId="77777777" w:rsidR="00B3022B" w:rsidRDefault="00B3022B" w:rsidP="002824F1">
      <w:pPr>
        <w:rPr>
          <w:rFonts w:cs="Arial"/>
          <w:szCs w:val="24"/>
          <w:lang w:val="es-MX"/>
        </w:rPr>
      </w:pPr>
    </w:p>
    <w:p w14:paraId="15778849" w14:textId="77777777" w:rsidR="00B3022B" w:rsidRDefault="00B3022B" w:rsidP="002824F1">
      <w:pPr>
        <w:rPr>
          <w:rFonts w:cs="Arial"/>
          <w:szCs w:val="24"/>
          <w:lang w:val="es-MX"/>
        </w:rPr>
      </w:pPr>
    </w:p>
    <w:p w14:paraId="361CE52F" w14:textId="25249858" w:rsidR="00B3022B" w:rsidRPr="00B3022B" w:rsidRDefault="00021632" w:rsidP="00B3022B">
      <w:pPr>
        <w:pStyle w:val="Ttulo1"/>
        <w:rPr>
          <w:lang w:val="es-MX"/>
        </w:rPr>
      </w:pPr>
      <w:bookmarkStart w:id="95" w:name="_Toc231741476"/>
      <w:r>
        <w:rPr>
          <w:lang w:val="es-MX"/>
        </w:rPr>
        <w:lastRenderedPageBreak/>
        <w:t>RECOMENDACIONES</w:t>
      </w:r>
      <w:r w:rsidR="00C96B85" w:rsidRPr="00C96B85">
        <w:rPr>
          <w:rFonts w:cs="Arial"/>
          <w:szCs w:val="24"/>
          <w:lang w:val="es-MX"/>
        </w:rPr>
        <w:t>.</w:t>
      </w:r>
      <w:bookmarkEnd w:id="95"/>
    </w:p>
    <w:p w14:paraId="61224655" w14:textId="77777777" w:rsidR="00B3022B" w:rsidRPr="00B3022B" w:rsidRDefault="00B3022B" w:rsidP="00B3022B">
      <w:pPr>
        <w:spacing w:after="480"/>
        <w:rPr>
          <w:rFonts w:cs="Arial"/>
          <w:szCs w:val="24"/>
          <w:lang w:val="es-MX"/>
        </w:rPr>
      </w:pPr>
      <w:r w:rsidRPr="00B3022B">
        <w:rPr>
          <w:rFonts w:cs="Arial"/>
          <w:szCs w:val="24"/>
          <w:lang w:val="es-MX"/>
        </w:rPr>
        <w:t>Las siguientes recomendaciones se derivan directamente de los hallazgos del diagnóstico fiscal y operativo desarrollado durante la práctica profesional, y están formuladas con el propósito de orientar decisiones concretas de gestión institucional en la Alcaldía Municipal de Aguachica.</w:t>
      </w:r>
    </w:p>
    <w:p w14:paraId="7AF1052A" w14:textId="5A0E5343" w:rsidR="00B3022B" w:rsidRPr="00B3022B" w:rsidRDefault="00B3022B" w:rsidP="00B3022B">
      <w:pPr>
        <w:spacing w:after="480"/>
        <w:rPr>
          <w:rFonts w:cs="Arial"/>
          <w:szCs w:val="24"/>
          <w:lang w:val="es-MX"/>
        </w:rPr>
      </w:pPr>
      <w:r w:rsidRPr="00B3022B">
        <w:rPr>
          <w:rFonts w:cs="Arial"/>
          <w:b/>
          <w:bCs/>
          <w:szCs w:val="24"/>
          <w:lang w:val="es-MX"/>
        </w:rPr>
        <w:t>Implementar el manual de procesos como prioridad inmediata</w:t>
      </w:r>
      <w:r w:rsidRPr="00B3022B">
        <w:rPr>
          <w:rFonts w:cs="Arial"/>
          <w:szCs w:val="24"/>
          <w:lang w:val="es-MX"/>
        </w:rPr>
        <w:t>. La documentación formal de los procedimientos del área de Presupuesto</w:t>
      </w:r>
      <w:r>
        <w:rPr>
          <w:rFonts w:cs="Arial"/>
          <w:szCs w:val="24"/>
          <w:lang w:val="es-MX"/>
        </w:rPr>
        <w:t xml:space="preserve">, </w:t>
      </w:r>
      <w:r w:rsidRPr="00B3022B">
        <w:rPr>
          <w:rFonts w:cs="Arial"/>
          <w:szCs w:val="24"/>
          <w:lang w:val="es-MX"/>
        </w:rPr>
        <w:t>en particular la expedición de CDP, RP, adiciones y traslados presupuestales</w:t>
      </w:r>
      <w:r>
        <w:rPr>
          <w:rFonts w:cs="Arial"/>
          <w:szCs w:val="24"/>
          <w:lang w:val="es-MX"/>
        </w:rPr>
        <w:t xml:space="preserve">, </w:t>
      </w:r>
      <w:r w:rsidRPr="00B3022B">
        <w:rPr>
          <w:rFonts w:cs="Arial"/>
          <w:szCs w:val="24"/>
          <w:lang w:val="es-MX"/>
        </w:rPr>
        <w:t>debe tratarse como una medida de gestión del riesgo institucional, no como una mejora optativa. La concentración del conocimiento técnico en una sola persona constituye el riesgo operativo más crítico identificado en el diagnóstico y puede materializarse en cualquier momento ante ausencias, licencias o cambios de personal. El extracto del Manual de Procesos desarrollado en el Anexo C de este informe constituye el punto de partida para su implementación.</w:t>
      </w:r>
    </w:p>
    <w:p w14:paraId="0B6017BE" w14:textId="729D23E7" w:rsidR="00B3022B" w:rsidRPr="00B3022B" w:rsidRDefault="00B3022B" w:rsidP="00B3022B">
      <w:pPr>
        <w:spacing w:after="480"/>
        <w:rPr>
          <w:rFonts w:cs="Arial"/>
          <w:szCs w:val="24"/>
          <w:lang w:val="es-MX"/>
        </w:rPr>
      </w:pPr>
      <w:r w:rsidRPr="00B3022B">
        <w:rPr>
          <w:rFonts w:cs="Arial"/>
          <w:b/>
          <w:bCs/>
          <w:szCs w:val="24"/>
          <w:lang w:val="es-MX"/>
        </w:rPr>
        <w:t>Adoptar el sistema de indicadores financieros propuesto</w:t>
      </w:r>
      <w:r w:rsidRPr="00B3022B">
        <w:rPr>
          <w:rFonts w:cs="Arial"/>
          <w:szCs w:val="24"/>
          <w:lang w:val="es-MX"/>
        </w:rPr>
        <w:t>. La aplicación periódica de los seis indicadores formulados en la sección 2.6.4 dotará al área de una herramienta de monitoreo continuo que actualmente no existe. Su cálculo trimestral o semestral, según la periodicidad definida en la tabla de indicadores, permitirá detectar desviaciones sobre las metas fiscales antes de que se conviertan en presiones estructurales y fortalecerá la argumentación técnica de la Secretaría de Hacienda en los procesos de toma de decisiones.</w:t>
      </w:r>
    </w:p>
    <w:p w14:paraId="007B94B1" w14:textId="60FBD5A3" w:rsidR="00B3022B" w:rsidRPr="00B3022B" w:rsidRDefault="00B3022B" w:rsidP="00B3022B">
      <w:pPr>
        <w:spacing w:after="480"/>
        <w:rPr>
          <w:rFonts w:cs="Arial"/>
          <w:szCs w:val="24"/>
          <w:lang w:val="es-MX"/>
        </w:rPr>
      </w:pPr>
      <w:r w:rsidRPr="00B3022B">
        <w:rPr>
          <w:rFonts w:cs="Arial"/>
          <w:b/>
          <w:bCs/>
          <w:szCs w:val="24"/>
          <w:lang w:val="es-MX"/>
        </w:rPr>
        <w:t>Priorizar la implementación del catastro multipropósito</w:t>
      </w:r>
      <w:r w:rsidRPr="00B3022B">
        <w:rPr>
          <w:rFonts w:cs="Arial"/>
          <w:szCs w:val="24"/>
          <w:lang w:val="es-MX"/>
        </w:rPr>
        <w:t>. El impuesto predial unificado es la principal palanca de autonomía fiscal disponible para el municipio. Con una participación que no superó el 14% del recaudo tributario propio en el período analizado y avalúos catastrales desactualizados, el potencial de recaudo adicional que representa la actualización catastral es significativo. La Secretaría de Hacienda debe gestionar activamente ante las instancias nacionales competentes</w:t>
      </w:r>
      <w:r>
        <w:rPr>
          <w:rFonts w:cs="Arial"/>
          <w:szCs w:val="24"/>
          <w:lang w:val="es-MX"/>
        </w:rPr>
        <w:t xml:space="preserve">, </w:t>
      </w:r>
      <w:r w:rsidRPr="00B3022B">
        <w:rPr>
          <w:rFonts w:cs="Arial"/>
          <w:szCs w:val="24"/>
          <w:lang w:val="es-MX"/>
        </w:rPr>
        <w:t>IGAC o el operador catastral correspondiente</w:t>
      </w:r>
      <w:r>
        <w:rPr>
          <w:rFonts w:cs="Arial"/>
          <w:szCs w:val="24"/>
          <w:lang w:val="es-MX"/>
        </w:rPr>
        <w:t xml:space="preserve">, </w:t>
      </w:r>
      <w:r w:rsidRPr="00B3022B">
        <w:rPr>
          <w:rFonts w:cs="Arial"/>
          <w:szCs w:val="24"/>
          <w:lang w:val="es-MX"/>
        </w:rPr>
        <w:t>la incorporación del municipio en el programa de catastro multipropósito, garantizando los recursos de contrapartida necesarios para avanzar en este proceso dentro del horizonte del MFMP.</w:t>
      </w:r>
    </w:p>
    <w:p w14:paraId="2003F46A" w14:textId="77777777" w:rsidR="00B3022B" w:rsidRPr="00B3022B" w:rsidRDefault="00B3022B" w:rsidP="00B3022B">
      <w:pPr>
        <w:spacing w:after="480"/>
        <w:rPr>
          <w:rFonts w:cs="Arial"/>
          <w:szCs w:val="24"/>
          <w:lang w:val="es-MX"/>
        </w:rPr>
      </w:pPr>
      <w:r w:rsidRPr="00B3022B">
        <w:rPr>
          <w:rFonts w:cs="Arial"/>
          <w:b/>
          <w:bCs/>
          <w:szCs w:val="24"/>
          <w:lang w:val="es-MX"/>
        </w:rPr>
        <w:t>Establecer protocolos de gestión de la información presupuestal</w:t>
      </w:r>
      <w:r w:rsidRPr="00B3022B">
        <w:rPr>
          <w:rFonts w:cs="Arial"/>
          <w:szCs w:val="24"/>
          <w:lang w:val="es-MX"/>
        </w:rPr>
        <w:t xml:space="preserve">. La experiencia de construcción de la base de datos histórica para el MFMP 2026–2035 demostró que la calidad del instrumento depende directamente de la disponibilidad y consistencia de la información histórica. Se recomienda formalizar un protocolo interno de registro, organización y conservación de las ejecuciones </w:t>
      </w:r>
      <w:r w:rsidRPr="00B3022B">
        <w:rPr>
          <w:rFonts w:cs="Arial"/>
          <w:szCs w:val="24"/>
          <w:lang w:val="es-MX"/>
        </w:rPr>
        <w:lastRenderedPageBreak/>
        <w:t>presupuestales anuales en formatos compatibles con los requerimientos metodológicos del MFMP, de manera que en cada actualización anual del instrumento la información esté disponible de forma íntegra, estructurada y trazable sin necesidad de procesos extensos de depuración.</w:t>
      </w:r>
    </w:p>
    <w:p w14:paraId="12D17A5F" w14:textId="52C43D22" w:rsidR="00B3022B" w:rsidRDefault="00B3022B" w:rsidP="00B3022B">
      <w:pPr>
        <w:spacing w:after="480"/>
        <w:rPr>
          <w:rFonts w:cs="Arial"/>
          <w:szCs w:val="24"/>
          <w:lang w:val="es-MX"/>
        </w:rPr>
      </w:pPr>
      <w:r w:rsidRPr="00B3022B">
        <w:rPr>
          <w:rFonts w:cs="Arial"/>
          <w:b/>
          <w:bCs/>
          <w:szCs w:val="24"/>
          <w:lang w:val="es-MX"/>
        </w:rPr>
        <w:t>Monitorear los indicadores de la Ley 358 de 1997 antes de asumir nueva deuda</w:t>
      </w:r>
      <w:r w:rsidRPr="00B3022B">
        <w:rPr>
          <w:rFonts w:cs="Arial"/>
          <w:szCs w:val="24"/>
          <w:lang w:val="es-MX"/>
        </w:rPr>
        <w:t>. En el entorno de la Secretaría de Hacienda se ha discutido la posibilidad de estructurar una nueva operación de crédito para financiar inversión prioritaria. Si esa decisión avanza, es imprescindible verificar en tiempo real el cumplimiento de los indicadores de solvencia y liquidez establecidos por la Ley 358 de 1997, y demostrar que la nueva obligación no compromete la senda de sostenibilidad proyectada en el MFMP. El espacio fiscal disponible en el balance proyectado es favorable, pero debe verificarse sobre cifras actualizadas y no sobre proyecciones del escenario base elaboradas con información de la vigencia 2025.</w:t>
      </w:r>
    </w:p>
    <w:p w14:paraId="042ECB8C" w14:textId="77777777" w:rsidR="0019541F" w:rsidRDefault="0019541F" w:rsidP="00B3022B">
      <w:pPr>
        <w:spacing w:after="480"/>
        <w:rPr>
          <w:rFonts w:cs="Arial"/>
          <w:szCs w:val="24"/>
          <w:lang w:val="es-MX"/>
        </w:rPr>
      </w:pPr>
    </w:p>
    <w:p w14:paraId="40532794" w14:textId="77777777" w:rsidR="0019541F" w:rsidRDefault="0019541F" w:rsidP="00B3022B">
      <w:pPr>
        <w:spacing w:after="480"/>
        <w:rPr>
          <w:rFonts w:cs="Arial"/>
          <w:szCs w:val="24"/>
          <w:lang w:val="es-MX"/>
        </w:rPr>
      </w:pPr>
    </w:p>
    <w:p w14:paraId="5839EAF6" w14:textId="77777777" w:rsidR="0019541F" w:rsidRDefault="0019541F" w:rsidP="00B3022B">
      <w:pPr>
        <w:spacing w:after="480"/>
        <w:rPr>
          <w:rFonts w:cs="Arial"/>
          <w:szCs w:val="24"/>
          <w:lang w:val="es-MX"/>
        </w:rPr>
      </w:pPr>
    </w:p>
    <w:p w14:paraId="0ECAB6C7" w14:textId="77777777" w:rsidR="0019541F" w:rsidRDefault="0019541F" w:rsidP="00B3022B">
      <w:pPr>
        <w:spacing w:after="480"/>
        <w:rPr>
          <w:rFonts w:cs="Arial"/>
          <w:szCs w:val="24"/>
          <w:lang w:val="es-MX"/>
        </w:rPr>
      </w:pPr>
    </w:p>
    <w:p w14:paraId="4C24D46F" w14:textId="77777777" w:rsidR="0019541F" w:rsidRDefault="0019541F" w:rsidP="00B3022B">
      <w:pPr>
        <w:spacing w:after="480"/>
        <w:rPr>
          <w:rFonts w:cs="Arial"/>
          <w:szCs w:val="24"/>
          <w:lang w:val="es-MX"/>
        </w:rPr>
      </w:pPr>
    </w:p>
    <w:p w14:paraId="4C71A8B2" w14:textId="77777777" w:rsidR="0019541F" w:rsidRDefault="0019541F" w:rsidP="00B3022B">
      <w:pPr>
        <w:spacing w:after="480"/>
        <w:rPr>
          <w:rFonts w:cs="Arial"/>
          <w:szCs w:val="24"/>
          <w:lang w:val="es-MX"/>
        </w:rPr>
      </w:pPr>
    </w:p>
    <w:p w14:paraId="56FCFDB2" w14:textId="77777777" w:rsidR="0019541F" w:rsidRDefault="0019541F" w:rsidP="00B3022B">
      <w:pPr>
        <w:spacing w:after="480"/>
        <w:rPr>
          <w:rFonts w:cs="Arial"/>
          <w:szCs w:val="24"/>
          <w:lang w:val="es-MX"/>
        </w:rPr>
      </w:pPr>
    </w:p>
    <w:p w14:paraId="25119BEA" w14:textId="77777777" w:rsidR="0019541F" w:rsidRDefault="0019541F" w:rsidP="00B3022B">
      <w:pPr>
        <w:spacing w:after="480"/>
        <w:rPr>
          <w:rFonts w:cs="Arial"/>
          <w:szCs w:val="24"/>
          <w:lang w:val="es-MX"/>
        </w:rPr>
      </w:pPr>
    </w:p>
    <w:p w14:paraId="64FF4780" w14:textId="77777777" w:rsidR="0019541F" w:rsidRDefault="0019541F" w:rsidP="00B3022B">
      <w:pPr>
        <w:spacing w:after="480"/>
        <w:rPr>
          <w:rFonts w:cs="Arial"/>
          <w:szCs w:val="24"/>
          <w:lang w:val="es-MX"/>
        </w:rPr>
      </w:pPr>
    </w:p>
    <w:p w14:paraId="289DDB1F" w14:textId="66E03B21" w:rsidR="001137D6" w:rsidRPr="001137D6" w:rsidRDefault="004C07C2" w:rsidP="001137D6">
      <w:pPr>
        <w:pStyle w:val="Ttulo1"/>
        <w:rPr>
          <w:lang w:val="es-MX"/>
        </w:rPr>
      </w:pPr>
      <w:bookmarkStart w:id="96" w:name="_Toc231741477"/>
      <w:r>
        <w:rPr>
          <w:lang w:val="es-MX"/>
        </w:rPr>
        <w:lastRenderedPageBreak/>
        <w:t>BIBLIOGRAFÍA</w:t>
      </w:r>
      <w:bookmarkEnd w:id="96"/>
      <w:r>
        <w:rPr>
          <w:lang w:val="es-MX"/>
        </w:rPr>
        <w:t xml:space="preserve"> </w:t>
      </w:r>
    </w:p>
    <w:p w14:paraId="4AEC0C74" w14:textId="77777777" w:rsidR="001137D6" w:rsidRDefault="001137D6" w:rsidP="004C07C2">
      <w:pPr>
        <w:spacing w:line="480" w:lineRule="auto"/>
        <w:ind w:left="709" w:hanging="709"/>
        <w:rPr>
          <w:rFonts w:ascii="Times New Roman" w:hAnsi="Times New Roman" w:cs="Times New Roman"/>
          <w:szCs w:val="24"/>
        </w:rPr>
      </w:pPr>
      <w:r w:rsidRPr="000D0B6F">
        <w:rPr>
          <w:rFonts w:ascii="Times New Roman" w:hAnsi="Times New Roman" w:cs="Times New Roman"/>
          <w:szCs w:val="24"/>
        </w:rPr>
        <w:t>Alcaldía de Aguachica Cesar</w:t>
      </w:r>
      <w:r>
        <w:rPr>
          <w:rFonts w:ascii="Times New Roman" w:hAnsi="Times New Roman" w:cs="Times New Roman"/>
          <w:szCs w:val="24"/>
        </w:rPr>
        <w:t>.</w:t>
      </w:r>
      <w:r w:rsidRPr="000D0B6F">
        <w:rPr>
          <w:rFonts w:ascii="Times New Roman" w:hAnsi="Times New Roman" w:cs="Times New Roman"/>
          <w:szCs w:val="24"/>
        </w:rPr>
        <w:t xml:space="preserve"> </w:t>
      </w:r>
      <w:r>
        <w:rPr>
          <w:rFonts w:ascii="Times New Roman" w:hAnsi="Times New Roman" w:cs="Times New Roman"/>
          <w:szCs w:val="24"/>
        </w:rPr>
        <w:t>(</w:t>
      </w:r>
      <w:r w:rsidRPr="000D0B6F">
        <w:rPr>
          <w:rFonts w:ascii="Times New Roman" w:hAnsi="Times New Roman" w:cs="Times New Roman"/>
          <w:szCs w:val="24"/>
        </w:rPr>
        <w:t>2022).</w:t>
      </w:r>
      <w:r>
        <w:rPr>
          <w:rFonts w:ascii="Times New Roman" w:hAnsi="Times New Roman" w:cs="Times New Roman"/>
          <w:szCs w:val="24"/>
        </w:rPr>
        <w:t xml:space="preserve"> </w:t>
      </w:r>
      <w:r w:rsidRPr="000D0B6F">
        <w:rPr>
          <w:rFonts w:ascii="Times New Roman" w:hAnsi="Times New Roman" w:cs="Times New Roman"/>
          <w:i/>
          <w:iCs/>
          <w:szCs w:val="24"/>
        </w:rPr>
        <w:t>Misión y Visión</w:t>
      </w:r>
      <w:r>
        <w:rPr>
          <w:rFonts w:ascii="Times New Roman" w:hAnsi="Times New Roman" w:cs="Times New Roman"/>
          <w:szCs w:val="24"/>
        </w:rPr>
        <w:t xml:space="preserve">. </w:t>
      </w:r>
      <w:hyperlink r:id="rId21" w:history="1">
        <w:r w:rsidRPr="00EF7FFE">
          <w:rPr>
            <w:rStyle w:val="Hipervnculo"/>
            <w:rFonts w:ascii="Times New Roman" w:hAnsi="Times New Roman" w:cs="Times New Roman"/>
            <w:szCs w:val="24"/>
          </w:rPr>
          <w:t>https://www.aguachica-cesar.gov.co/alcaldia/mision-y-vision</w:t>
        </w:r>
      </w:hyperlink>
    </w:p>
    <w:p w14:paraId="5CA68FF6" w14:textId="77777777" w:rsidR="001137D6" w:rsidRDefault="001137D6" w:rsidP="004C07C2">
      <w:pPr>
        <w:spacing w:line="480" w:lineRule="auto"/>
        <w:ind w:left="709" w:hanging="709"/>
        <w:rPr>
          <w:rFonts w:ascii="Times New Roman" w:hAnsi="Times New Roman" w:cs="Times New Roman"/>
          <w:szCs w:val="24"/>
        </w:rPr>
      </w:pPr>
      <w:r w:rsidRPr="00BA4159">
        <w:rPr>
          <w:rFonts w:ascii="Times New Roman" w:hAnsi="Times New Roman" w:cs="Times New Roman"/>
          <w:szCs w:val="24"/>
        </w:rPr>
        <w:t>Alcaldía de Aguachica Cesar</w:t>
      </w:r>
      <w:r>
        <w:rPr>
          <w:rFonts w:ascii="Times New Roman" w:hAnsi="Times New Roman" w:cs="Times New Roman"/>
          <w:szCs w:val="24"/>
        </w:rPr>
        <w:t xml:space="preserve">. (2026). </w:t>
      </w:r>
      <w:r w:rsidRPr="00BA4159">
        <w:rPr>
          <w:rFonts w:ascii="Times New Roman" w:hAnsi="Times New Roman" w:cs="Times New Roman"/>
          <w:i/>
          <w:iCs/>
          <w:szCs w:val="24"/>
        </w:rPr>
        <w:t>Isaac Holguín Felizzola es designado como alcalde encargado</w:t>
      </w:r>
      <w:r w:rsidRPr="00BA4159">
        <w:rPr>
          <w:rFonts w:ascii="Times New Roman" w:hAnsi="Times New Roman" w:cs="Times New Roman"/>
          <w:szCs w:val="24"/>
        </w:rPr>
        <w:t>.</w:t>
      </w:r>
      <w:r>
        <w:rPr>
          <w:rFonts w:ascii="Times New Roman" w:hAnsi="Times New Roman" w:cs="Times New Roman"/>
          <w:szCs w:val="24"/>
        </w:rPr>
        <w:t xml:space="preserve"> </w:t>
      </w:r>
      <w:hyperlink r:id="rId22" w:history="1">
        <w:r w:rsidRPr="00EF7FFE">
          <w:rPr>
            <w:rStyle w:val="Hipervnculo"/>
            <w:rFonts w:ascii="Times New Roman" w:hAnsi="Times New Roman" w:cs="Times New Roman"/>
            <w:szCs w:val="24"/>
          </w:rPr>
          <w:t>https://www.aguachica-cesar.gov.co/noticias/isaac-holguin-felizzola-es-designado-como-alcalde-encargado</w:t>
        </w:r>
      </w:hyperlink>
    </w:p>
    <w:p w14:paraId="7CEDB7B1" w14:textId="77777777" w:rsidR="001137D6" w:rsidRPr="0075756E" w:rsidRDefault="001137D6" w:rsidP="0021025B">
      <w:pPr>
        <w:spacing w:line="480" w:lineRule="auto"/>
        <w:ind w:left="709" w:hanging="709"/>
        <w:rPr>
          <w:rFonts w:cs="Arial"/>
          <w:szCs w:val="24"/>
          <w:lang w:val="en-GB"/>
        </w:rPr>
      </w:pPr>
      <w:r w:rsidRPr="0021025B">
        <w:rPr>
          <w:rFonts w:cs="Arial"/>
          <w:szCs w:val="24"/>
          <w:lang w:val="es-MX"/>
        </w:rPr>
        <w:t xml:space="preserve">Comisión Económica para América Latina y el Caribe (CEPAL). (2020). Panorama Fiscal de América Latina y el Caribe. </w:t>
      </w:r>
      <w:proofErr w:type="spellStart"/>
      <w:r w:rsidRPr="0075756E">
        <w:rPr>
          <w:rFonts w:cs="Arial"/>
          <w:szCs w:val="24"/>
          <w:lang w:val="en-GB"/>
        </w:rPr>
        <w:t>Naciones</w:t>
      </w:r>
      <w:proofErr w:type="spellEnd"/>
      <w:r w:rsidRPr="0075756E">
        <w:rPr>
          <w:rFonts w:cs="Arial"/>
          <w:szCs w:val="24"/>
          <w:lang w:val="en-GB"/>
        </w:rPr>
        <w:t xml:space="preserve"> Unidas.</w:t>
      </w:r>
    </w:p>
    <w:p w14:paraId="46ACEDA6" w14:textId="77777777" w:rsidR="001137D6" w:rsidRPr="0075756E" w:rsidRDefault="001137D6" w:rsidP="0021025B">
      <w:pPr>
        <w:spacing w:line="480" w:lineRule="auto"/>
        <w:ind w:left="709" w:hanging="709"/>
        <w:rPr>
          <w:rFonts w:cs="Arial"/>
          <w:szCs w:val="24"/>
        </w:rPr>
      </w:pPr>
      <w:proofErr w:type="spellStart"/>
      <w:r w:rsidRPr="0021025B">
        <w:rPr>
          <w:rFonts w:cs="Arial"/>
          <w:szCs w:val="24"/>
          <w:lang w:val="en-GB"/>
        </w:rPr>
        <w:t>Curristine</w:t>
      </w:r>
      <w:proofErr w:type="spellEnd"/>
      <w:r w:rsidRPr="0021025B">
        <w:rPr>
          <w:rFonts w:cs="Arial"/>
          <w:szCs w:val="24"/>
          <w:lang w:val="en-GB"/>
        </w:rPr>
        <w:t xml:space="preserve">, T., Adenauer, I., Alonso-Albarran, V., Grinyer, J., Tee, K. H., Wendling, C., &amp; Moretti, D. (2024). How to develop and implement a medium-term fiscal framework. </w:t>
      </w:r>
      <w:r w:rsidRPr="0075756E">
        <w:rPr>
          <w:rFonts w:cs="Arial"/>
          <w:szCs w:val="24"/>
        </w:rPr>
        <w:t xml:space="preserve">International </w:t>
      </w:r>
      <w:proofErr w:type="spellStart"/>
      <w:r w:rsidRPr="0075756E">
        <w:rPr>
          <w:rFonts w:cs="Arial"/>
          <w:szCs w:val="24"/>
        </w:rPr>
        <w:t>Monetary</w:t>
      </w:r>
      <w:proofErr w:type="spellEnd"/>
      <w:r w:rsidRPr="0075756E">
        <w:rPr>
          <w:rFonts w:cs="Arial"/>
          <w:szCs w:val="24"/>
        </w:rPr>
        <w:t xml:space="preserve"> Fund. </w:t>
      </w:r>
      <w:hyperlink r:id="rId23" w:history="1">
        <w:r w:rsidRPr="0075756E">
          <w:rPr>
            <w:rStyle w:val="Hipervnculo"/>
            <w:rFonts w:cs="Arial"/>
            <w:szCs w:val="24"/>
          </w:rPr>
          <w:t>https://doi.org/10.5089/9798400289668.061</w:t>
        </w:r>
      </w:hyperlink>
    </w:p>
    <w:p w14:paraId="7325C5F4" w14:textId="77777777" w:rsidR="001137D6" w:rsidRPr="004A7822" w:rsidRDefault="001137D6" w:rsidP="0021025B">
      <w:pPr>
        <w:spacing w:line="480" w:lineRule="auto"/>
        <w:ind w:left="709" w:hanging="709"/>
        <w:rPr>
          <w:rFonts w:cs="Arial"/>
          <w:szCs w:val="24"/>
        </w:rPr>
      </w:pPr>
      <w:r w:rsidRPr="0021025B">
        <w:rPr>
          <w:rFonts w:cs="Arial"/>
          <w:szCs w:val="24"/>
          <w:lang w:val="es-MX"/>
        </w:rPr>
        <w:t>Hernández Sampieri, R., Fernández Collado, C., &amp; Baptista Lucio, P. (2014). Metodología de la investigación (6.ª ed.). McGraw-Hill.</w:t>
      </w:r>
    </w:p>
    <w:p w14:paraId="0B281AE1" w14:textId="77777777" w:rsidR="001137D6" w:rsidRDefault="001137D6" w:rsidP="004C07C2">
      <w:pPr>
        <w:spacing w:line="480" w:lineRule="auto"/>
        <w:ind w:left="709" w:hanging="709"/>
        <w:rPr>
          <w:rFonts w:ascii="Times New Roman" w:hAnsi="Times New Roman" w:cs="Times New Roman"/>
          <w:szCs w:val="24"/>
        </w:rPr>
      </w:pPr>
      <w:r w:rsidRPr="00C95373">
        <w:rPr>
          <w:rFonts w:ascii="Times New Roman" w:hAnsi="Times New Roman" w:cs="Times New Roman"/>
          <w:szCs w:val="24"/>
        </w:rPr>
        <w:t xml:space="preserve">Jácome, L. (2024, noviembre 24). Elecciones: Greisy Roqueme Ropero fue </w:t>
      </w:r>
      <w:proofErr w:type="gramStart"/>
      <w:r w:rsidRPr="00C95373">
        <w:rPr>
          <w:rFonts w:ascii="Times New Roman" w:hAnsi="Times New Roman" w:cs="Times New Roman"/>
          <w:szCs w:val="24"/>
        </w:rPr>
        <w:t>elegida como</w:t>
      </w:r>
      <w:proofErr w:type="gramEnd"/>
      <w:r w:rsidRPr="00C95373">
        <w:rPr>
          <w:rFonts w:ascii="Times New Roman" w:hAnsi="Times New Roman" w:cs="Times New Roman"/>
          <w:szCs w:val="24"/>
        </w:rPr>
        <w:t xml:space="preserve"> la nueva alcaldesa de Aguachica, Cesar. </w:t>
      </w:r>
      <w:r w:rsidRPr="00C95373">
        <w:rPr>
          <w:rFonts w:ascii="Times New Roman" w:hAnsi="Times New Roman" w:cs="Times New Roman"/>
          <w:i/>
          <w:iCs/>
          <w:szCs w:val="24"/>
        </w:rPr>
        <w:t>El Tiempo</w:t>
      </w:r>
      <w:r w:rsidRPr="00C95373">
        <w:rPr>
          <w:rFonts w:ascii="Times New Roman" w:hAnsi="Times New Roman" w:cs="Times New Roman"/>
          <w:szCs w:val="24"/>
        </w:rPr>
        <w:t xml:space="preserve">. </w:t>
      </w:r>
      <w:hyperlink r:id="rId24" w:history="1">
        <w:r w:rsidRPr="00EF7FFE">
          <w:rPr>
            <w:rStyle w:val="Hipervnculo"/>
            <w:rFonts w:ascii="Times New Roman" w:hAnsi="Times New Roman" w:cs="Times New Roman"/>
            <w:szCs w:val="24"/>
          </w:rPr>
          <w:t>https://www.eltiempo.com/colombia/otras-ciudades/greisy-roqueme-ropero-es-la-nueva-alcaldesa-de-aguachica-sur-del-cesar-3402638</w:t>
        </w:r>
      </w:hyperlink>
    </w:p>
    <w:p w14:paraId="1C9BD952" w14:textId="77777777" w:rsidR="001137D6" w:rsidRDefault="001137D6" w:rsidP="004C07C2">
      <w:pPr>
        <w:spacing w:line="480" w:lineRule="auto"/>
        <w:ind w:left="709" w:hanging="709"/>
        <w:rPr>
          <w:rFonts w:ascii="Times New Roman" w:hAnsi="Times New Roman" w:cs="Times New Roman"/>
          <w:szCs w:val="24"/>
        </w:rPr>
      </w:pPr>
      <w:r w:rsidRPr="004C07C2">
        <w:rPr>
          <w:rFonts w:ascii="Times New Roman" w:hAnsi="Times New Roman" w:cs="Times New Roman"/>
          <w:szCs w:val="24"/>
        </w:rPr>
        <w:lastRenderedPageBreak/>
        <w:t>Molina</w:t>
      </w:r>
      <w:r>
        <w:rPr>
          <w:rFonts w:ascii="Times New Roman" w:hAnsi="Times New Roman" w:cs="Times New Roman"/>
          <w:szCs w:val="24"/>
        </w:rPr>
        <w:t xml:space="preserve">, </w:t>
      </w:r>
      <w:r w:rsidRPr="004C07C2">
        <w:rPr>
          <w:rFonts w:ascii="Times New Roman" w:hAnsi="Times New Roman" w:cs="Times New Roman"/>
          <w:szCs w:val="24"/>
        </w:rPr>
        <w:t>A. (2023</w:t>
      </w:r>
      <w:r>
        <w:rPr>
          <w:rFonts w:ascii="Times New Roman" w:hAnsi="Times New Roman" w:cs="Times New Roman"/>
          <w:szCs w:val="24"/>
        </w:rPr>
        <w:t>, octubre 3</w:t>
      </w:r>
      <w:r w:rsidRPr="004C07C2">
        <w:rPr>
          <w:rFonts w:ascii="Times New Roman" w:hAnsi="Times New Roman" w:cs="Times New Roman"/>
          <w:szCs w:val="24"/>
        </w:rPr>
        <w:t xml:space="preserve">). </w:t>
      </w:r>
      <w:r w:rsidRPr="00C95373">
        <w:rPr>
          <w:rFonts w:ascii="Times New Roman" w:hAnsi="Times New Roman" w:cs="Times New Roman"/>
          <w:szCs w:val="24"/>
        </w:rPr>
        <w:t>Gran coalición de partidos respalda a Greisy Tatiana Roqueme Ropero a la alcaldía de Aguachica</w:t>
      </w:r>
      <w:r>
        <w:rPr>
          <w:rFonts w:ascii="Times New Roman" w:hAnsi="Times New Roman" w:cs="Times New Roman"/>
          <w:szCs w:val="24"/>
        </w:rPr>
        <w:t xml:space="preserve">. </w:t>
      </w:r>
      <w:r w:rsidRPr="00C95373">
        <w:rPr>
          <w:rFonts w:ascii="Times New Roman" w:hAnsi="Times New Roman" w:cs="Times New Roman"/>
          <w:i/>
          <w:iCs/>
          <w:szCs w:val="24"/>
        </w:rPr>
        <w:t>Radio Guatapurí</w:t>
      </w:r>
      <w:r w:rsidRPr="004C07C2">
        <w:rPr>
          <w:rFonts w:ascii="Times New Roman" w:hAnsi="Times New Roman" w:cs="Times New Roman"/>
          <w:szCs w:val="24"/>
        </w:rPr>
        <w:t xml:space="preserve">. </w:t>
      </w:r>
      <w:hyperlink r:id="rId25" w:history="1">
        <w:r w:rsidRPr="00EF7FFE">
          <w:rPr>
            <w:rStyle w:val="Hipervnculo"/>
            <w:rFonts w:ascii="Times New Roman" w:hAnsi="Times New Roman" w:cs="Times New Roman"/>
            <w:szCs w:val="24"/>
          </w:rPr>
          <w:t>https://radioguatapuri.com/noticias/-greisy-tatiana-aguachica</w:t>
        </w:r>
      </w:hyperlink>
    </w:p>
    <w:p w14:paraId="21ECDF61" w14:textId="77777777" w:rsidR="001137D6" w:rsidRDefault="001137D6" w:rsidP="004C07C2">
      <w:pPr>
        <w:spacing w:line="480" w:lineRule="auto"/>
        <w:ind w:left="709" w:hanging="709"/>
        <w:rPr>
          <w:rFonts w:ascii="Times New Roman" w:hAnsi="Times New Roman" w:cs="Times New Roman"/>
          <w:szCs w:val="24"/>
        </w:rPr>
      </w:pPr>
      <w:r w:rsidRPr="00D4522C">
        <w:rPr>
          <w:rFonts w:ascii="Times New Roman" w:hAnsi="Times New Roman" w:cs="Times New Roman"/>
          <w:szCs w:val="24"/>
        </w:rPr>
        <w:t>Resolución No</w:t>
      </w:r>
      <w:r>
        <w:rPr>
          <w:rFonts w:ascii="Times New Roman" w:hAnsi="Times New Roman" w:cs="Times New Roman"/>
          <w:szCs w:val="24"/>
        </w:rPr>
        <w:t>°</w:t>
      </w:r>
      <w:r w:rsidRPr="00D4522C">
        <w:rPr>
          <w:rFonts w:ascii="Times New Roman" w:hAnsi="Times New Roman" w:cs="Times New Roman"/>
          <w:szCs w:val="24"/>
        </w:rPr>
        <w:t xml:space="preserve"> 217. (2023, 4 de abril). Alcaldía Municipal de Aguachica.</w:t>
      </w:r>
      <w:r>
        <w:rPr>
          <w:rFonts w:ascii="Times New Roman" w:hAnsi="Times New Roman" w:cs="Times New Roman"/>
          <w:szCs w:val="24"/>
        </w:rPr>
        <w:t xml:space="preserve"> </w:t>
      </w:r>
      <w:hyperlink r:id="rId26" w:history="1">
        <w:r w:rsidRPr="0045441D">
          <w:rPr>
            <w:rStyle w:val="Hipervnculo"/>
            <w:rFonts w:ascii="Times New Roman" w:hAnsi="Times New Roman" w:cs="Times New Roman"/>
            <w:szCs w:val="24"/>
          </w:rPr>
          <w:t>https://aguachicacesar.micolombiadigital.gov.co/sites/aguachicacesar/content/files/000884/44158_codigo-de-integridad_0001.pdf</w:t>
        </w:r>
      </w:hyperlink>
    </w:p>
    <w:p w14:paraId="174255BF" w14:textId="77777777" w:rsidR="001137D6" w:rsidRPr="0064507E" w:rsidRDefault="001137D6" w:rsidP="0021025B">
      <w:pPr>
        <w:spacing w:line="480" w:lineRule="auto"/>
        <w:ind w:left="709" w:hanging="709"/>
        <w:rPr>
          <w:lang w:val="en-GB"/>
        </w:rPr>
      </w:pPr>
      <w:r w:rsidRPr="0021025B">
        <w:rPr>
          <w:rFonts w:cs="Arial"/>
          <w:szCs w:val="24"/>
          <w:lang w:val="en-GB"/>
        </w:rPr>
        <w:t xml:space="preserve">World Bank. (2021). Fiscal policy. </w:t>
      </w:r>
      <w:hyperlink r:id="rId27" w:history="1">
        <w:r w:rsidRPr="0075756E">
          <w:rPr>
            <w:rStyle w:val="Hipervnculo"/>
            <w:rFonts w:cs="Arial"/>
            <w:szCs w:val="24"/>
            <w:lang w:val="en-GB"/>
          </w:rPr>
          <w:t>https://www.worldbank.org/en/topic/economic-policy/fiscal-policy</w:t>
        </w:r>
      </w:hyperlink>
    </w:p>
    <w:p w14:paraId="4C8662A3" w14:textId="77777777" w:rsidR="00021632" w:rsidRPr="0064507E" w:rsidRDefault="00021632" w:rsidP="0021025B">
      <w:pPr>
        <w:spacing w:line="480" w:lineRule="auto"/>
        <w:ind w:left="709" w:hanging="709"/>
        <w:rPr>
          <w:lang w:val="en-GB"/>
        </w:rPr>
      </w:pPr>
    </w:p>
    <w:p w14:paraId="67FB83B5" w14:textId="77777777" w:rsidR="00021632" w:rsidRPr="0064507E" w:rsidRDefault="00021632" w:rsidP="0021025B">
      <w:pPr>
        <w:spacing w:line="480" w:lineRule="auto"/>
        <w:ind w:left="709" w:hanging="709"/>
        <w:rPr>
          <w:lang w:val="en-GB"/>
        </w:rPr>
      </w:pPr>
    </w:p>
    <w:p w14:paraId="7CD7DA76" w14:textId="77777777" w:rsidR="00021632" w:rsidRPr="0064507E" w:rsidRDefault="00021632" w:rsidP="0021025B">
      <w:pPr>
        <w:spacing w:line="480" w:lineRule="auto"/>
        <w:ind w:left="709" w:hanging="709"/>
        <w:rPr>
          <w:lang w:val="en-GB"/>
        </w:rPr>
      </w:pPr>
    </w:p>
    <w:p w14:paraId="074B475E" w14:textId="77777777" w:rsidR="00021632" w:rsidRPr="0064507E" w:rsidRDefault="00021632" w:rsidP="0021025B">
      <w:pPr>
        <w:spacing w:line="480" w:lineRule="auto"/>
        <w:ind w:left="709" w:hanging="709"/>
        <w:rPr>
          <w:lang w:val="en-GB"/>
        </w:rPr>
      </w:pPr>
    </w:p>
    <w:p w14:paraId="32642502" w14:textId="77777777" w:rsidR="00021632" w:rsidRPr="0064507E" w:rsidRDefault="00021632" w:rsidP="0021025B">
      <w:pPr>
        <w:spacing w:line="480" w:lineRule="auto"/>
        <w:ind w:left="709" w:hanging="709"/>
        <w:rPr>
          <w:lang w:val="en-GB"/>
        </w:rPr>
      </w:pPr>
    </w:p>
    <w:p w14:paraId="0A07F2A6" w14:textId="77777777" w:rsidR="00622E5E" w:rsidRPr="0064507E" w:rsidRDefault="00622E5E" w:rsidP="0021025B">
      <w:pPr>
        <w:spacing w:line="480" w:lineRule="auto"/>
        <w:ind w:left="709" w:hanging="709"/>
        <w:rPr>
          <w:lang w:val="en-GB"/>
        </w:rPr>
      </w:pPr>
    </w:p>
    <w:p w14:paraId="59C63997" w14:textId="77777777" w:rsidR="00622E5E" w:rsidRPr="0064507E" w:rsidRDefault="00622E5E" w:rsidP="0021025B">
      <w:pPr>
        <w:spacing w:line="480" w:lineRule="auto"/>
        <w:ind w:left="709" w:hanging="709"/>
        <w:rPr>
          <w:lang w:val="en-GB"/>
        </w:rPr>
      </w:pPr>
    </w:p>
    <w:p w14:paraId="4950F6D0" w14:textId="77777777" w:rsidR="00053364" w:rsidRPr="0064507E" w:rsidRDefault="00053364" w:rsidP="0021025B">
      <w:pPr>
        <w:spacing w:line="480" w:lineRule="auto"/>
        <w:ind w:left="709" w:hanging="709"/>
        <w:rPr>
          <w:lang w:val="en-GB"/>
        </w:rPr>
      </w:pPr>
    </w:p>
    <w:p w14:paraId="62F318FE" w14:textId="77777777" w:rsidR="00053364" w:rsidRPr="0064507E" w:rsidRDefault="00053364" w:rsidP="0021025B">
      <w:pPr>
        <w:spacing w:line="480" w:lineRule="auto"/>
        <w:ind w:left="709" w:hanging="709"/>
        <w:rPr>
          <w:lang w:val="en-GB"/>
        </w:rPr>
      </w:pPr>
    </w:p>
    <w:p w14:paraId="04211BC2" w14:textId="5D4E46AC" w:rsidR="00053364" w:rsidRDefault="00053364" w:rsidP="00053364">
      <w:pPr>
        <w:pStyle w:val="Ttulo1"/>
      </w:pPr>
      <w:bookmarkStart w:id="97" w:name="_Toc231741478"/>
      <w:r>
        <w:lastRenderedPageBreak/>
        <w:t>ANEXOS</w:t>
      </w:r>
      <w:bookmarkEnd w:id="97"/>
    </w:p>
    <w:p w14:paraId="6555DFA9" w14:textId="77777777" w:rsidR="00053364" w:rsidRPr="00053364" w:rsidRDefault="00053364" w:rsidP="00053364">
      <w:pPr>
        <w:spacing w:before="120" w:after="60"/>
        <w:jc w:val="center"/>
        <w:rPr>
          <w:rFonts w:cs="Arial"/>
          <w:szCs w:val="24"/>
        </w:rPr>
      </w:pPr>
      <w:r w:rsidRPr="00053364">
        <w:rPr>
          <w:rFonts w:eastAsia="Arial" w:cs="Arial"/>
          <w:b/>
          <w:bCs/>
          <w:szCs w:val="24"/>
        </w:rPr>
        <w:t>ANEXO A</w:t>
      </w:r>
    </w:p>
    <w:p w14:paraId="2A7252C7" w14:textId="77777777" w:rsidR="00053364" w:rsidRPr="00053364" w:rsidRDefault="00053364" w:rsidP="00053364">
      <w:pPr>
        <w:spacing w:after="480"/>
        <w:jc w:val="center"/>
        <w:rPr>
          <w:rFonts w:cs="Arial"/>
          <w:szCs w:val="24"/>
        </w:rPr>
      </w:pPr>
      <w:r w:rsidRPr="00053364">
        <w:rPr>
          <w:rFonts w:eastAsia="Arial" w:cs="Arial"/>
          <w:b/>
          <w:bCs/>
          <w:szCs w:val="24"/>
        </w:rPr>
        <w:t>Flujograma del proceso de expedición de CDP y Registro Presupuestal (RP)</w:t>
      </w:r>
    </w:p>
    <w:p w14:paraId="6F1B29F2" w14:textId="0F283EB8" w:rsidR="00053364" w:rsidRPr="00053364" w:rsidRDefault="00053364" w:rsidP="00053364">
      <w:pPr>
        <w:pStyle w:val="Descripcin"/>
        <w:keepNext/>
        <w:rPr>
          <w:rFonts w:ascii="Arial" w:hAnsi="Arial" w:cs="Arial"/>
          <w:i w:val="0"/>
          <w:iCs w:val="0"/>
          <w:color w:val="auto"/>
          <w:sz w:val="24"/>
          <w:szCs w:val="24"/>
        </w:rPr>
      </w:pPr>
      <w:bookmarkStart w:id="98" w:name="_Toc231741498"/>
      <w:r w:rsidRPr="00053364">
        <w:rPr>
          <w:rFonts w:ascii="Arial" w:hAnsi="Arial" w:cs="Arial"/>
          <w:b/>
          <w:bCs/>
          <w:i w:val="0"/>
          <w:iCs w:val="0"/>
          <w:color w:val="auto"/>
          <w:sz w:val="24"/>
          <w:szCs w:val="24"/>
        </w:rPr>
        <w:t xml:space="preserve">Anexo </w:t>
      </w:r>
      <w:r w:rsidRPr="00053364">
        <w:rPr>
          <w:rFonts w:ascii="Arial" w:hAnsi="Arial" w:cs="Arial"/>
          <w:b/>
          <w:bCs/>
          <w:i w:val="0"/>
          <w:iCs w:val="0"/>
          <w:color w:val="auto"/>
          <w:sz w:val="24"/>
          <w:szCs w:val="24"/>
        </w:rPr>
        <w:fldChar w:fldCharType="begin"/>
      </w:r>
      <w:r w:rsidRPr="00053364">
        <w:rPr>
          <w:rFonts w:ascii="Arial" w:hAnsi="Arial" w:cs="Arial"/>
          <w:b/>
          <w:bCs/>
          <w:i w:val="0"/>
          <w:iCs w:val="0"/>
          <w:color w:val="auto"/>
          <w:sz w:val="24"/>
          <w:szCs w:val="24"/>
        </w:rPr>
        <w:instrText xml:space="preserve"> SEQ Anexo \* ARABIC </w:instrText>
      </w:r>
      <w:r w:rsidRPr="00053364">
        <w:rPr>
          <w:rFonts w:ascii="Arial" w:hAnsi="Arial" w:cs="Arial"/>
          <w:b/>
          <w:bCs/>
          <w:i w:val="0"/>
          <w:iCs w:val="0"/>
          <w:color w:val="auto"/>
          <w:sz w:val="24"/>
          <w:szCs w:val="24"/>
        </w:rPr>
        <w:fldChar w:fldCharType="separate"/>
      </w:r>
      <w:r>
        <w:rPr>
          <w:rFonts w:ascii="Arial" w:hAnsi="Arial" w:cs="Arial"/>
          <w:b/>
          <w:bCs/>
          <w:i w:val="0"/>
          <w:iCs w:val="0"/>
          <w:noProof/>
          <w:color w:val="auto"/>
          <w:sz w:val="24"/>
          <w:szCs w:val="24"/>
        </w:rPr>
        <w:t>1</w:t>
      </w:r>
      <w:r w:rsidRPr="00053364">
        <w:rPr>
          <w:rFonts w:ascii="Arial" w:hAnsi="Arial" w:cs="Arial"/>
          <w:b/>
          <w:bCs/>
          <w:i w:val="0"/>
          <w:iCs w:val="0"/>
          <w:color w:val="auto"/>
          <w:sz w:val="24"/>
          <w:szCs w:val="24"/>
        </w:rPr>
        <w:fldChar w:fldCharType="end"/>
      </w:r>
      <w:r w:rsidRPr="00053364">
        <w:rPr>
          <w:rFonts w:ascii="Arial" w:hAnsi="Arial" w:cs="Arial"/>
          <w:i w:val="0"/>
          <w:iCs w:val="0"/>
          <w:color w:val="auto"/>
          <w:sz w:val="24"/>
          <w:szCs w:val="24"/>
        </w:rPr>
        <w:t>. Flujograma del proceso de expedición de CDP y Registro Presupuestal</w:t>
      </w:r>
      <w:bookmarkEnd w:id="98"/>
      <w:r w:rsidRPr="00053364">
        <w:rPr>
          <w:rFonts w:ascii="Arial" w:hAnsi="Arial" w:cs="Arial"/>
          <w:i w:val="0"/>
          <w:iCs w:val="0"/>
          <w:color w:val="auto"/>
          <w:sz w:val="24"/>
          <w:szCs w:val="24"/>
        </w:rPr>
        <w:t xml:space="preserve"> </w:t>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4198"/>
        <w:gridCol w:w="1843"/>
        <w:gridCol w:w="3319"/>
      </w:tblGrid>
      <w:tr w:rsidR="00053364" w14:paraId="27EBABE6" w14:textId="77777777" w:rsidTr="00053364">
        <w:tc>
          <w:tcPr>
            <w:tcW w:w="4198" w:type="dxa"/>
            <w:tcBorders>
              <w:top w:val="single" w:sz="1" w:space="0" w:color="AAAAAA"/>
              <w:left w:val="single" w:sz="1" w:space="0" w:color="AAAAAA"/>
              <w:bottom w:val="single" w:sz="1" w:space="0" w:color="AAAAAA"/>
              <w:right w:val="single" w:sz="1" w:space="0" w:color="AAAAAA"/>
            </w:tcBorders>
            <w:shd w:val="clear" w:color="auto" w:fill="1F3864"/>
            <w:tcMar>
              <w:top w:w="80" w:type="dxa"/>
              <w:left w:w="120" w:type="dxa"/>
              <w:bottom w:w="80" w:type="dxa"/>
              <w:right w:w="120" w:type="dxa"/>
            </w:tcMar>
          </w:tcPr>
          <w:p w14:paraId="113891DA" w14:textId="77777777" w:rsidR="00053364" w:rsidRDefault="00053364" w:rsidP="00844373">
            <w:pPr>
              <w:jc w:val="center"/>
            </w:pPr>
            <w:r>
              <w:rPr>
                <w:rFonts w:eastAsia="Arial" w:cs="Arial"/>
                <w:b/>
                <w:bCs/>
                <w:color w:val="FFFFFF"/>
                <w:sz w:val="20"/>
                <w:szCs w:val="20"/>
              </w:rPr>
              <w:t>Paso</w:t>
            </w:r>
          </w:p>
        </w:tc>
        <w:tc>
          <w:tcPr>
            <w:tcW w:w="1843" w:type="dxa"/>
            <w:tcBorders>
              <w:top w:val="single" w:sz="1" w:space="0" w:color="AAAAAA"/>
              <w:left w:val="single" w:sz="1" w:space="0" w:color="AAAAAA"/>
              <w:bottom w:val="single" w:sz="1" w:space="0" w:color="AAAAAA"/>
              <w:right w:val="single" w:sz="1" w:space="0" w:color="AAAAAA"/>
            </w:tcBorders>
            <w:shd w:val="clear" w:color="auto" w:fill="1F3864"/>
            <w:tcMar>
              <w:top w:w="80" w:type="dxa"/>
              <w:left w:w="120" w:type="dxa"/>
              <w:bottom w:w="80" w:type="dxa"/>
              <w:right w:w="120" w:type="dxa"/>
            </w:tcMar>
          </w:tcPr>
          <w:p w14:paraId="424018B5" w14:textId="77777777" w:rsidR="00053364" w:rsidRDefault="00053364" w:rsidP="00844373">
            <w:pPr>
              <w:jc w:val="center"/>
            </w:pPr>
            <w:r>
              <w:rPr>
                <w:rFonts w:eastAsia="Arial" w:cs="Arial"/>
                <w:b/>
                <w:bCs/>
                <w:color w:val="FFFFFF"/>
                <w:sz w:val="20"/>
                <w:szCs w:val="20"/>
              </w:rPr>
              <w:t>Responsable</w:t>
            </w:r>
          </w:p>
        </w:tc>
        <w:tc>
          <w:tcPr>
            <w:tcW w:w="3319" w:type="dxa"/>
            <w:tcBorders>
              <w:top w:val="single" w:sz="1" w:space="0" w:color="AAAAAA"/>
              <w:left w:val="single" w:sz="1" w:space="0" w:color="AAAAAA"/>
              <w:bottom w:val="single" w:sz="1" w:space="0" w:color="AAAAAA"/>
              <w:right w:val="single" w:sz="1" w:space="0" w:color="AAAAAA"/>
            </w:tcBorders>
            <w:shd w:val="clear" w:color="auto" w:fill="1F3864"/>
            <w:tcMar>
              <w:top w:w="80" w:type="dxa"/>
              <w:left w:w="120" w:type="dxa"/>
              <w:bottom w:w="80" w:type="dxa"/>
              <w:right w:w="120" w:type="dxa"/>
            </w:tcMar>
          </w:tcPr>
          <w:p w14:paraId="3000C0A8" w14:textId="77777777" w:rsidR="00053364" w:rsidRDefault="00053364" w:rsidP="00844373">
            <w:pPr>
              <w:jc w:val="center"/>
            </w:pPr>
            <w:r>
              <w:rPr>
                <w:rFonts w:eastAsia="Arial" w:cs="Arial"/>
                <w:b/>
                <w:bCs/>
                <w:color w:val="FFFFFF"/>
                <w:sz w:val="20"/>
                <w:szCs w:val="20"/>
              </w:rPr>
              <w:t>Acción / Salida del proceso</w:t>
            </w:r>
          </w:p>
        </w:tc>
      </w:tr>
      <w:tr w:rsidR="00053364" w14:paraId="760686EA" w14:textId="77777777" w:rsidTr="00053364">
        <w:tc>
          <w:tcPr>
            <w:tcW w:w="4198" w:type="dxa"/>
            <w:tcBorders>
              <w:top w:val="single" w:sz="1" w:space="0" w:color="AAAAAA"/>
              <w:left w:val="single" w:sz="1" w:space="0" w:color="AAAAAA"/>
              <w:bottom w:val="single" w:sz="1" w:space="0" w:color="AAAAAA"/>
              <w:right w:val="single" w:sz="1" w:space="0" w:color="AAAAAA"/>
            </w:tcBorders>
            <w:shd w:val="clear" w:color="auto" w:fill="1F4E79"/>
            <w:tcMar>
              <w:top w:w="100" w:type="dxa"/>
              <w:left w:w="120" w:type="dxa"/>
              <w:bottom w:w="100" w:type="dxa"/>
              <w:right w:w="120" w:type="dxa"/>
            </w:tcMar>
            <w:vAlign w:val="center"/>
          </w:tcPr>
          <w:p w14:paraId="172E593E" w14:textId="77777777" w:rsidR="00053364" w:rsidRDefault="00053364" w:rsidP="00844373">
            <w:pPr>
              <w:jc w:val="center"/>
            </w:pPr>
            <w:r>
              <w:rPr>
                <w:rFonts w:eastAsia="Arial" w:cs="Arial"/>
                <w:b/>
                <w:bCs/>
                <w:color w:val="FFFFFF"/>
                <w:sz w:val="28"/>
                <w:szCs w:val="28"/>
              </w:rPr>
              <w:t>1</w:t>
            </w:r>
          </w:p>
        </w:tc>
        <w:tc>
          <w:tcPr>
            <w:tcW w:w="1843" w:type="dxa"/>
            <w:tcBorders>
              <w:top w:val="single" w:sz="1" w:space="0" w:color="AAAAAA"/>
              <w:left w:val="single" w:sz="1" w:space="0" w:color="AAAAAA"/>
              <w:bottom w:val="single" w:sz="1" w:space="0" w:color="AAAAAA"/>
              <w:right w:val="single" w:sz="1" w:space="0" w:color="AAAAAA"/>
            </w:tcBorders>
            <w:shd w:val="clear" w:color="auto" w:fill="2E75B6"/>
            <w:tcMar>
              <w:top w:w="100" w:type="dxa"/>
              <w:left w:w="120" w:type="dxa"/>
              <w:bottom w:w="100" w:type="dxa"/>
              <w:right w:w="120" w:type="dxa"/>
            </w:tcMar>
            <w:vAlign w:val="center"/>
          </w:tcPr>
          <w:p w14:paraId="68226C53" w14:textId="77777777" w:rsidR="00053364" w:rsidRDefault="00053364" w:rsidP="00844373">
            <w:pPr>
              <w:jc w:val="center"/>
            </w:pPr>
            <w:r>
              <w:rPr>
                <w:rFonts w:eastAsia="Arial" w:cs="Arial"/>
                <w:b/>
                <w:bCs/>
                <w:color w:val="FFFFFF"/>
                <w:sz w:val="20"/>
                <w:szCs w:val="20"/>
              </w:rPr>
              <w:t>Solicitante / Área</w:t>
            </w:r>
          </w:p>
        </w:tc>
        <w:tc>
          <w:tcPr>
            <w:tcW w:w="3319" w:type="dxa"/>
            <w:tcBorders>
              <w:top w:val="single" w:sz="1" w:space="0" w:color="AAAAAA"/>
              <w:left w:val="single" w:sz="1" w:space="0" w:color="AAAAAA"/>
              <w:bottom w:val="single" w:sz="1" w:space="0" w:color="AAAAAA"/>
              <w:right w:val="single" w:sz="1" w:space="0" w:color="AAAAAA"/>
            </w:tcBorders>
            <w:shd w:val="clear" w:color="auto" w:fill="E8F0FB"/>
            <w:tcMar>
              <w:top w:w="100" w:type="dxa"/>
              <w:left w:w="120" w:type="dxa"/>
              <w:bottom w:w="100" w:type="dxa"/>
              <w:right w:w="120" w:type="dxa"/>
            </w:tcMar>
          </w:tcPr>
          <w:p w14:paraId="0BA28CF7" w14:textId="77777777" w:rsidR="00053364" w:rsidRDefault="00053364" w:rsidP="00844373">
            <w:r>
              <w:rPr>
                <w:rFonts w:eastAsia="Arial" w:cs="Arial"/>
                <w:color w:val="1F3864"/>
                <w:sz w:val="22"/>
              </w:rPr>
              <w:t>Radica solicitud de CDP con soporte del gasto (cotización, contrato, convocatoria u otro documento habilitante). Entrada: Documento soporte firmado.</w:t>
            </w:r>
          </w:p>
        </w:tc>
      </w:tr>
      <w:tr w:rsidR="00053364" w14:paraId="141B6C92" w14:textId="77777777" w:rsidTr="00053364">
        <w:trPr>
          <w:gridAfter w:val="2"/>
          <w:wAfter w:w="5162" w:type="dxa"/>
        </w:trPr>
        <w:tc>
          <w:tcPr>
            <w:tcW w:w="4198" w:type="dxa"/>
            <w:tcBorders>
              <w:top w:val="none" w:sz="0" w:space="0" w:color="FFFFFF"/>
              <w:left w:val="none" w:sz="0" w:space="0" w:color="FFFFFF"/>
              <w:bottom w:val="none" w:sz="0" w:space="0" w:color="FFFFFF"/>
              <w:right w:val="none" w:sz="0" w:space="0" w:color="FFFFFF"/>
            </w:tcBorders>
            <w:tcMar>
              <w:top w:w="40" w:type="dxa"/>
              <w:left w:w="0" w:type="dxa"/>
              <w:bottom w:w="0" w:type="dxa"/>
              <w:right w:w="0" w:type="dxa"/>
            </w:tcMar>
            <w:vAlign w:val="center"/>
          </w:tcPr>
          <w:p w14:paraId="7372BF22" w14:textId="77777777" w:rsidR="00053364" w:rsidRDefault="00053364" w:rsidP="00844373">
            <w:pPr>
              <w:jc w:val="center"/>
            </w:pPr>
            <w:r>
              <w:rPr>
                <w:rFonts w:eastAsia="Arial" w:cs="Arial"/>
                <w:color w:val="555555"/>
                <w:sz w:val="22"/>
              </w:rPr>
              <w:t>▼  Traslado interno al área de Presupuesto</w:t>
            </w:r>
          </w:p>
        </w:tc>
      </w:tr>
      <w:tr w:rsidR="00053364" w14:paraId="77E41DC5" w14:textId="77777777" w:rsidTr="00053364">
        <w:tc>
          <w:tcPr>
            <w:tcW w:w="4198" w:type="dxa"/>
            <w:tcBorders>
              <w:top w:val="single" w:sz="1" w:space="0" w:color="AAAAAA"/>
              <w:left w:val="single" w:sz="1" w:space="0" w:color="AAAAAA"/>
              <w:bottom w:val="single" w:sz="1" w:space="0" w:color="AAAAAA"/>
              <w:right w:val="single" w:sz="1" w:space="0" w:color="AAAAAA"/>
            </w:tcBorders>
            <w:shd w:val="clear" w:color="auto" w:fill="1F4E79"/>
            <w:tcMar>
              <w:top w:w="100" w:type="dxa"/>
              <w:left w:w="120" w:type="dxa"/>
              <w:bottom w:w="100" w:type="dxa"/>
              <w:right w:w="120" w:type="dxa"/>
            </w:tcMar>
            <w:vAlign w:val="center"/>
          </w:tcPr>
          <w:p w14:paraId="7B20E232" w14:textId="77777777" w:rsidR="00053364" w:rsidRDefault="00053364" w:rsidP="00844373">
            <w:pPr>
              <w:jc w:val="center"/>
            </w:pPr>
            <w:r>
              <w:rPr>
                <w:rFonts w:eastAsia="Arial" w:cs="Arial"/>
                <w:b/>
                <w:bCs/>
                <w:color w:val="FFFFFF"/>
                <w:sz w:val="28"/>
                <w:szCs w:val="28"/>
              </w:rPr>
              <w:t>2</w:t>
            </w:r>
          </w:p>
        </w:tc>
        <w:tc>
          <w:tcPr>
            <w:tcW w:w="1843" w:type="dxa"/>
            <w:tcBorders>
              <w:top w:val="single" w:sz="1" w:space="0" w:color="AAAAAA"/>
              <w:left w:val="single" w:sz="1" w:space="0" w:color="AAAAAA"/>
              <w:bottom w:val="single" w:sz="1" w:space="0" w:color="AAAAAA"/>
              <w:right w:val="single" w:sz="1" w:space="0" w:color="AAAAAA"/>
            </w:tcBorders>
            <w:shd w:val="clear" w:color="auto" w:fill="2E75B6"/>
            <w:tcMar>
              <w:top w:w="100" w:type="dxa"/>
              <w:left w:w="120" w:type="dxa"/>
              <w:bottom w:w="100" w:type="dxa"/>
              <w:right w:w="120" w:type="dxa"/>
            </w:tcMar>
            <w:vAlign w:val="center"/>
          </w:tcPr>
          <w:p w14:paraId="37928B1B" w14:textId="77777777" w:rsidR="00053364" w:rsidRDefault="00053364" w:rsidP="00844373">
            <w:pPr>
              <w:jc w:val="center"/>
            </w:pPr>
            <w:r>
              <w:rPr>
                <w:rFonts w:eastAsia="Arial" w:cs="Arial"/>
                <w:b/>
                <w:bCs/>
                <w:color w:val="FFFFFF"/>
                <w:sz w:val="20"/>
                <w:szCs w:val="20"/>
              </w:rPr>
              <w:t>Área de Presupuesto (Practicante / Asistente)</w:t>
            </w:r>
          </w:p>
        </w:tc>
        <w:tc>
          <w:tcPr>
            <w:tcW w:w="3319" w:type="dxa"/>
            <w:tcBorders>
              <w:top w:val="single" w:sz="1" w:space="0" w:color="AAAAAA"/>
              <w:left w:val="single" w:sz="1" w:space="0" w:color="AAAAAA"/>
              <w:bottom w:val="single" w:sz="1" w:space="0" w:color="AAAAAA"/>
              <w:right w:val="single" w:sz="1" w:space="0" w:color="AAAAAA"/>
            </w:tcBorders>
            <w:shd w:val="clear" w:color="auto" w:fill="D6E4F0"/>
            <w:tcMar>
              <w:top w:w="100" w:type="dxa"/>
              <w:left w:w="120" w:type="dxa"/>
              <w:bottom w:w="100" w:type="dxa"/>
              <w:right w:w="120" w:type="dxa"/>
            </w:tcMar>
          </w:tcPr>
          <w:p w14:paraId="0BEF56DD" w14:textId="77777777" w:rsidR="00053364" w:rsidRDefault="00053364" w:rsidP="00844373">
            <w:r>
              <w:rPr>
                <w:rFonts w:eastAsia="Arial" w:cs="Arial"/>
                <w:color w:val="1F3864"/>
                <w:sz w:val="22"/>
              </w:rPr>
              <w:t>Verifica disponibilidad en el rubro correspondiente en Suite Neptuno. Confirma: rubro activo, saldo suficiente, tipo de gasto correcto.</w:t>
            </w:r>
          </w:p>
        </w:tc>
      </w:tr>
      <w:tr w:rsidR="00053364" w14:paraId="76743D9B" w14:textId="77777777" w:rsidTr="00053364">
        <w:trPr>
          <w:gridAfter w:val="2"/>
          <w:wAfter w:w="5162" w:type="dxa"/>
        </w:trPr>
        <w:tc>
          <w:tcPr>
            <w:tcW w:w="4198" w:type="dxa"/>
            <w:tcBorders>
              <w:top w:val="none" w:sz="0" w:space="0" w:color="FFFFFF"/>
              <w:left w:val="none" w:sz="0" w:space="0" w:color="FFFFFF"/>
              <w:bottom w:val="none" w:sz="0" w:space="0" w:color="FFFFFF"/>
              <w:right w:val="none" w:sz="0" w:space="0" w:color="FFFFFF"/>
            </w:tcBorders>
            <w:tcMar>
              <w:top w:w="40" w:type="dxa"/>
              <w:left w:w="0" w:type="dxa"/>
              <w:bottom w:w="0" w:type="dxa"/>
              <w:right w:w="0" w:type="dxa"/>
            </w:tcMar>
            <w:vAlign w:val="center"/>
          </w:tcPr>
          <w:p w14:paraId="05570555" w14:textId="77777777" w:rsidR="00053364" w:rsidRDefault="00053364" w:rsidP="00844373">
            <w:pPr>
              <w:jc w:val="center"/>
            </w:pPr>
            <w:r>
              <w:rPr>
                <w:rFonts w:eastAsia="Arial" w:cs="Arial"/>
                <w:color w:val="555555"/>
                <w:sz w:val="22"/>
              </w:rPr>
              <w:t>▼  Si hay disponibilidad → continúa  |  Si no hay → devuelve con observación</w:t>
            </w:r>
          </w:p>
        </w:tc>
      </w:tr>
      <w:tr w:rsidR="00053364" w14:paraId="30FF368B" w14:textId="77777777" w:rsidTr="00053364">
        <w:tc>
          <w:tcPr>
            <w:tcW w:w="4198" w:type="dxa"/>
            <w:tcBorders>
              <w:top w:val="single" w:sz="1" w:space="0" w:color="AAAAAA"/>
              <w:left w:val="single" w:sz="1" w:space="0" w:color="AAAAAA"/>
              <w:bottom w:val="single" w:sz="1" w:space="0" w:color="AAAAAA"/>
              <w:right w:val="single" w:sz="1" w:space="0" w:color="AAAAAA"/>
            </w:tcBorders>
            <w:shd w:val="clear" w:color="auto" w:fill="1F4E79"/>
            <w:tcMar>
              <w:top w:w="100" w:type="dxa"/>
              <w:left w:w="120" w:type="dxa"/>
              <w:bottom w:w="100" w:type="dxa"/>
              <w:right w:w="120" w:type="dxa"/>
            </w:tcMar>
            <w:vAlign w:val="center"/>
          </w:tcPr>
          <w:p w14:paraId="646C5832" w14:textId="77777777" w:rsidR="00053364" w:rsidRDefault="00053364" w:rsidP="00844373">
            <w:pPr>
              <w:jc w:val="center"/>
            </w:pPr>
            <w:r>
              <w:rPr>
                <w:rFonts w:eastAsia="Arial" w:cs="Arial"/>
                <w:b/>
                <w:bCs/>
                <w:color w:val="FFFFFF"/>
                <w:sz w:val="28"/>
                <w:szCs w:val="28"/>
              </w:rPr>
              <w:t>3</w:t>
            </w:r>
          </w:p>
        </w:tc>
        <w:tc>
          <w:tcPr>
            <w:tcW w:w="1843" w:type="dxa"/>
            <w:tcBorders>
              <w:top w:val="single" w:sz="1" w:space="0" w:color="AAAAAA"/>
              <w:left w:val="single" w:sz="1" w:space="0" w:color="AAAAAA"/>
              <w:bottom w:val="single" w:sz="1" w:space="0" w:color="AAAAAA"/>
              <w:right w:val="single" w:sz="1" w:space="0" w:color="AAAAAA"/>
            </w:tcBorders>
            <w:shd w:val="clear" w:color="auto" w:fill="2E75B6"/>
            <w:tcMar>
              <w:top w:w="100" w:type="dxa"/>
              <w:left w:w="120" w:type="dxa"/>
              <w:bottom w:w="100" w:type="dxa"/>
              <w:right w:w="120" w:type="dxa"/>
            </w:tcMar>
            <w:vAlign w:val="center"/>
          </w:tcPr>
          <w:p w14:paraId="2B805DCB" w14:textId="77777777" w:rsidR="00053364" w:rsidRDefault="00053364" w:rsidP="00844373">
            <w:pPr>
              <w:jc w:val="center"/>
            </w:pPr>
            <w:r>
              <w:rPr>
                <w:rFonts w:eastAsia="Arial" w:cs="Arial"/>
                <w:b/>
                <w:bCs/>
                <w:color w:val="FFFFFF"/>
                <w:sz w:val="20"/>
                <w:szCs w:val="20"/>
              </w:rPr>
              <w:t>Profesional de Presupuesto</w:t>
            </w:r>
          </w:p>
        </w:tc>
        <w:tc>
          <w:tcPr>
            <w:tcW w:w="3319" w:type="dxa"/>
            <w:tcBorders>
              <w:top w:val="single" w:sz="1" w:space="0" w:color="AAAAAA"/>
              <w:left w:val="single" w:sz="1" w:space="0" w:color="AAAAAA"/>
              <w:bottom w:val="single" w:sz="1" w:space="0" w:color="AAAAAA"/>
              <w:right w:val="single" w:sz="1" w:space="0" w:color="AAAAAA"/>
            </w:tcBorders>
            <w:shd w:val="clear" w:color="auto" w:fill="E8F0FB"/>
            <w:tcMar>
              <w:top w:w="100" w:type="dxa"/>
              <w:left w:w="120" w:type="dxa"/>
              <w:bottom w:w="100" w:type="dxa"/>
              <w:right w:w="120" w:type="dxa"/>
            </w:tcMar>
          </w:tcPr>
          <w:p w14:paraId="769AF03C" w14:textId="77777777" w:rsidR="00053364" w:rsidRDefault="00053364" w:rsidP="00844373">
            <w:r>
              <w:rPr>
                <w:rFonts w:eastAsia="Arial" w:cs="Arial"/>
                <w:color w:val="1F3864"/>
                <w:sz w:val="22"/>
              </w:rPr>
              <w:t>Elabora el CDP en Suite Neptuno, asigna número consecutivo, imprime y firma el documento. Salida: CDP generado y firmado.</w:t>
            </w:r>
          </w:p>
        </w:tc>
      </w:tr>
      <w:tr w:rsidR="00053364" w14:paraId="2083B248" w14:textId="77777777" w:rsidTr="00053364">
        <w:trPr>
          <w:gridAfter w:val="2"/>
          <w:wAfter w:w="5162" w:type="dxa"/>
        </w:trPr>
        <w:tc>
          <w:tcPr>
            <w:tcW w:w="4198" w:type="dxa"/>
            <w:tcBorders>
              <w:top w:val="none" w:sz="0" w:space="0" w:color="FFFFFF"/>
              <w:left w:val="none" w:sz="0" w:space="0" w:color="FFFFFF"/>
              <w:bottom w:val="none" w:sz="0" w:space="0" w:color="FFFFFF"/>
              <w:right w:val="none" w:sz="0" w:space="0" w:color="FFFFFF"/>
            </w:tcBorders>
            <w:tcMar>
              <w:top w:w="40" w:type="dxa"/>
              <w:left w:w="0" w:type="dxa"/>
              <w:bottom w:w="0" w:type="dxa"/>
              <w:right w:w="0" w:type="dxa"/>
            </w:tcMar>
            <w:vAlign w:val="center"/>
          </w:tcPr>
          <w:p w14:paraId="49DC3901" w14:textId="77777777" w:rsidR="00053364" w:rsidRDefault="00053364" w:rsidP="00844373">
            <w:pPr>
              <w:jc w:val="center"/>
            </w:pPr>
            <w:r>
              <w:rPr>
                <w:rFonts w:eastAsia="Arial" w:cs="Arial"/>
                <w:color w:val="555555"/>
                <w:sz w:val="22"/>
              </w:rPr>
              <w:t>▼  Traslado al Secretario de Hacienda</w:t>
            </w:r>
          </w:p>
        </w:tc>
      </w:tr>
      <w:tr w:rsidR="00053364" w14:paraId="47C81A81" w14:textId="77777777" w:rsidTr="00053364">
        <w:tc>
          <w:tcPr>
            <w:tcW w:w="4198" w:type="dxa"/>
            <w:tcBorders>
              <w:top w:val="single" w:sz="1" w:space="0" w:color="AAAAAA"/>
              <w:left w:val="single" w:sz="1" w:space="0" w:color="AAAAAA"/>
              <w:bottom w:val="single" w:sz="1" w:space="0" w:color="AAAAAA"/>
              <w:right w:val="single" w:sz="1" w:space="0" w:color="AAAAAA"/>
            </w:tcBorders>
            <w:shd w:val="clear" w:color="auto" w:fill="1F4E79"/>
            <w:tcMar>
              <w:top w:w="100" w:type="dxa"/>
              <w:left w:w="120" w:type="dxa"/>
              <w:bottom w:w="100" w:type="dxa"/>
              <w:right w:w="120" w:type="dxa"/>
            </w:tcMar>
            <w:vAlign w:val="center"/>
          </w:tcPr>
          <w:p w14:paraId="775B429A" w14:textId="77777777" w:rsidR="00053364" w:rsidRDefault="00053364" w:rsidP="00844373">
            <w:pPr>
              <w:jc w:val="center"/>
            </w:pPr>
            <w:r>
              <w:rPr>
                <w:rFonts w:eastAsia="Arial" w:cs="Arial"/>
                <w:b/>
                <w:bCs/>
                <w:color w:val="FFFFFF"/>
                <w:sz w:val="28"/>
                <w:szCs w:val="28"/>
              </w:rPr>
              <w:lastRenderedPageBreak/>
              <w:t>4</w:t>
            </w:r>
          </w:p>
        </w:tc>
        <w:tc>
          <w:tcPr>
            <w:tcW w:w="1843" w:type="dxa"/>
            <w:tcBorders>
              <w:top w:val="single" w:sz="1" w:space="0" w:color="AAAAAA"/>
              <w:left w:val="single" w:sz="1" w:space="0" w:color="AAAAAA"/>
              <w:bottom w:val="single" w:sz="1" w:space="0" w:color="AAAAAA"/>
              <w:right w:val="single" w:sz="1" w:space="0" w:color="AAAAAA"/>
            </w:tcBorders>
            <w:shd w:val="clear" w:color="auto" w:fill="2E75B6"/>
            <w:tcMar>
              <w:top w:w="100" w:type="dxa"/>
              <w:left w:w="120" w:type="dxa"/>
              <w:bottom w:w="100" w:type="dxa"/>
              <w:right w:w="120" w:type="dxa"/>
            </w:tcMar>
            <w:vAlign w:val="center"/>
          </w:tcPr>
          <w:p w14:paraId="031714F8" w14:textId="77777777" w:rsidR="00053364" w:rsidRDefault="00053364" w:rsidP="00844373">
            <w:pPr>
              <w:jc w:val="center"/>
            </w:pPr>
            <w:r>
              <w:rPr>
                <w:rFonts w:eastAsia="Arial" w:cs="Arial"/>
                <w:b/>
                <w:bCs/>
                <w:color w:val="FFFFFF"/>
                <w:sz w:val="20"/>
                <w:szCs w:val="20"/>
              </w:rPr>
              <w:t>Secretario de Hacienda</w:t>
            </w:r>
          </w:p>
        </w:tc>
        <w:tc>
          <w:tcPr>
            <w:tcW w:w="3319" w:type="dxa"/>
            <w:tcBorders>
              <w:top w:val="single" w:sz="1" w:space="0" w:color="AAAAAA"/>
              <w:left w:val="single" w:sz="1" w:space="0" w:color="AAAAAA"/>
              <w:bottom w:val="single" w:sz="1" w:space="0" w:color="AAAAAA"/>
              <w:right w:val="single" w:sz="1" w:space="0" w:color="AAAAAA"/>
            </w:tcBorders>
            <w:shd w:val="clear" w:color="auto" w:fill="D6E4F0"/>
            <w:tcMar>
              <w:top w:w="100" w:type="dxa"/>
              <w:left w:w="120" w:type="dxa"/>
              <w:bottom w:w="100" w:type="dxa"/>
              <w:right w:w="120" w:type="dxa"/>
            </w:tcMar>
          </w:tcPr>
          <w:p w14:paraId="278C2DDC" w14:textId="77777777" w:rsidR="00053364" w:rsidRDefault="00053364" w:rsidP="00844373">
            <w:r>
              <w:rPr>
                <w:rFonts w:eastAsia="Arial" w:cs="Arial"/>
                <w:color w:val="1F3864"/>
                <w:sz w:val="22"/>
              </w:rPr>
              <w:t>Revisa el CDP y firma el documento como autoridad presupuestal. Salida: CDP autorizado.</w:t>
            </w:r>
          </w:p>
        </w:tc>
      </w:tr>
      <w:tr w:rsidR="00053364" w14:paraId="39CFCD01" w14:textId="77777777" w:rsidTr="00053364">
        <w:trPr>
          <w:gridAfter w:val="2"/>
          <w:wAfter w:w="5162" w:type="dxa"/>
        </w:trPr>
        <w:tc>
          <w:tcPr>
            <w:tcW w:w="4198" w:type="dxa"/>
            <w:tcBorders>
              <w:top w:val="none" w:sz="0" w:space="0" w:color="FFFFFF"/>
              <w:left w:val="none" w:sz="0" w:space="0" w:color="FFFFFF"/>
              <w:bottom w:val="none" w:sz="0" w:space="0" w:color="FFFFFF"/>
              <w:right w:val="none" w:sz="0" w:space="0" w:color="FFFFFF"/>
            </w:tcBorders>
            <w:tcMar>
              <w:top w:w="40" w:type="dxa"/>
              <w:left w:w="0" w:type="dxa"/>
              <w:bottom w:w="0" w:type="dxa"/>
              <w:right w:w="0" w:type="dxa"/>
            </w:tcMar>
            <w:vAlign w:val="center"/>
          </w:tcPr>
          <w:p w14:paraId="62AD9F94" w14:textId="77777777" w:rsidR="00053364" w:rsidRDefault="00053364" w:rsidP="00844373">
            <w:pPr>
              <w:jc w:val="center"/>
            </w:pPr>
            <w:r>
              <w:rPr>
                <w:rFonts w:eastAsia="Arial" w:cs="Arial"/>
                <w:color w:val="555555"/>
                <w:sz w:val="22"/>
              </w:rPr>
              <w:t xml:space="preserve">▼  Traslado al Despacho del </w:t>
            </w:r>
            <w:proofErr w:type="gramStart"/>
            <w:r>
              <w:rPr>
                <w:rFonts w:eastAsia="Arial" w:cs="Arial"/>
                <w:color w:val="555555"/>
                <w:sz w:val="22"/>
              </w:rPr>
              <w:t>Alcalde</w:t>
            </w:r>
            <w:proofErr w:type="gramEnd"/>
          </w:p>
        </w:tc>
      </w:tr>
      <w:tr w:rsidR="00053364" w14:paraId="6A7ADFEB" w14:textId="77777777" w:rsidTr="00053364">
        <w:tc>
          <w:tcPr>
            <w:tcW w:w="4198" w:type="dxa"/>
            <w:tcBorders>
              <w:top w:val="single" w:sz="1" w:space="0" w:color="AAAAAA"/>
              <w:left w:val="single" w:sz="1" w:space="0" w:color="AAAAAA"/>
              <w:bottom w:val="single" w:sz="1" w:space="0" w:color="AAAAAA"/>
              <w:right w:val="single" w:sz="1" w:space="0" w:color="AAAAAA"/>
            </w:tcBorders>
            <w:shd w:val="clear" w:color="auto" w:fill="1F4E79"/>
            <w:tcMar>
              <w:top w:w="100" w:type="dxa"/>
              <w:left w:w="120" w:type="dxa"/>
              <w:bottom w:w="100" w:type="dxa"/>
              <w:right w:w="120" w:type="dxa"/>
            </w:tcMar>
            <w:vAlign w:val="center"/>
          </w:tcPr>
          <w:p w14:paraId="73F869D7" w14:textId="77777777" w:rsidR="00053364" w:rsidRDefault="00053364" w:rsidP="00844373">
            <w:pPr>
              <w:jc w:val="center"/>
            </w:pPr>
            <w:r>
              <w:rPr>
                <w:rFonts w:eastAsia="Arial" w:cs="Arial"/>
                <w:b/>
                <w:bCs/>
                <w:color w:val="FFFFFF"/>
                <w:sz w:val="28"/>
                <w:szCs w:val="28"/>
              </w:rPr>
              <w:t>5</w:t>
            </w:r>
          </w:p>
        </w:tc>
        <w:tc>
          <w:tcPr>
            <w:tcW w:w="1843" w:type="dxa"/>
            <w:tcBorders>
              <w:top w:val="single" w:sz="1" w:space="0" w:color="AAAAAA"/>
              <w:left w:val="single" w:sz="1" w:space="0" w:color="AAAAAA"/>
              <w:bottom w:val="single" w:sz="1" w:space="0" w:color="AAAAAA"/>
              <w:right w:val="single" w:sz="1" w:space="0" w:color="AAAAAA"/>
            </w:tcBorders>
            <w:shd w:val="clear" w:color="auto" w:fill="2E75B6"/>
            <w:tcMar>
              <w:top w:w="100" w:type="dxa"/>
              <w:left w:w="120" w:type="dxa"/>
              <w:bottom w:w="100" w:type="dxa"/>
              <w:right w:w="120" w:type="dxa"/>
            </w:tcMar>
            <w:vAlign w:val="center"/>
          </w:tcPr>
          <w:p w14:paraId="1C014C14" w14:textId="77777777" w:rsidR="00053364" w:rsidRDefault="00053364" w:rsidP="00844373">
            <w:pPr>
              <w:jc w:val="center"/>
            </w:pPr>
            <w:r>
              <w:rPr>
                <w:rFonts w:eastAsia="Arial" w:cs="Arial"/>
                <w:b/>
                <w:bCs/>
                <w:color w:val="FFFFFF"/>
                <w:sz w:val="20"/>
                <w:szCs w:val="20"/>
              </w:rPr>
              <w:t xml:space="preserve">Alcalde / </w:t>
            </w:r>
            <w:proofErr w:type="gramStart"/>
            <w:r>
              <w:rPr>
                <w:rFonts w:eastAsia="Arial" w:cs="Arial"/>
                <w:b/>
                <w:bCs/>
                <w:color w:val="FFFFFF"/>
                <w:sz w:val="20"/>
                <w:szCs w:val="20"/>
              </w:rPr>
              <w:t>Alcalde</w:t>
            </w:r>
            <w:proofErr w:type="gramEnd"/>
            <w:r>
              <w:rPr>
                <w:rFonts w:eastAsia="Arial" w:cs="Arial"/>
                <w:b/>
                <w:bCs/>
                <w:color w:val="FFFFFF"/>
                <w:sz w:val="20"/>
                <w:szCs w:val="20"/>
              </w:rPr>
              <w:t xml:space="preserve"> encargado</w:t>
            </w:r>
          </w:p>
        </w:tc>
        <w:tc>
          <w:tcPr>
            <w:tcW w:w="3319" w:type="dxa"/>
            <w:tcBorders>
              <w:top w:val="single" w:sz="1" w:space="0" w:color="AAAAAA"/>
              <w:left w:val="single" w:sz="1" w:space="0" w:color="AAAAAA"/>
              <w:bottom w:val="single" w:sz="1" w:space="0" w:color="AAAAAA"/>
              <w:right w:val="single" w:sz="1" w:space="0" w:color="AAAAAA"/>
            </w:tcBorders>
            <w:shd w:val="clear" w:color="auto" w:fill="E8F0FB"/>
            <w:tcMar>
              <w:top w:w="100" w:type="dxa"/>
              <w:left w:w="120" w:type="dxa"/>
              <w:bottom w:w="100" w:type="dxa"/>
              <w:right w:w="120" w:type="dxa"/>
            </w:tcMar>
          </w:tcPr>
          <w:p w14:paraId="78D04F30" w14:textId="77777777" w:rsidR="00053364" w:rsidRDefault="00053364" w:rsidP="00844373">
            <w:r>
              <w:rPr>
                <w:rFonts w:eastAsia="Arial" w:cs="Arial"/>
                <w:color w:val="1F3864"/>
                <w:sz w:val="22"/>
              </w:rPr>
              <w:t>Firma el CDP como ordenador del gasto. Salida: CDP con firma completa y listo para uso.</w:t>
            </w:r>
          </w:p>
        </w:tc>
      </w:tr>
      <w:tr w:rsidR="00053364" w14:paraId="52271687" w14:textId="77777777" w:rsidTr="00053364">
        <w:trPr>
          <w:gridAfter w:val="2"/>
          <w:wAfter w:w="5162" w:type="dxa"/>
        </w:trPr>
        <w:tc>
          <w:tcPr>
            <w:tcW w:w="4198" w:type="dxa"/>
            <w:tcBorders>
              <w:top w:val="none" w:sz="0" w:space="0" w:color="FFFFFF"/>
              <w:left w:val="none" w:sz="0" w:space="0" w:color="FFFFFF"/>
              <w:bottom w:val="none" w:sz="0" w:space="0" w:color="FFFFFF"/>
              <w:right w:val="none" w:sz="0" w:space="0" w:color="FFFFFF"/>
            </w:tcBorders>
            <w:tcMar>
              <w:top w:w="40" w:type="dxa"/>
              <w:left w:w="0" w:type="dxa"/>
              <w:bottom w:w="0" w:type="dxa"/>
              <w:right w:w="0" w:type="dxa"/>
            </w:tcMar>
            <w:vAlign w:val="center"/>
          </w:tcPr>
          <w:p w14:paraId="06ED2167" w14:textId="77777777" w:rsidR="00053364" w:rsidRDefault="00053364" w:rsidP="00844373">
            <w:pPr>
              <w:jc w:val="center"/>
            </w:pPr>
            <w:r>
              <w:rPr>
                <w:rFonts w:eastAsia="Arial" w:cs="Arial"/>
                <w:color w:val="555555"/>
                <w:sz w:val="22"/>
              </w:rPr>
              <w:t>▼  Entrega al área solicitante</w:t>
            </w:r>
          </w:p>
        </w:tc>
      </w:tr>
      <w:tr w:rsidR="00053364" w14:paraId="1AB15288" w14:textId="77777777" w:rsidTr="00053364">
        <w:tc>
          <w:tcPr>
            <w:tcW w:w="4198" w:type="dxa"/>
            <w:tcBorders>
              <w:top w:val="single" w:sz="1" w:space="0" w:color="AAAAAA"/>
              <w:left w:val="single" w:sz="1" w:space="0" w:color="AAAAAA"/>
              <w:bottom w:val="single" w:sz="1" w:space="0" w:color="AAAAAA"/>
              <w:right w:val="single" w:sz="1" w:space="0" w:color="AAAAAA"/>
            </w:tcBorders>
            <w:shd w:val="clear" w:color="auto" w:fill="1F4E79"/>
            <w:tcMar>
              <w:top w:w="100" w:type="dxa"/>
              <w:left w:w="120" w:type="dxa"/>
              <w:bottom w:w="100" w:type="dxa"/>
              <w:right w:w="120" w:type="dxa"/>
            </w:tcMar>
            <w:vAlign w:val="center"/>
          </w:tcPr>
          <w:p w14:paraId="40981607" w14:textId="77777777" w:rsidR="00053364" w:rsidRDefault="00053364" w:rsidP="00844373">
            <w:pPr>
              <w:jc w:val="center"/>
            </w:pPr>
            <w:r>
              <w:rPr>
                <w:rFonts w:eastAsia="Arial" w:cs="Arial"/>
                <w:b/>
                <w:bCs/>
                <w:color w:val="FFFFFF"/>
                <w:sz w:val="28"/>
                <w:szCs w:val="28"/>
              </w:rPr>
              <w:t>6</w:t>
            </w:r>
          </w:p>
        </w:tc>
        <w:tc>
          <w:tcPr>
            <w:tcW w:w="1843" w:type="dxa"/>
            <w:tcBorders>
              <w:top w:val="single" w:sz="1" w:space="0" w:color="AAAAAA"/>
              <w:left w:val="single" w:sz="1" w:space="0" w:color="AAAAAA"/>
              <w:bottom w:val="single" w:sz="1" w:space="0" w:color="AAAAAA"/>
              <w:right w:val="single" w:sz="1" w:space="0" w:color="AAAAAA"/>
            </w:tcBorders>
            <w:shd w:val="clear" w:color="auto" w:fill="2E75B6"/>
            <w:tcMar>
              <w:top w:w="100" w:type="dxa"/>
              <w:left w:w="120" w:type="dxa"/>
              <w:bottom w:w="100" w:type="dxa"/>
              <w:right w:w="120" w:type="dxa"/>
            </w:tcMar>
            <w:vAlign w:val="center"/>
          </w:tcPr>
          <w:p w14:paraId="2591F458" w14:textId="77777777" w:rsidR="00053364" w:rsidRDefault="00053364" w:rsidP="00844373">
            <w:pPr>
              <w:jc w:val="center"/>
            </w:pPr>
            <w:r>
              <w:rPr>
                <w:rFonts w:eastAsia="Arial" w:cs="Arial"/>
                <w:b/>
                <w:bCs/>
                <w:color w:val="FFFFFF"/>
                <w:sz w:val="20"/>
                <w:szCs w:val="20"/>
              </w:rPr>
              <w:t>Área de Presupuesto (Entrega y archivo)</w:t>
            </w:r>
          </w:p>
        </w:tc>
        <w:tc>
          <w:tcPr>
            <w:tcW w:w="3319" w:type="dxa"/>
            <w:tcBorders>
              <w:top w:val="single" w:sz="1" w:space="0" w:color="AAAAAA"/>
              <w:left w:val="single" w:sz="1" w:space="0" w:color="AAAAAA"/>
              <w:bottom w:val="single" w:sz="1" w:space="0" w:color="AAAAAA"/>
              <w:right w:val="single" w:sz="1" w:space="0" w:color="AAAAAA"/>
            </w:tcBorders>
            <w:shd w:val="clear" w:color="auto" w:fill="D6E4F0"/>
            <w:tcMar>
              <w:top w:w="100" w:type="dxa"/>
              <w:left w:w="120" w:type="dxa"/>
              <w:bottom w:w="100" w:type="dxa"/>
              <w:right w:w="120" w:type="dxa"/>
            </w:tcMar>
          </w:tcPr>
          <w:p w14:paraId="6B5799BA" w14:textId="77777777" w:rsidR="00053364" w:rsidRDefault="00053364" w:rsidP="00844373">
            <w:r>
              <w:rPr>
                <w:rFonts w:eastAsia="Arial" w:cs="Arial"/>
                <w:color w:val="1F3864"/>
                <w:sz w:val="22"/>
              </w:rPr>
              <w:t>Entrega copia del CDP al área solicitante. Archiva original físico y carga soporte digital al repositorio. Salida: CDP archivado y registrado.</w:t>
            </w:r>
          </w:p>
        </w:tc>
      </w:tr>
      <w:tr w:rsidR="00053364" w14:paraId="706C220A" w14:textId="77777777" w:rsidTr="00053364">
        <w:trPr>
          <w:gridAfter w:val="2"/>
          <w:wAfter w:w="5162" w:type="dxa"/>
        </w:trPr>
        <w:tc>
          <w:tcPr>
            <w:tcW w:w="4198" w:type="dxa"/>
            <w:tcBorders>
              <w:top w:val="none" w:sz="0" w:space="0" w:color="FFFFFF"/>
              <w:left w:val="none" w:sz="0" w:space="0" w:color="FFFFFF"/>
              <w:bottom w:val="none" w:sz="0" w:space="0" w:color="FFFFFF"/>
              <w:right w:val="none" w:sz="0" w:space="0" w:color="FFFFFF"/>
            </w:tcBorders>
            <w:tcMar>
              <w:top w:w="40" w:type="dxa"/>
              <w:left w:w="0" w:type="dxa"/>
              <w:bottom w:w="0" w:type="dxa"/>
              <w:right w:w="0" w:type="dxa"/>
            </w:tcMar>
            <w:vAlign w:val="center"/>
          </w:tcPr>
          <w:p w14:paraId="1FB7FCDB" w14:textId="77777777" w:rsidR="00053364" w:rsidRDefault="00053364" w:rsidP="00844373">
            <w:pPr>
              <w:jc w:val="center"/>
            </w:pPr>
            <w:r>
              <w:rPr>
                <w:rFonts w:eastAsia="Arial" w:cs="Arial"/>
                <w:color w:val="555555"/>
                <w:sz w:val="22"/>
              </w:rPr>
              <w:t>▼  Una vez perfeccionado el compromiso (contrato u orden)</w:t>
            </w:r>
          </w:p>
        </w:tc>
      </w:tr>
      <w:tr w:rsidR="00053364" w14:paraId="2FF11892" w14:textId="77777777" w:rsidTr="00053364">
        <w:tc>
          <w:tcPr>
            <w:tcW w:w="4198" w:type="dxa"/>
            <w:tcBorders>
              <w:top w:val="single" w:sz="1" w:space="0" w:color="AAAAAA"/>
              <w:left w:val="single" w:sz="1" w:space="0" w:color="AAAAAA"/>
              <w:bottom w:val="single" w:sz="1" w:space="0" w:color="AAAAAA"/>
              <w:right w:val="single" w:sz="1" w:space="0" w:color="AAAAAA"/>
            </w:tcBorders>
            <w:shd w:val="clear" w:color="auto" w:fill="1F4E79"/>
            <w:tcMar>
              <w:top w:w="100" w:type="dxa"/>
              <w:left w:w="120" w:type="dxa"/>
              <w:bottom w:w="100" w:type="dxa"/>
              <w:right w:w="120" w:type="dxa"/>
            </w:tcMar>
            <w:vAlign w:val="center"/>
          </w:tcPr>
          <w:p w14:paraId="7F62DA95" w14:textId="77777777" w:rsidR="00053364" w:rsidRDefault="00053364" w:rsidP="00844373">
            <w:pPr>
              <w:jc w:val="center"/>
            </w:pPr>
            <w:r>
              <w:rPr>
                <w:rFonts w:eastAsia="Arial" w:cs="Arial"/>
                <w:b/>
                <w:bCs/>
                <w:color w:val="FFFFFF"/>
                <w:sz w:val="28"/>
                <w:szCs w:val="28"/>
              </w:rPr>
              <w:t>7</w:t>
            </w:r>
          </w:p>
        </w:tc>
        <w:tc>
          <w:tcPr>
            <w:tcW w:w="1843" w:type="dxa"/>
            <w:tcBorders>
              <w:top w:val="single" w:sz="1" w:space="0" w:color="AAAAAA"/>
              <w:left w:val="single" w:sz="1" w:space="0" w:color="AAAAAA"/>
              <w:bottom w:val="single" w:sz="1" w:space="0" w:color="AAAAAA"/>
              <w:right w:val="single" w:sz="1" w:space="0" w:color="AAAAAA"/>
            </w:tcBorders>
            <w:shd w:val="clear" w:color="auto" w:fill="2E75B6"/>
            <w:tcMar>
              <w:top w:w="100" w:type="dxa"/>
              <w:left w:w="120" w:type="dxa"/>
              <w:bottom w:w="100" w:type="dxa"/>
              <w:right w:w="120" w:type="dxa"/>
            </w:tcMar>
            <w:vAlign w:val="center"/>
          </w:tcPr>
          <w:p w14:paraId="0E687733" w14:textId="77777777" w:rsidR="00053364" w:rsidRDefault="00053364" w:rsidP="00844373">
            <w:pPr>
              <w:jc w:val="center"/>
            </w:pPr>
            <w:r>
              <w:rPr>
                <w:rFonts w:eastAsia="Arial" w:cs="Arial"/>
                <w:b/>
                <w:bCs/>
                <w:color w:val="FFFFFF"/>
                <w:sz w:val="20"/>
                <w:szCs w:val="20"/>
              </w:rPr>
              <w:t>Área solicitante</w:t>
            </w:r>
          </w:p>
        </w:tc>
        <w:tc>
          <w:tcPr>
            <w:tcW w:w="3319" w:type="dxa"/>
            <w:tcBorders>
              <w:top w:val="single" w:sz="1" w:space="0" w:color="AAAAAA"/>
              <w:left w:val="single" w:sz="1" w:space="0" w:color="AAAAAA"/>
              <w:bottom w:val="single" w:sz="1" w:space="0" w:color="AAAAAA"/>
              <w:right w:val="single" w:sz="1" w:space="0" w:color="AAAAAA"/>
            </w:tcBorders>
            <w:shd w:val="clear" w:color="auto" w:fill="E8F0FB"/>
            <w:tcMar>
              <w:top w:w="100" w:type="dxa"/>
              <w:left w:w="120" w:type="dxa"/>
              <w:bottom w:w="100" w:type="dxa"/>
              <w:right w:w="120" w:type="dxa"/>
            </w:tcMar>
          </w:tcPr>
          <w:p w14:paraId="58B196C0" w14:textId="77777777" w:rsidR="00053364" w:rsidRDefault="00053364" w:rsidP="00844373">
            <w:r>
              <w:rPr>
                <w:rFonts w:eastAsia="Arial" w:cs="Arial"/>
                <w:color w:val="1F3864"/>
                <w:sz w:val="22"/>
              </w:rPr>
              <w:t>Remite el contrato u orden de servicio firmado al área de Presupuesto para tramitar el RP.</w:t>
            </w:r>
          </w:p>
        </w:tc>
      </w:tr>
      <w:tr w:rsidR="00053364" w14:paraId="27388CC3" w14:textId="77777777" w:rsidTr="00053364">
        <w:trPr>
          <w:gridAfter w:val="2"/>
          <w:wAfter w:w="5162" w:type="dxa"/>
        </w:trPr>
        <w:tc>
          <w:tcPr>
            <w:tcW w:w="4198" w:type="dxa"/>
            <w:tcBorders>
              <w:top w:val="none" w:sz="0" w:space="0" w:color="FFFFFF"/>
              <w:left w:val="none" w:sz="0" w:space="0" w:color="FFFFFF"/>
              <w:bottom w:val="none" w:sz="0" w:space="0" w:color="FFFFFF"/>
              <w:right w:val="none" w:sz="0" w:space="0" w:color="FFFFFF"/>
            </w:tcBorders>
            <w:tcMar>
              <w:top w:w="40" w:type="dxa"/>
              <w:left w:w="0" w:type="dxa"/>
              <w:bottom w:w="0" w:type="dxa"/>
              <w:right w:w="0" w:type="dxa"/>
            </w:tcMar>
            <w:vAlign w:val="center"/>
          </w:tcPr>
          <w:p w14:paraId="4F486431" w14:textId="77777777" w:rsidR="00053364" w:rsidRDefault="00053364" w:rsidP="00844373">
            <w:pPr>
              <w:jc w:val="center"/>
            </w:pPr>
            <w:r>
              <w:rPr>
                <w:rFonts w:eastAsia="Arial" w:cs="Arial"/>
                <w:color w:val="555555"/>
                <w:sz w:val="22"/>
              </w:rPr>
              <w:t>▼  Inicio del trámite del Registro Presupuestal (RP)</w:t>
            </w:r>
          </w:p>
        </w:tc>
      </w:tr>
      <w:tr w:rsidR="00053364" w14:paraId="3F6E51A5" w14:textId="77777777" w:rsidTr="00053364">
        <w:tc>
          <w:tcPr>
            <w:tcW w:w="4198" w:type="dxa"/>
            <w:tcBorders>
              <w:top w:val="single" w:sz="1" w:space="0" w:color="AAAAAA"/>
              <w:left w:val="single" w:sz="1" w:space="0" w:color="AAAAAA"/>
              <w:bottom w:val="single" w:sz="1" w:space="0" w:color="AAAAAA"/>
              <w:right w:val="single" w:sz="1" w:space="0" w:color="AAAAAA"/>
            </w:tcBorders>
            <w:shd w:val="clear" w:color="auto" w:fill="1F4E79"/>
            <w:tcMar>
              <w:top w:w="100" w:type="dxa"/>
              <w:left w:w="120" w:type="dxa"/>
              <w:bottom w:w="100" w:type="dxa"/>
              <w:right w:w="120" w:type="dxa"/>
            </w:tcMar>
            <w:vAlign w:val="center"/>
          </w:tcPr>
          <w:p w14:paraId="3F7CC9F7" w14:textId="77777777" w:rsidR="00053364" w:rsidRDefault="00053364" w:rsidP="00844373">
            <w:pPr>
              <w:jc w:val="center"/>
            </w:pPr>
            <w:r>
              <w:rPr>
                <w:rFonts w:eastAsia="Arial" w:cs="Arial"/>
                <w:b/>
                <w:bCs/>
                <w:color w:val="FFFFFF"/>
                <w:sz w:val="28"/>
                <w:szCs w:val="28"/>
              </w:rPr>
              <w:t>8</w:t>
            </w:r>
          </w:p>
        </w:tc>
        <w:tc>
          <w:tcPr>
            <w:tcW w:w="1843" w:type="dxa"/>
            <w:tcBorders>
              <w:top w:val="single" w:sz="1" w:space="0" w:color="AAAAAA"/>
              <w:left w:val="single" w:sz="1" w:space="0" w:color="AAAAAA"/>
              <w:bottom w:val="single" w:sz="1" w:space="0" w:color="AAAAAA"/>
              <w:right w:val="single" w:sz="1" w:space="0" w:color="AAAAAA"/>
            </w:tcBorders>
            <w:shd w:val="clear" w:color="auto" w:fill="2E75B6"/>
            <w:tcMar>
              <w:top w:w="100" w:type="dxa"/>
              <w:left w:w="120" w:type="dxa"/>
              <w:bottom w:w="100" w:type="dxa"/>
              <w:right w:w="120" w:type="dxa"/>
            </w:tcMar>
            <w:vAlign w:val="center"/>
          </w:tcPr>
          <w:p w14:paraId="315CDA41" w14:textId="77777777" w:rsidR="00053364" w:rsidRDefault="00053364" w:rsidP="00844373">
            <w:pPr>
              <w:jc w:val="center"/>
            </w:pPr>
            <w:r>
              <w:rPr>
                <w:rFonts w:eastAsia="Arial" w:cs="Arial"/>
                <w:b/>
                <w:bCs/>
                <w:color w:val="FFFFFF"/>
                <w:sz w:val="20"/>
                <w:szCs w:val="20"/>
              </w:rPr>
              <w:t>Profesional de Presupuesto</w:t>
            </w:r>
          </w:p>
        </w:tc>
        <w:tc>
          <w:tcPr>
            <w:tcW w:w="3319" w:type="dxa"/>
            <w:tcBorders>
              <w:top w:val="single" w:sz="1" w:space="0" w:color="AAAAAA"/>
              <w:left w:val="single" w:sz="1" w:space="0" w:color="AAAAAA"/>
              <w:bottom w:val="single" w:sz="1" w:space="0" w:color="AAAAAA"/>
              <w:right w:val="single" w:sz="1" w:space="0" w:color="AAAAAA"/>
            </w:tcBorders>
            <w:shd w:val="clear" w:color="auto" w:fill="D6E4F0"/>
            <w:tcMar>
              <w:top w:w="100" w:type="dxa"/>
              <w:left w:w="120" w:type="dxa"/>
              <w:bottom w:w="100" w:type="dxa"/>
              <w:right w:w="120" w:type="dxa"/>
            </w:tcMar>
          </w:tcPr>
          <w:p w14:paraId="522DBB11" w14:textId="77777777" w:rsidR="00053364" w:rsidRDefault="00053364" w:rsidP="00844373">
            <w:r>
              <w:rPr>
                <w:rFonts w:eastAsia="Arial" w:cs="Arial"/>
                <w:color w:val="1F3864"/>
                <w:sz w:val="22"/>
              </w:rPr>
              <w:t>Expide el RP en Suite Neptuno vinculando el CDP correspondiente. Imprime y firma. Salida: RP generado y firmado.</w:t>
            </w:r>
          </w:p>
        </w:tc>
      </w:tr>
      <w:tr w:rsidR="00053364" w14:paraId="37D4A3EF" w14:textId="77777777" w:rsidTr="00053364">
        <w:trPr>
          <w:gridAfter w:val="2"/>
          <w:wAfter w:w="5162" w:type="dxa"/>
        </w:trPr>
        <w:tc>
          <w:tcPr>
            <w:tcW w:w="4198" w:type="dxa"/>
            <w:tcBorders>
              <w:top w:val="none" w:sz="0" w:space="0" w:color="FFFFFF"/>
              <w:left w:val="none" w:sz="0" w:space="0" w:color="FFFFFF"/>
              <w:bottom w:val="none" w:sz="0" w:space="0" w:color="FFFFFF"/>
              <w:right w:val="none" w:sz="0" w:space="0" w:color="FFFFFF"/>
            </w:tcBorders>
            <w:tcMar>
              <w:top w:w="40" w:type="dxa"/>
              <w:left w:w="0" w:type="dxa"/>
              <w:bottom w:w="0" w:type="dxa"/>
              <w:right w:w="0" w:type="dxa"/>
            </w:tcMar>
            <w:vAlign w:val="center"/>
          </w:tcPr>
          <w:p w14:paraId="063EF1F3" w14:textId="77777777" w:rsidR="00053364" w:rsidRDefault="00053364" w:rsidP="00844373">
            <w:pPr>
              <w:jc w:val="center"/>
            </w:pPr>
            <w:r>
              <w:rPr>
                <w:rFonts w:eastAsia="Arial" w:cs="Arial"/>
                <w:color w:val="555555"/>
                <w:sz w:val="22"/>
              </w:rPr>
              <w:lastRenderedPageBreak/>
              <w:t>▼  Traslado para aprobación</w:t>
            </w:r>
          </w:p>
        </w:tc>
      </w:tr>
      <w:tr w:rsidR="00053364" w14:paraId="3B208E6D" w14:textId="77777777" w:rsidTr="00053364">
        <w:tc>
          <w:tcPr>
            <w:tcW w:w="4198" w:type="dxa"/>
            <w:tcBorders>
              <w:top w:val="single" w:sz="1" w:space="0" w:color="AAAAAA"/>
              <w:left w:val="single" w:sz="1" w:space="0" w:color="AAAAAA"/>
              <w:bottom w:val="single" w:sz="1" w:space="0" w:color="AAAAAA"/>
              <w:right w:val="single" w:sz="1" w:space="0" w:color="AAAAAA"/>
            </w:tcBorders>
            <w:shd w:val="clear" w:color="auto" w:fill="1F4E79"/>
            <w:tcMar>
              <w:top w:w="100" w:type="dxa"/>
              <w:left w:w="120" w:type="dxa"/>
              <w:bottom w:w="100" w:type="dxa"/>
              <w:right w:w="120" w:type="dxa"/>
            </w:tcMar>
            <w:vAlign w:val="center"/>
          </w:tcPr>
          <w:p w14:paraId="73A1EB8D" w14:textId="77777777" w:rsidR="00053364" w:rsidRDefault="00053364" w:rsidP="00844373">
            <w:pPr>
              <w:jc w:val="center"/>
            </w:pPr>
            <w:r>
              <w:rPr>
                <w:rFonts w:eastAsia="Arial" w:cs="Arial"/>
                <w:b/>
                <w:bCs/>
                <w:color w:val="FFFFFF"/>
                <w:sz w:val="28"/>
                <w:szCs w:val="28"/>
              </w:rPr>
              <w:t>9</w:t>
            </w:r>
          </w:p>
        </w:tc>
        <w:tc>
          <w:tcPr>
            <w:tcW w:w="1843" w:type="dxa"/>
            <w:tcBorders>
              <w:top w:val="single" w:sz="1" w:space="0" w:color="AAAAAA"/>
              <w:left w:val="single" w:sz="1" w:space="0" w:color="AAAAAA"/>
              <w:bottom w:val="single" w:sz="1" w:space="0" w:color="AAAAAA"/>
              <w:right w:val="single" w:sz="1" w:space="0" w:color="AAAAAA"/>
            </w:tcBorders>
            <w:shd w:val="clear" w:color="auto" w:fill="2E75B6"/>
            <w:tcMar>
              <w:top w:w="100" w:type="dxa"/>
              <w:left w:w="120" w:type="dxa"/>
              <w:bottom w:w="100" w:type="dxa"/>
              <w:right w:w="120" w:type="dxa"/>
            </w:tcMar>
            <w:vAlign w:val="center"/>
          </w:tcPr>
          <w:p w14:paraId="25D6775C" w14:textId="77777777" w:rsidR="00053364" w:rsidRDefault="00053364" w:rsidP="00844373">
            <w:pPr>
              <w:jc w:val="center"/>
            </w:pPr>
            <w:r>
              <w:rPr>
                <w:rFonts w:eastAsia="Arial" w:cs="Arial"/>
                <w:b/>
                <w:bCs/>
                <w:color w:val="FFFFFF"/>
                <w:sz w:val="20"/>
                <w:szCs w:val="20"/>
              </w:rPr>
              <w:t xml:space="preserve">Secretario de Hacienda + </w:t>
            </w:r>
            <w:proofErr w:type="gramStart"/>
            <w:r>
              <w:rPr>
                <w:rFonts w:eastAsia="Arial" w:cs="Arial"/>
                <w:b/>
                <w:bCs/>
                <w:color w:val="FFFFFF"/>
                <w:sz w:val="20"/>
                <w:szCs w:val="20"/>
              </w:rPr>
              <w:t>Alcalde</w:t>
            </w:r>
            <w:proofErr w:type="gramEnd"/>
            <w:r>
              <w:rPr>
                <w:rFonts w:eastAsia="Arial" w:cs="Arial"/>
                <w:b/>
                <w:bCs/>
                <w:color w:val="FFFFFF"/>
                <w:sz w:val="20"/>
                <w:szCs w:val="20"/>
              </w:rPr>
              <w:t xml:space="preserve"> encargado</w:t>
            </w:r>
          </w:p>
        </w:tc>
        <w:tc>
          <w:tcPr>
            <w:tcW w:w="3319" w:type="dxa"/>
            <w:tcBorders>
              <w:top w:val="single" w:sz="1" w:space="0" w:color="AAAAAA"/>
              <w:left w:val="single" w:sz="1" w:space="0" w:color="AAAAAA"/>
              <w:bottom w:val="single" w:sz="1" w:space="0" w:color="AAAAAA"/>
              <w:right w:val="single" w:sz="1" w:space="0" w:color="AAAAAA"/>
            </w:tcBorders>
            <w:shd w:val="clear" w:color="auto" w:fill="E8F0FB"/>
            <w:tcMar>
              <w:top w:w="100" w:type="dxa"/>
              <w:left w:w="120" w:type="dxa"/>
              <w:bottom w:w="100" w:type="dxa"/>
              <w:right w:w="120" w:type="dxa"/>
            </w:tcMar>
          </w:tcPr>
          <w:p w14:paraId="2FADD712" w14:textId="77777777" w:rsidR="00053364" w:rsidRDefault="00053364" w:rsidP="00844373">
            <w:r>
              <w:rPr>
                <w:rFonts w:eastAsia="Arial" w:cs="Arial"/>
                <w:color w:val="1F3864"/>
                <w:sz w:val="22"/>
              </w:rPr>
              <w:t>Firman el RP. Salida: RP con cadena de firmas completa.</w:t>
            </w:r>
          </w:p>
        </w:tc>
      </w:tr>
      <w:tr w:rsidR="00053364" w14:paraId="32D1D772" w14:textId="77777777" w:rsidTr="00053364">
        <w:trPr>
          <w:gridAfter w:val="2"/>
          <w:wAfter w:w="5162" w:type="dxa"/>
        </w:trPr>
        <w:tc>
          <w:tcPr>
            <w:tcW w:w="4198" w:type="dxa"/>
            <w:tcBorders>
              <w:top w:val="none" w:sz="0" w:space="0" w:color="FFFFFF"/>
              <w:left w:val="none" w:sz="0" w:space="0" w:color="FFFFFF"/>
              <w:bottom w:val="none" w:sz="0" w:space="0" w:color="FFFFFF"/>
              <w:right w:val="none" w:sz="0" w:space="0" w:color="FFFFFF"/>
            </w:tcBorders>
            <w:tcMar>
              <w:top w:w="40" w:type="dxa"/>
              <w:left w:w="0" w:type="dxa"/>
              <w:bottom w:w="0" w:type="dxa"/>
              <w:right w:w="0" w:type="dxa"/>
            </w:tcMar>
            <w:vAlign w:val="center"/>
          </w:tcPr>
          <w:p w14:paraId="6B04D0F9" w14:textId="77777777" w:rsidR="00053364" w:rsidRDefault="00053364" w:rsidP="00844373">
            <w:pPr>
              <w:jc w:val="center"/>
            </w:pPr>
            <w:r>
              <w:rPr>
                <w:rFonts w:eastAsia="Arial" w:cs="Arial"/>
                <w:color w:val="555555"/>
                <w:sz w:val="22"/>
              </w:rPr>
              <w:t>▼  Cierre del proceso</w:t>
            </w:r>
          </w:p>
        </w:tc>
      </w:tr>
      <w:tr w:rsidR="00053364" w14:paraId="21693D49" w14:textId="77777777" w:rsidTr="00053364">
        <w:tc>
          <w:tcPr>
            <w:tcW w:w="4198" w:type="dxa"/>
            <w:tcBorders>
              <w:top w:val="single" w:sz="1" w:space="0" w:color="AAAAAA"/>
              <w:left w:val="single" w:sz="1" w:space="0" w:color="AAAAAA"/>
              <w:bottom w:val="single" w:sz="1" w:space="0" w:color="AAAAAA"/>
              <w:right w:val="single" w:sz="1" w:space="0" w:color="AAAAAA"/>
            </w:tcBorders>
            <w:shd w:val="clear" w:color="auto" w:fill="1F4E79"/>
            <w:tcMar>
              <w:top w:w="100" w:type="dxa"/>
              <w:left w:w="120" w:type="dxa"/>
              <w:bottom w:w="100" w:type="dxa"/>
              <w:right w:w="120" w:type="dxa"/>
            </w:tcMar>
            <w:vAlign w:val="center"/>
          </w:tcPr>
          <w:p w14:paraId="3742F4F9" w14:textId="77777777" w:rsidR="00053364" w:rsidRDefault="00053364" w:rsidP="00053364">
            <w:pPr>
              <w:jc w:val="center"/>
            </w:pPr>
            <w:r>
              <w:rPr>
                <w:rFonts w:eastAsia="Arial" w:cs="Arial"/>
                <w:b/>
                <w:bCs/>
                <w:color w:val="FFFFFF"/>
                <w:sz w:val="28"/>
                <w:szCs w:val="28"/>
              </w:rPr>
              <w:t>10</w:t>
            </w:r>
          </w:p>
        </w:tc>
        <w:tc>
          <w:tcPr>
            <w:tcW w:w="1843" w:type="dxa"/>
            <w:tcBorders>
              <w:top w:val="single" w:sz="1" w:space="0" w:color="AAAAAA"/>
              <w:left w:val="single" w:sz="1" w:space="0" w:color="AAAAAA"/>
              <w:bottom w:val="single" w:sz="1" w:space="0" w:color="AAAAAA"/>
              <w:right w:val="single" w:sz="1" w:space="0" w:color="AAAAAA"/>
            </w:tcBorders>
            <w:shd w:val="clear" w:color="auto" w:fill="2E75B6"/>
            <w:tcMar>
              <w:top w:w="100" w:type="dxa"/>
              <w:left w:w="120" w:type="dxa"/>
              <w:bottom w:w="100" w:type="dxa"/>
              <w:right w:w="120" w:type="dxa"/>
            </w:tcMar>
            <w:vAlign w:val="center"/>
          </w:tcPr>
          <w:p w14:paraId="1EBCD604" w14:textId="77777777" w:rsidR="00053364" w:rsidRDefault="00053364" w:rsidP="00053364">
            <w:pPr>
              <w:jc w:val="center"/>
            </w:pPr>
            <w:r>
              <w:rPr>
                <w:rFonts w:eastAsia="Arial" w:cs="Arial"/>
                <w:b/>
                <w:bCs/>
                <w:color w:val="FFFFFF"/>
                <w:sz w:val="20"/>
                <w:szCs w:val="20"/>
              </w:rPr>
              <w:t>Área de Presupuesto (Cierre)</w:t>
            </w:r>
          </w:p>
        </w:tc>
        <w:tc>
          <w:tcPr>
            <w:tcW w:w="3319" w:type="dxa"/>
            <w:tcBorders>
              <w:top w:val="single" w:sz="1" w:space="0" w:color="AAAAAA"/>
              <w:left w:val="single" w:sz="1" w:space="0" w:color="AAAAAA"/>
              <w:bottom w:val="single" w:sz="1" w:space="0" w:color="AAAAAA"/>
              <w:right w:val="single" w:sz="1" w:space="0" w:color="AAAAAA"/>
            </w:tcBorders>
            <w:shd w:val="clear" w:color="auto" w:fill="D6E4F0"/>
            <w:tcMar>
              <w:top w:w="100" w:type="dxa"/>
              <w:left w:w="120" w:type="dxa"/>
              <w:bottom w:w="100" w:type="dxa"/>
              <w:right w:w="120" w:type="dxa"/>
            </w:tcMar>
          </w:tcPr>
          <w:p w14:paraId="4D6B1DF6" w14:textId="77777777" w:rsidR="00053364" w:rsidRDefault="00053364" w:rsidP="00053364">
            <w:r>
              <w:rPr>
                <w:rFonts w:eastAsia="Arial" w:cs="Arial"/>
                <w:color w:val="1F3864"/>
                <w:sz w:val="22"/>
              </w:rPr>
              <w:t>Entrega RP al área solicitante. Registra fecha, número de CDP, número de RP y beneficiario en la planilla de trazabilidad. Actualiza el saldo del rubro en el control de ejecución.</w:t>
            </w:r>
          </w:p>
        </w:tc>
      </w:tr>
    </w:tbl>
    <w:p w14:paraId="14D02C1A" w14:textId="55DD4284" w:rsidR="00053364" w:rsidRDefault="00053364" w:rsidP="00053364">
      <w:pPr>
        <w:spacing w:line="480" w:lineRule="auto"/>
      </w:pPr>
      <w:r w:rsidRPr="00053364">
        <w:rPr>
          <w:b/>
          <w:bCs/>
        </w:rPr>
        <w:t>Fuente</w:t>
      </w:r>
      <w:r>
        <w:t xml:space="preserve">: elaboración propia con base en la observación directa del proceso durante la práctica profesional (2026). </w:t>
      </w:r>
      <w:r w:rsidRPr="00053364">
        <w:rPr>
          <w:b/>
          <w:bCs/>
        </w:rPr>
        <w:t>Nota</w:t>
      </w:r>
      <w:r>
        <w:t>: el proceso completo requiere 1 a 3 días hábiles dependiendo de la disponibilidad de los ordenadores del gasto. La firma del alcalde encargado y del secretario de hacienda constituye el principal cuello de botella identificado en el diagnóstico operativo del área.</w:t>
      </w:r>
    </w:p>
    <w:p w14:paraId="33327FC3" w14:textId="77777777" w:rsidR="00053364" w:rsidRDefault="00053364" w:rsidP="00053364">
      <w:pPr>
        <w:spacing w:line="480" w:lineRule="auto"/>
      </w:pPr>
    </w:p>
    <w:p w14:paraId="740E1FAC" w14:textId="77777777" w:rsidR="00053364" w:rsidRDefault="00053364" w:rsidP="00053364">
      <w:pPr>
        <w:spacing w:line="480" w:lineRule="auto"/>
      </w:pPr>
    </w:p>
    <w:p w14:paraId="65A341CE" w14:textId="77777777" w:rsidR="00053364" w:rsidRDefault="00053364" w:rsidP="00053364">
      <w:pPr>
        <w:spacing w:line="480" w:lineRule="auto"/>
      </w:pPr>
    </w:p>
    <w:p w14:paraId="0548F19D" w14:textId="77777777" w:rsidR="00053364" w:rsidRDefault="00053364" w:rsidP="00053364">
      <w:pPr>
        <w:spacing w:line="480" w:lineRule="auto"/>
      </w:pPr>
    </w:p>
    <w:p w14:paraId="2E9D9471" w14:textId="77777777" w:rsidR="00053364" w:rsidRDefault="00053364" w:rsidP="00053364">
      <w:pPr>
        <w:spacing w:line="480" w:lineRule="auto"/>
      </w:pPr>
    </w:p>
    <w:p w14:paraId="0731C418" w14:textId="77777777" w:rsidR="00053364" w:rsidRDefault="00053364" w:rsidP="00053364">
      <w:pPr>
        <w:spacing w:before="120" w:after="60"/>
        <w:jc w:val="center"/>
        <w:rPr>
          <w:rFonts w:eastAsia="Arial" w:cs="Arial"/>
          <w:b/>
          <w:bCs/>
          <w:szCs w:val="24"/>
        </w:rPr>
      </w:pPr>
      <w:r w:rsidRPr="00053364">
        <w:rPr>
          <w:rFonts w:eastAsia="Arial" w:cs="Arial"/>
          <w:b/>
          <w:bCs/>
          <w:szCs w:val="24"/>
        </w:rPr>
        <w:lastRenderedPageBreak/>
        <w:t>ANEXO B</w:t>
      </w:r>
    </w:p>
    <w:p w14:paraId="34503E0D" w14:textId="7A4A15C3" w:rsidR="00053364" w:rsidRPr="00053364" w:rsidRDefault="00053364" w:rsidP="00053364">
      <w:pPr>
        <w:spacing w:before="120" w:after="480"/>
        <w:jc w:val="center"/>
        <w:rPr>
          <w:rFonts w:cs="Arial"/>
          <w:szCs w:val="24"/>
        </w:rPr>
      </w:pPr>
      <w:r w:rsidRPr="00053364">
        <w:rPr>
          <w:rFonts w:eastAsia="Arial" w:cs="Arial"/>
          <w:b/>
          <w:bCs/>
          <w:szCs w:val="24"/>
        </w:rPr>
        <w:t>Dashboard de indicadores financieros — Vigencia 2025</w:t>
      </w:r>
    </w:p>
    <w:p w14:paraId="1D566AA9" w14:textId="77777777" w:rsidR="00053364" w:rsidRDefault="00053364" w:rsidP="00053364">
      <w:pPr>
        <w:spacing w:before="80" w:after="60"/>
      </w:pPr>
    </w:p>
    <w:p w14:paraId="25BF30B4" w14:textId="62CBB830" w:rsidR="00053364" w:rsidRPr="00053364" w:rsidRDefault="00053364" w:rsidP="00053364">
      <w:pPr>
        <w:pStyle w:val="Descripcin"/>
        <w:keepNext/>
        <w:rPr>
          <w:rFonts w:ascii="Arial" w:hAnsi="Arial" w:cs="Arial"/>
          <w:i w:val="0"/>
          <w:iCs w:val="0"/>
          <w:sz w:val="24"/>
          <w:szCs w:val="24"/>
        </w:rPr>
      </w:pPr>
      <w:bookmarkStart w:id="99" w:name="_Toc231741499"/>
      <w:r w:rsidRPr="00053364">
        <w:rPr>
          <w:rFonts w:ascii="Arial" w:hAnsi="Arial" w:cs="Arial"/>
          <w:b/>
          <w:bCs/>
          <w:i w:val="0"/>
          <w:iCs w:val="0"/>
          <w:sz w:val="24"/>
          <w:szCs w:val="24"/>
        </w:rPr>
        <w:t xml:space="preserve">Anexo </w:t>
      </w:r>
      <w:r w:rsidRPr="00053364">
        <w:rPr>
          <w:rFonts w:ascii="Arial" w:hAnsi="Arial" w:cs="Arial"/>
          <w:b/>
          <w:bCs/>
          <w:i w:val="0"/>
          <w:iCs w:val="0"/>
          <w:sz w:val="24"/>
          <w:szCs w:val="24"/>
        </w:rPr>
        <w:fldChar w:fldCharType="begin"/>
      </w:r>
      <w:r w:rsidRPr="00053364">
        <w:rPr>
          <w:rFonts w:ascii="Arial" w:hAnsi="Arial" w:cs="Arial"/>
          <w:b/>
          <w:bCs/>
          <w:i w:val="0"/>
          <w:iCs w:val="0"/>
          <w:sz w:val="24"/>
          <w:szCs w:val="24"/>
        </w:rPr>
        <w:instrText xml:space="preserve"> SEQ Anexo \* ARABIC </w:instrText>
      </w:r>
      <w:r w:rsidRPr="00053364">
        <w:rPr>
          <w:rFonts w:ascii="Arial" w:hAnsi="Arial" w:cs="Arial"/>
          <w:b/>
          <w:bCs/>
          <w:i w:val="0"/>
          <w:iCs w:val="0"/>
          <w:sz w:val="24"/>
          <w:szCs w:val="24"/>
        </w:rPr>
        <w:fldChar w:fldCharType="separate"/>
      </w:r>
      <w:r>
        <w:rPr>
          <w:rFonts w:ascii="Arial" w:hAnsi="Arial" w:cs="Arial"/>
          <w:b/>
          <w:bCs/>
          <w:i w:val="0"/>
          <w:iCs w:val="0"/>
          <w:noProof/>
          <w:sz w:val="24"/>
          <w:szCs w:val="24"/>
        </w:rPr>
        <w:t>2</w:t>
      </w:r>
      <w:r w:rsidRPr="00053364">
        <w:rPr>
          <w:rFonts w:ascii="Arial" w:hAnsi="Arial" w:cs="Arial"/>
          <w:b/>
          <w:bCs/>
          <w:i w:val="0"/>
          <w:iCs w:val="0"/>
          <w:sz w:val="24"/>
          <w:szCs w:val="24"/>
        </w:rPr>
        <w:fldChar w:fldCharType="end"/>
      </w:r>
      <w:r w:rsidRPr="00053364">
        <w:rPr>
          <w:rFonts w:ascii="Arial" w:hAnsi="Arial" w:cs="Arial"/>
          <w:i w:val="0"/>
          <w:iCs w:val="0"/>
          <w:sz w:val="24"/>
          <w:szCs w:val="24"/>
        </w:rPr>
        <w:t>. Bloque 1 del Dashboard, Ejecución presupuestal</w:t>
      </w:r>
      <w:bookmarkEnd w:id="99"/>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200"/>
        <w:gridCol w:w="2000"/>
        <w:gridCol w:w="2000"/>
        <w:gridCol w:w="2160"/>
      </w:tblGrid>
      <w:tr w:rsidR="00053364" w14:paraId="64DBA5D8" w14:textId="77777777" w:rsidTr="00053364">
        <w:tc>
          <w:tcPr>
            <w:tcW w:w="3200" w:type="dxa"/>
            <w:tcBorders>
              <w:top w:val="single" w:sz="1" w:space="0" w:color="AAAAAA"/>
              <w:left w:val="single" w:sz="1" w:space="0" w:color="AAAAAA"/>
              <w:bottom w:val="single" w:sz="1" w:space="0" w:color="AAAAAA"/>
              <w:right w:val="single" w:sz="1" w:space="0" w:color="AAAAAA"/>
            </w:tcBorders>
            <w:shd w:val="clear" w:color="auto" w:fill="DAE9F7" w:themeFill="text2" w:themeFillTint="1A"/>
            <w:tcMar>
              <w:top w:w="80" w:type="dxa"/>
              <w:left w:w="120" w:type="dxa"/>
              <w:bottom w:w="80" w:type="dxa"/>
              <w:right w:w="120" w:type="dxa"/>
            </w:tcMar>
          </w:tcPr>
          <w:p w14:paraId="17469443" w14:textId="77777777" w:rsidR="00053364" w:rsidRPr="00053364" w:rsidRDefault="00053364" w:rsidP="00844373">
            <w:pPr>
              <w:jc w:val="center"/>
            </w:pPr>
            <w:r w:rsidRPr="00053364">
              <w:rPr>
                <w:rFonts w:eastAsia="Arial" w:cs="Arial"/>
                <w:b/>
                <w:bCs/>
                <w:sz w:val="20"/>
                <w:szCs w:val="20"/>
              </w:rPr>
              <w:t>Indicador</w:t>
            </w:r>
          </w:p>
        </w:tc>
        <w:tc>
          <w:tcPr>
            <w:tcW w:w="2000" w:type="dxa"/>
            <w:tcBorders>
              <w:top w:val="single" w:sz="1" w:space="0" w:color="AAAAAA"/>
              <w:left w:val="single" w:sz="1" w:space="0" w:color="AAAAAA"/>
              <w:bottom w:val="single" w:sz="1" w:space="0" w:color="AAAAAA"/>
              <w:right w:val="single" w:sz="1" w:space="0" w:color="AAAAAA"/>
            </w:tcBorders>
            <w:shd w:val="clear" w:color="auto" w:fill="DAE9F7" w:themeFill="text2" w:themeFillTint="1A"/>
            <w:tcMar>
              <w:top w:w="80" w:type="dxa"/>
              <w:left w:w="120" w:type="dxa"/>
              <w:bottom w:w="80" w:type="dxa"/>
              <w:right w:w="120" w:type="dxa"/>
            </w:tcMar>
          </w:tcPr>
          <w:p w14:paraId="09B29108" w14:textId="77777777" w:rsidR="00053364" w:rsidRPr="00053364" w:rsidRDefault="00053364" w:rsidP="00844373">
            <w:pPr>
              <w:jc w:val="center"/>
            </w:pPr>
            <w:r w:rsidRPr="00053364">
              <w:rPr>
                <w:rFonts w:eastAsia="Arial" w:cs="Arial"/>
                <w:b/>
                <w:bCs/>
                <w:sz w:val="20"/>
                <w:szCs w:val="20"/>
              </w:rPr>
              <w:t>Valor 2025</w:t>
            </w:r>
          </w:p>
        </w:tc>
        <w:tc>
          <w:tcPr>
            <w:tcW w:w="2000" w:type="dxa"/>
            <w:tcBorders>
              <w:top w:val="single" w:sz="1" w:space="0" w:color="AAAAAA"/>
              <w:left w:val="single" w:sz="1" w:space="0" w:color="AAAAAA"/>
              <w:bottom w:val="single" w:sz="1" w:space="0" w:color="AAAAAA"/>
              <w:right w:val="single" w:sz="1" w:space="0" w:color="AAAAAA"/>
            </w:tcBorders>
            <w:shd w:val="clear" w:color="auto" w:fill="DAE9F7" w:themeFill="text2" w:themeFillTint="1A"/>
            <w:tcMar>
              <w:top w:w="80" w:type="dxa"/>
              <w:left w:w="120" w:type="dxa"/>
              <w:bottom w:w="80" w:type="dxa"/>
              <w:right w:w="120" w:type="dxa"/>
            </w:tcMar>
          </w:tcPr>
          <w:p w14:paraId="22728659" w14:textId="77777777" w:rsidR="00053364" w:rsidRPr="00053364" w:rsidRDefault="00053364" w:rsidP="00844373">
            <w:pPr>
              <w:jc w:val="center"/>
            </w:pPr>
            <w:r w:rsidRPr="00053364">
              <w:rPr>
                <w:rFonts w:eastAsia="Arial" w:cs="Arial"/>
                <w:b/>
                <w:bCs/>
                <w:sz w:val="20"/>
                <w:szCs w:val="20"/>
              </w:rPr>
              <w:t>Meta</w:t>
            </w:r>
          </w:p>
        </w:tc>
        <w:tc>
          <w:tcPr>
            <w:tcW w:w="2160" w:type="dxa"/>
            <w:tcBorders>
              <w:top w:val="single" w:sz="1" w:space="0" w:color="AAAAAA"/>
              <w:left w:val="single" w:sz="1" w:space="0" w:color="AAAAAA"/>
              <w:bottom w:val="single" w:sz="1" w:space="0" w:color="AAAAAA"/>
              <w:right w:val="single" w:sz="1" w:space="0" w:color="AAAAAA"/>
            </w:tcBorders>
            <w:shd w:val="clear" w:color="auto" w:fill="DAE9F7" w:themeFill="text2" w:themeFillTint="1A"/>
            <w:tcMar>
              <w:top w:w="80" w:type="dxa"/>
              <w:left w:w="120" w:type="dxa"/>
              <w:bottom w:w="80" w:type="dxa"/>
              <w:right w:w="120" w:type="dxa"/>
            </w:tcMar>
          </w:tcPr>
          <w:p w14:paraId="1E98BEC7" w14:textId="77777777" w:rsidR="00053364" w:rsidRPr="00053364" w:rsidRDefault="00053364" w:rsidP="00844373">
            <w:pPr>
              <w:jc w:val="center"/>
            </w:pPr>
            <w:r w:rsidRPr="00053364">
              <w:rPr>
                <w:rFonts w:eastAsia="Arial" w:cs="Arial"/>
                <w:b/>
                <w:bCs/>
                <w:sz w:val="20"/>
                <w:szCs w:val="20"/>
              </w:rPr>
              <w:t>Estado</w:t>
            </w:r>
          </w:p>
        </w:tc>
      </w:tr>
      <w:tr w:rsidR="00053364" w14:paraId="6729F9D3" w14:textId="77777777" w:rsidTr="00053364">
        <w:tc>
          <w:tcPr>
            <w:tcW w:w="32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5976293B" w14:textId="77777777" w:rsidR="00053364" w:rsidRDefault="00053364" w:rsidP="00844373">
            <w:r>
              <w:rPr>
                <w:rFonts w:eastAsia="Arial" w:cs="Arial"/>
                <w:sz w:val="21"/>
                <w:szCs w:val="21"/>
              </w:rPr>
              <w:t>Ejecución presupuestal</w:t>
            </w:r>
          </w:p>
        </w:tc>
        <w:tc>
          <w:tcPr>
            <w:tcW w:w="20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2518AD81" w14:textId="77777777" w:rsidR="00053364" w:rsidRDefault="00053364" w:rsidP="00844373">
            <w:pPr>
              <w:jc w:val="center"/>
            </w:pPr>
            <w:r>
              <w:rPr>
                <w:rFonts w:eastAsia="Arial" w:cs="Arial"/>
                <w:b/>
                <w:bCs/>
                <w:sz w:val="22"/>
              </w:rPr>
              <w:t>91%</w:t>
            </w:r>
          </w:p>
        </w:tc>
        <w:tc>
          <w:tcPr>
            <w:tcW w:w="20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3EC4E503" w14:textId="77777777" w:rsidR="00053364" w:rsidRDefault="00053364" w:rsidP="00844373">
            <w:pPr>
              <w:jc w:val="center"/>
            </w:pPr>
            <w:r>
              <w:rPr>
                <w:rFonts w:eastAsia="Arial" w:cs="Arial"/>
                <w:sz w:val="21"/>
                <w:szCs w:val="21"/>
              </w:rPr>
              <w:t>≥ 85%</w:t>
            </w:r>
          </w:p>
        </w:tc>
        <w:tc>
          <w:tcPr>
            <w:tcW w:w="2160" w:type="dxa"/>
            <w:tcBorders>
              <w:top w:val="single" w:sz="1" w:space="0" w:color="AAAAAA"/>
              <w:left w:val="single" w:sz="1" w:space="0" w:color="AAAAAA"/>
              <w:bottom w:val="single" w:sz="1" w:space="0" w:color="AAAAAA"/>
              <w:right w:val="single" w:sz="1" w:space="0" w:color="AAAAAA"/>
            </w:tcBorders>
            <w:shd w:val="clear" w:color="auto" w:fill="375623"/>
            <w:tcMar>
              <w:top w:w="80" w:type="dxa"/>
              <w:left w:w="120" w:type="dxa"/>
              <w:bottom w:w="80" w:type="dxa"/>
              <w:right w:w="120" w:type="dxa"/>
            </w:tcMar>
          </w:tcPr>
          <w:p w14:paraId="229271F1" w14:textId="77777777" w:rsidR="00053364" w:rsidRDefault="00053364" w:rsidP="00844373">
            <w:pPr>
              <w:jc w:val="center"/>
            </w:pPr>
            <w:r>
              <w:rPr>
                <w:rFonts w:eastAsia="Arial" w:cs="Arial"/>
                <w:b/>
                <w:bCs/>
                <w:color w:val="FFFFFF"/>
                <w:sz w:val="21"/>
                <w:szCs w:val="21"/>
              </w:rPr>
              <w:t>CUMPLE</w:t>
            </w:r>
          </w:p>
        </w:tc>
      </w:tr>
      <w:tr w:rsidR="00053364" w14:paraId="3A209BC6" w14:textId="77777777" w:rsidTr="00053364">
        <w:tc>
          <w:tcPr>
            <w:tcW w:w="32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5061F43C" w14:textId="77777777" w:rsidR="00053364" w:rsidRDefault="00053364" w:rsidP="00844373">
            <w:r>
              <w:rPr>
                <w:rFonts w:eastAsia="Arial" w:cs="Arial"/>
                <w:sz w:val="21"/>
                <w:szCs w:val="21"/>
              </w:rPr>
              <w:t>Recaudo tributario</w:t>
            </w:r>
          </w:p>
        </w:tc>
        <w:tc>
          <w:tcPr>
            <w:tcW w:w="20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58E380CE" w14:textId="77777777" w:rsidR="00053364" w:rsidRDefault="00053364" w:rsidP="00844373">
            <w:pPr>
              <w:jc w:val="center"/>
            </w:pPr>
            <w:r>
              <w:rPr>
                <w:rFonts w:eastAsia="Arial" w:cs="Arial"/>
                <w:b/>
                <w:bCs/>
                <w:sz w:val="22"/>
              </w:rPr>
              <w:t>87%</w:t>
            </w:r>
          </w:p>
        </w:tc>
        <w:tc>
          <w:tcPr>
            <w:tcW w:w="20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2AD144F7" w14:textId="77777777" w:rsidR="00053364" w:rsidRDefault="00053364" w:rsidP="00844373">
            <w:pPr>
              <w:jc w:val="center"/>
            </w:pPr>
            <w:r>
              <w:rPr>
                <w:rFonts w:eastAsia="Arial" w:cs="Arial"/>
                <w:sz w:val="21"/>
                <w:szCs w:val="21"/>
              </w:rPr>
              <w:t>≥ 80%</w:t>
            </w:r>
          </w:p>
        </w:tc>
        <w:tc>
          <w:tcPr>
            <w:tcW w:w="2160" w:type="dxa"/>
            <w:tcBorders>
              <w:top w:val="single" w:sz="1" w:space="0" w:color="AAAAAA"/>
              <w:left w:val="single" w:sz="1" w:space="0" w:color="AAAAAA"/>
              <w:bottom w:val="single" w:sz="1" w:space="0" w:color="AAAAAA"/>
              <w:right w:val="single" w:sz="1" w:space="0" w:color="AAAAAA"/>
            </w:tcBorders>
            <w:shd w:val="clear" w:color="auto" w:fill="375623"/>
            <w:tcMar>
              <w:top w:w="80" w:type="dxa"/>
              <w:left w:w="120" w:type="dxa"/>
              <w:bottom w:w="80" w:type="dxa"/>
              <w:right w:w="120" w:type="dxa"/>
            </w:tcMar>
          </w:tcPr>
          <w:p w14:paraId="394F8150" w14:textId="77777777" w:rsidR="00053364" w:rsidRDefault="00053364" w:rsidP="00844373">
            <w:pPr>
              <w:jc w:val="center"/>
            </w:pPr>
            <w:r>
              <w:rPr>
                <w:rFonts w:eastAsia="Arial" w:cs="Arial"/>
                <w:b/>
                <w:bCs/>
                <w:color w:val="FFFFFF"/>
                <w:sz w:val="21"/>
                <w:szCs w:val="21"/>
              </w:rPr>
              <w:t>CUMPLE</w:t>
            </w:r>
          </w:p>
        </w:tc>
      </w:tr>
      <w:tr w:rsidR="00053364" w14:paraId="0F21FE10" w14:textId="77777777" w:rsidTr="00053364">
        <w:tc>
          <w:tcPr>
            <w:tcW w:w="32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1004E03C" w14:textId="77777777" w:rsidR="00053364" w:rsidRDefault="00053364" w:rsidP="00844373">
            <w:r>
              <w:rPr>
                <w:rFonts w:eastAsia="Arial" w:cs="Arial"/>
                <w:sz w:val="21"/>
                <w:szCs w:val="21"/>
              </w:rPr>
              <w:t>Índice de endeudamiento (Ley 358)</w:t>
            </w:r>
          </w:p>
        </w:tc>
        <w:tc>
          <w:tcPr>
            <w:tcW w:w="20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261B2774" w14:textId="77777777" w:rsidR="00053364" w:rsidRDefault="00053364" w:rsidP="00844373">
            <w:pPr>
              <w:jc w:val="center"/>
            </w:pPr>
            <w:r>
              <w:rPr>
                <w:rFonts w:eastAsia="Arial" w:cs="Arial"/>
                <w:b/>
                <w:bCs/>
                <w:sz w:val="22"/>
              </w:rPr>
              <w:t>Semáforo verde</w:t>
            </w:r>
          </w:p>
        </w:tc>
        <w:tc>
          <w:tcPr>
            <w:tcW w:w="20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7AC555D1" w14:textId="77777777" w:rsidR="00053364" w:rsidRDefault="00053364" w:rsidP="00844373">
            <w:pPr>
              <w:jc w:val="center"/>
            </w:pPr>
            <w:r>
              <w:rPr>
                <w:rFonts w:eastAsia="Arial" w:cs="Arial"/>
                <w:sz w:val="21"/>
                <w:szCs w:val="21"/>
              </w:rPr>
              <w:t>&lt; 80% ICLD</w:t>
            </w:r>
          </w:p>
        </w:tc>
        <w:tc>
          <w:tcPr>
            <w:tcW w:w="2160" w:type="dxa"/>
            <w:tcBorders>
              <w:top w:val="single" w:sz="1" w:space="0" w:color="AAAAAA"/>
              <w:left w:val="single" w:sz="1" w:space="0" w:color="AAAAAA"/>
              <w:bottom w:val="single" w:sz="1" w:space="0" w:color="AAAAAA"/>
              <w:right w:val="single" w:sz="1" w:space="0" w:color="AAAAAA"/>
            </w:tcBorders>
            <w:shd w:val="clear" w:color="auto" w:fill="375623"/>
            <w:tcMar>
              <w:top w:w="80" w:type="dxa"/>
              <w:left w:w="120" w:type="dxa"/>
              <w:bottom w:w="80" w:type="dxa"/>
              <w:right w:w="120" w:type="dxa"/>
            </w:tcMar>
          </w:tcPr>
          <w:p w14:paraId="7F7A3A78" w14:textId="77777777" w:rsidR="00053364" w:rsidRDefault="00053364" w:rsidP="00844373">
            <w:pPr>
              <w:jc w:val="center"/>
            </w:pPr>
            <w:r>
              <w:rPr>
                <w:rFonts w:eastAsia="Arial" w:cs="Arial"/>
                <w:b/>
                <w:bCs/>
                <w:color w:val="FFFFFF"/>
                <w:sz w:val="21"/>
                <w:szCs w:val="21"/>
              </w:rPr>
              <w:t>CUMPLE</w:t>
            </w:r>
          </w:p>
        </w:tc>
      </w:tr>
      <w:tr w:rsidR="00053364" w14:paraId="316A7FE2" w14:textId="77777777" w:rsidTr="00053364">
        <w:tc>
          <w:tcPr>
            <w:tcW w:w="32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261C7804" w14:textId="77777777" w:rsidR="00053364" w:rsidRDefault="00053364" w:rsidP="00844373">
            <w:r>
              <w:rPr>
                <w:rFonts w:eastAsia="Arial" w:cs="Arial"/>
                <w:sz w:val="21"/>
                <w:szCs w:val="21"/>
              </w:rPr>
              <w:t>Índice de sostenibilidad deuda</w:t>
            </w:r>
          </w:p>
        </w:tc>
        <w:tc>
          <w:tcPr>
            <w:tcW w:w="20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2D3500E1" w14:textId="77777777" w:rsidR="00053364" w:rsidRDefault="00053364" w:rsidP="00844373">
            <w:pPr>
              <w:jc w:val="center"/>
            </w:pPr>
            <w:r>
              <w:rPr>
                <w:rFonts w:eastAsia="Arial" w:cs="Arial"/>
                <w:b/>
                <w:bCs/>
                <w:sz w:val="22"/>
              </w:rPr>
              <w:t>&lt; 40% ICLD</w:t>
            </w:r>
          </w:p>
        </w:tc>
        <w:tc>
          <w:tcPr>
            <w:tcW w:w="20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656F7FE4" w14:textId="77777777" w:rsidR="00053364" w:rsidRDefault="00053364" w:rsidP="00844373">
            <w:pPr>
              <w:jc w:val="center"/>
            </w:pPr>
            <w:r>
              <w:rPr>
                <w:rFonts w:eastAsia="Arial" w:cs="Arial"/>
                <w:sz w:val="21"/>
                <w:szCs w:val="21"/>
              </w:rPr>
              <w:t>&lt; 40% ICLD</w:t>
            </w:r>
          </w:p>
        </w:tc>
        <w:tc>
          <w:tcPr>
            <w:tcW w:w="2160" w:type="dxa"/>
            <w:tcBorders>
              <w:top w:val="single" w:sz="1" w:space="0" w:color="AAAAAA"/>
              <w:left w:val="single" w:sz="1" w:space="0" w:color="AAAAAA"/>
              <w:bottom w:val="single" w:sz="1" w:space="0" w:color="AAAAAA"/>
              <w:right w:val="single" w:sz="1" w:space="0" w:color="AAAAAA"/>
            </w:tcBorders>
            <w:shd w:val="clear" w:color="auto" w:fill="375623"/>
            <w:tcMar>
              <w:top w:w="80" w:type="dxa"/>
              <w:left w:w="120" w:type="dxa"/>
              <w:bottom w:w="80" w:type="dxa"/>
              <w:right w:w="120" w:type="dxa"/>
            </w:tcMar>
          </w:tcPr>
          <w:p w14:paraId="018A4AF6" w14:textId="77777777" w:rsidR="00053364" w:rsidRDefault="00053364" w:rsidP="00844373">
            <w:pPr>
              <w:jc w:val="center"/>
            </w:pPr>
            <w:r>
              <w:rPr>
                <w:rFonts w:eastAsia="Arial" w:cs="Arial"/>
                <w:b/>
                <w:bCs/>
                <w:color w:val="FFFFFF"/>
                <w:sz w:val="21"/>
                <w:szCs w:val="21"/>
              </w:rPr>
              <w:t>CUMPLE</w:t>
            </w:r>
          </w:p>
        </w:tc>
      </w:tr>
      <w:tr w:rsidR="00053364" w14:paraId="56F5ACD7" w14:textId="77777777" w:rsidTr="00053364">
        <w:tc>
          <w:tcPr>
            <w:tcW w:w="32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5DB8C3A3" w14:textId="77777777" w:rsidR="00053364" w:rsidRDefault="00053364" w:rsidP="00844373">
            <w:r>
              <w:rPr>
                <w:rFonts w:eastAsia="Arial" w:cs="Arial"/>
                <w:sz w:val="21"/>
                <w:szCs w:val="21"/>
              </w:rPr>
              <w:t>Morosidad de cartera</w:t>
            </w:r>
          </w:p>
        </w:tc>
        <w:tc>
          <w:tcPr>
            <w:tcW w:w="20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143634F3" w14:textId="77777777" w:rsidR="00053364" w:rsidRDefault="00053364" w:rsidP="00844373">
            <w:pPr>
              <w:jc w:val="center"/>
            </w:pPr>
            <w:r>
              <w:rPr>
                <w:rFonts w:eastAsia="Arial" w:cs="Arial"/>
                <w:b/>
                <w:bCs/>
                <w:sz w:val="22"/>
              </w:rPr>
              <w:t>Pendiente medición</w:t>
            </w:r>
          </w:p>
        </w:tc>
        <w:tc>
          <w:tcPr>
            <w:tcW w:w="20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7E99F948" w14:textId="77777777" w:rsidR="00053364" w:rsidRDefault="00053364" w:rsidP="00844373">
            <w:pPr>
              <w:jc w:val="center"/>
            </w:pPr>
            <w:r>
              <w:rPr>
                <w:rFonts w:eastAsia="Arial" w:cs="Arial"/>
                <w:sz w:val="21"/>
                <w:szCs w:val="21"/>
              </w:rPr>
              <w:t>&lt; 20%</w:t>
            </w:r>
          </w:p>
        </w:tc>
        <w:tc>
          <w:tcPr>
            <w:tcW w:w="2160" w:type="dxa"/>
            <w:tcBorders>
              <w:top w:val="single" w:sz="1" w:space="0" w:color="AAAAAA"/>
              <w:left w:val="single" w:sz="1" w:space="0" w:color="AAAAAA"/>
              <w:bottom w:val="single" w:sz="1" w:space="0" w:color="AAAAAA"/>
              <w:right w:val="single" w:sz="1" w:space="0" w:color="AAAAAA"/>
            </w:tcBorders>
            <w:shd w:val="clear" w:color="auto" w:fill="BF8F00"/>
            <w:tcMar>
              <w:top w:w="80" w:type="dxa"/>
              <w:left w:w="120" w:type="dxa"/>
              <w:bottom w:w="80" w:type="dxa"/>
              <w:right w:w="120" w:type="dxa"/>
            </w:tcMar>
          </w:tcPr>
          <w:p w14:paraId="73FD4965" w14:textId="77777777" w:rsidR="00053364" w:rsidRDefault="00053364" w:rsidP="00844373">
            <w:pPr>
              <w:jc w:val="center"/>
            </w:pPr>
            <w:r>
              <w:rPr>
                <w:rFonts w:eastAsia="Arial" w:cs="Arial"/>
                <w:b/>
                <w:bCs/>
                <w:color w:val="FFFFFF"/>
                <w:sz w:val="21"/>
                <w:szCs w:val="21"/>
              </w:rPr>
              <w:t>POR MEDIR</w:t>
            </w:r>
          </w:p>
        </w:tc>
      </w:tr>
      <w:tr w:rsidR="00053364" w14:paraId="39B8A734" w14:textId="77777777" w:rsidTr="00053364">
        <w:tc>
          <w:tcPr>
            <w:tcW w:w="32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29F48568" w14:textId="77777777" w:rsidR="00053364" w:rsidRDefault="00053364" w:rsidP="00844373">
            <w:r>
              <w:rPr>
                <w:rFonts w:eastAsia="Arial" w:cs="Arial"/>
                <w:sz w:val="21"/>
                <w:szCs w:val="21"/>
              </w:rPr>
              <w:t xml:space="preserve">Solvencia fiscal (ing. </w:t>
            </w:r>
            <w:proofErr w:type="spellStart"/>
            <w:r>
              <w:rPr>
                <w:rFonts w:eastAsia="Arial" w:cs="Arial"/>
                <w:sz w:val="21"/>
                <w:szCs w:val="21"/>
              </w:rPr>
              <w:t>ctes</w:t>
            </w:r>
            <w:proofErr w:type="spellEnd"/>
            <w:r>
              <w:rPr>
                <w:rFonts w:eastAsia="Arial" w:cs="Arial"/>
                <w:sz w:val="21"/>
                <w:szCs w:val="21"/>
              </w:rPr>
              <w:t xml:space="preserve"> / gasto </w:t>
            </w:r>
            <w:proofErr w:type="spellStart"/>
            <w:r>
              <w:rPr>
                <w:rFonts w:eastAsia="Arial" w:cs="Arial"/>
                <w:sz w:val="21"/>
                <w:szCs w:val="21"/>
              </w:rPr>
              <w:t>fcto</w:t>
            </w:r>
            <w:proofErr w:type="spellEnd"/>
            <w:r>
              <w:rPr>
                <w:rFonts w:eastAsia="Arial" w:cs="Arial"/>
                <w:sz w:val="21"/>
                <w:szCs w:val="21"/>
              </w:rPr>
              <w:t>.)</w:t>
            </w:r>
          </w:p>
        </w:tc>
        <w:tc>
          <w:tcPr>
            <w:tcW w:w="20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24AE9D55" w14:textId="77777777" w:rsidR="00053364" w:rsidRDefault="00053364" w:rsidP="00844373">
            <w:pPr>
              <w:jc w:val="center"/>
            </w:pPr>
            <w:r>
              <w:rPr>
                <w:rFonts w:eastAsia="Arial" w:cs="Arial"/>
                <w:b/>
                <w:bCs/>
                <w:sz w:val="22"/>
              </w:rPr>
              <w:t>&gt; 1,0</w:t>
            </w:r>
          </w:p>
        </w:tc>
        <w:tc>
          <w:tcPr>
            <w:tcW w:w="20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59D68258" w14:textId="77777777" w:rsidR="00053364" w:rsidRDefault="00053364" w:rsidP="00844373">
            <w:pPr>
              <w:jc w:val="center"/>
            </w:pPr>
            <w:r>
              <w:rPr>
                <w:rFonts w:eastAsia="Arial" w:cs="Arial"/>
                <w:sz w:val="21"/>
                <w:szCs w:val="21"/>
              </w:rPr>
              <w:t>≥ 1,0</w:t>
            </w:r>
          </w:p>
        </w:tc>
        <w:tc>
          <w:tcPr>
            <w:tcW w:w="2160" w:type="dxa"/>
            <w:tcBorders>
              <w:top w:val="single" w:sz="1" w:space="0" w:color="AAAAAA"/>
              <w:left w:val="single" w:sz="1" w:space="0" w:color="AAAAAA"/>
              <w:bottom w:val="single" w:sz="1" w:space="0" w:color="AAAAAA"/>
              <w:right w:val="single" w:sz="1" w:space="0" w:color="AAAAAA"/>
            </w:tcBorders>
            <w:shd w:val="clear" w:color="auto" w:fill="375623"/>
            <w:tcMar>
              <w:top w:w="80" w:type="dxa"/>
              <w:left w:w="120" w:type="dxa"/>
              <w:bottom w:w="80" w:type="dxa"/>
              <w:right w:w="120" w:type="dxa"/>
            </w:tcMar>
          </w:tcPr>
          <w:p w14:paraId="15535A37" w14:textId="77777777" w:rsidR="00053364" w:rsidRDefault="00053364" w:rsidP="00844373">
            <w:pPr>
              <w:jc w:val="center"/>
            </w:pPr>
            <w:r>
              <w:rPr>
                <w:rFonts w:eastAsia="Arial" w:cs="Arial"/>
                <w:b/>
                <w:bCs/>
                <w:color w:val="FFFFFF"/>
                <w:sz w:val="21"/>
                <w:szCs w:val="21"/>
              </w:rPr>
              <w:t>CUMPLE</w:t>
            </w:r>
          </w:p>
        </w:tc>
      </w:tr>
    </w:tbl>
    <w:p w14:paraId="7662C489" w14:textId="2099A9DA" w:rsidR="00053364" w:rsidRPr="00053364" w:rsidRDefault="00053364" w:rsidP="00053364">
      <w:pPr>
        <w:spacing w:before="60" w:after="480"/>
        <w:rPr>
          <w:rFonts w:cs="Arial"/>
          <w:szCs w:val="24"/>
        </w:rPr>
      </w:pPr>
      <w:r w:rsidRPr="00053364">
        <w:rPr>
          <w:rFonts w:eastAsia="Arial" w:cs="Arial"/>
          <w:b/>
          <w:bCs/>
          <w:szCs w:val="24"/>
        </w:rPr>
        <w:t>Fuente</w:t>
      </w:r>
      <w:r w:rsidRPr="00053364">
        <w:rPr>
          <w:rFonts w:eastAsia="Arial" w:cs="Arial"/>
          <w:szCs w:val="24"/>
        </w:rPr>
        <w:t>: Secretaría de Hacienda Municipal de Aguachica. Elaboración propia.</w:t>
      </w:r>
    </w:p>
    <w:p w14:paraId="3577FC0D" w14:textId="6041DD84" w:rsidR="00053364" w:rsidRPr="00053364" w:rsidRDefault="00053364" w:rsidP="00053364">
      <w:pPr>
        <w:pStyle w:val="Descripcin"/>
        <w:keepNext/>
        <w:rPr>
          <w:rFonts w:ascii="Arial" w:hAnsi="Arial" w:cs="Arial"/>
          <w:i w:val="0"/>
          <w:iCs w:val="0"/>
          <w:color w:val="auto"/>
          <w:sz w:val="24"/>
          <w:szCs w:val="24"/>
        </w:rPr>
      </w:pPr>
      <w:bookmarkStart w:id="100" w:name="_Toc231741500"/>
      <w:r w:rsidRPr="00053364">
        <w:rPr>
          <w:rFonts w:ascii="Arial" w:hAnsi="Arial" w:cs="Arial"/>
          <w:b/>
          <w:bCs/>
          <w:i w:val="0"/>
          <w:iCs w:val="0"/>
          <w:color w:val="auto"/>
          <w:sz w:val="24"/>
          <w:szCs w:val="24"/>
        </w:rPr>
        <w:t xml:space="preserve">Anexo </w:t>
      </w:r>
      <w:r w:rsidRPr="00053364">
        <w:rPr>
          <w:rFonts w:ascii="Arial" w:hAnsi="Arial" w:cs="Arial"/>
          <w:b/>
          <w:bCs/>
          <w:i w:val="0"/>
          <w:iCs w:val="0"/>
          <w:color w:val="auto"/>
          <w:sz w:val="24"/>
          <w:szCs w:val="24"/>
        </w:rPr>
        <w:fldChar w:fldCharType="begin"/>
      </w:r>
      <w:r w:rsidRPr="00053364">
        <w:rPr>
          <w:rFonts w:ascii="Arial" w:hAnsi="Arial" w:cs="Arial"/>
          <w:b/>
          <w:bCs/>
          <w:i w:val="0"/>
          <w:iCs w:val="0"/>
          <w:color w:val="auto"/>
          <w:sz w:val="24"/>
          <w:szCs w:val="24"/>
        </w:rPr>
        <w:instrText xml:space="preserve"> SEQ Anexo \* ARABIC </w:instrText>
      </w:r>
      <w:r w:rsidRPr="00053364">
        <w:rPr>
          <w:rFonts w:ascii="Arial" w:hAnsi="Arial" w:cs="Arial"/>
          <w:b/>
          <w:bCs/>
          <w:i w:val="0"/>
          <w:iCs w:val="0"/>
          <w:color w:val="auto"/>
          <w:sz w:val="24"/>
          <w:szCs w:val="24"/>
        </w:rPr>
        <w:fldChar w:fldCharType="separate"/>
      </w:r>
      <w:r>
        <w:rPr>
          <w:rFonts w:ascii="Arial" w:hAnsi="Arial" w:cs="Arial"/>
          <w:b/>
          <w:bCs/>
          <w:i w:val="0"/>
          <w:iCs w:val="0"/>
          <w:noProof/>
          <w:color w:val="auto"/>
          <w:sz w:val="24"/>
          <w:szCs w:val="24"/>
        </w:rPr>
        <w:t>3</w:t>
      </w:r>
      <w:r w:rsidRPr="00053364">
        <w:rPr>
          <w:rFonts w:ascii="Arial" w:hAnsi="Arial" w:cs="Arial"/>
          <w:b/>
          <w:bCs/>
          <w:i w:val="0"/>
          <w:iCs w:val="0"/>
          <w:color w:val="auto"/>
          <w:sz w:val="24"/>
          <w:szCs w:val="24"/>
        </w:rPr>
        <w:fldChar w:fldCharType="end"/>
      </w:r>
      <w:r w:rsidRPr="00053364">
        <w:rPr>
          <w:rFonts w:ascii="Arial" w:hAnsi="Arial" w:cs="Arial"/>
          <w:i w:val="0"/>
          <w:iCs w:val="0"/>
          <w:color w:val="auto"/>
          <w:sz w:val="24"/>
          <w:szCs w:val="24"/>
        </w:rPr>
        <w:t>. Bloque 2 del Dashboard,</w:t>
      </w:r>
      <w:r w:rsidRPr="00053364">
        <w:rPr>
          <w:rFonts w:ascii="Arial" w:hAnsi="Arial" w:cs="Arial"/>
          <w:i w:val="0"/>
          <w:iCs w:val="0"/>
          <w:noProof/>
          <w:color w:val="auto"/>
          <w:sz w:val="24"/>
          <w:szCs w:val="24"/>
        </w:rPr>
        <w:t xml:space="preserve"> Composición del ingreso 2025</w:t>
      </w:r>
      <w:bookmarkEnd w:id="100"/>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500"/>
        <w:gridCol w:w="2930"/>
        <w:gridCol w:w="2930"/>
      </w:tblGrid>
      <w:tr w:rsidR="00053364" w14:paraId="7C92D7B1" w14:textId="77777777" w:rsidTr="00053364">
        <w:tc>
          <w:tcPr>
            <w:tcW w:w="3500" w:type="dxa"/>
            <w:tcBorders>
              <w:top w:val="single" w:sz="1" w:space="0" w:color="AAAAAA"/>
              <w:left w:val="single" w:sz="1" w:space="0" w:color="AAAAAA"/>
              <w:bottom w:val="single" w:sz="1" w:space="0" w:color="AAAAAA"/>
              <w:right w:val="single" w:sz="1" w:space="0" w:color="AAAAAA"/>
            </w:tcBorders>
            <w:shd w:val="clear" w:color="auto" w:fill="DAE9F7" w:themeFill="text2" w:themeFillTint="1A"/>
            <w:tcMar>
              <w:top w:w="80" w:type="dxa"/>
              <w:left w:w="120" w:type="dxa"/>
              <w:bottom w:w="80" w:type="dxa"/>
              <w:right w:w="120" w:type="dxa"/>
            </w:tcMar>
          </w:tcPr>
          <w:p w14:paraId="461AAF89" w14:textId="77777777" w:rsidR="00053364" w:rsidRPr="00053364" w:rsidRDefault="00053364" w:rsidP="00844373">
            <w:pPr>
              <w:jc w:val="center"/>
            </w:pPr>
            <w:r w:rsidRPr="00053364">
              <w:rPr>
                <w:rFonts w:eastAsia="Arial" w:cs="Arial"/>
                <w:b/>
                <w:bCs/>
                <w:sz w:val="20"/>
                <w:szCs w:val="20"/>
              </w:rPr>
              <w:t>Fuente de ingreso</w:t>
            </w:r>
          </w:p>
        </w:tc>
        <w:tc>
          <w:tcPr>
            <w:tcW w:w="2930" w:type="dxa"/>
            <w:tcBorders>
              <w:top w:val="single" w:sz="1" w:space="0" w:color="AAAAAA"/>
              <w:left w:val="single" w:sz="1" w:space="0" w:color="AAAAAA"/>
              <w:bottom w:val="single" w:sz="1" w:space="0" w:color="AAAAAA"/>
              <w:right w:val="single" w:sz="1" w:space="0" w:color="AAAAAA"/>
            </w:tcBorders>
            <w:shd w:val="clear" w:color="auto" w:fill="DAE9F7" w:themeFill="text2" w:themeFillTint="1A"/>
            <w:tcMar>
              <w:top w:w="80" w:type="dxa"/>
              <w:left w:w="120" w:type="dxa"/>
              <w:bottom w:w="80" w:type="dxa"/>
              <w:right w:w="120" w:type="dxa"/>
            </w:tcMar>
          </w:tcPr>
          <w:p w14:paraId="08CCE6AD" w14:textId="77777777" w:rsidR="00053364" w:rsidRPr="00053364" w:rsidRDefault="00053364" w:rsidP="00844373">
            <w:pPr>
              <w:jc w:val="center"/>
            </w:pPr>
            <w:r w:rsidRPr="00053364">
              <w:rPr>
                <w:rFonts w:eastAsia="Arial" w:cs="Arial"/>
                <w:b/>
                <w:bCs/>
                <w:sz w:val="20"/>
                <w:szCs w:val="20"/>
              </w:rPr>
              <w:t>Valor (millones $)</w:t>
            </w:r>
          </w:p>
        </w:tc>
        <w:tc>
          <w:tcPr>
            <w:tcW w:w="2930" w:type="dxa"/>
            <w:tcBorders>
              <w:top w:val="single" w:sz="1" w:space="0" w:color="AAAAAA"/>
              <w:left w:val="single" w:sz="1" w:space="0" w:color="AAAAAA"/>
              <w:bottom w:val="single" w:sz="1" w:space="0" w:color="AAAAAA"/>
              <w:right w:val="single" w:sz="1" w:space="0" w:color="AAAAAA"/>
            </w:tcBorders>
            <w:shd w:val="clear" w:color="auto" w:fill="DAE9F7" w:themeFill="text2" w:themeFillTint="1A"/>
            <w:tcMar>
              <w:top w:w="80" w:type="dxa"/>
              <w:left w:w="120" w:type="dxa"/>
              <w:bottom w:w="80" w:type="dxa"/>
              <w:right w:w="120" w:type="dxa"/>
            </w:tcMar>
          </w:tcPr>
          <w:p w14:paraId="37BA2E66" w14:textId="77777777" w:rsidR="00053364" w:rsidRPr="00053364" w:rsidRDefault="00053364" w:rsidP="00844373">
            <w:pPr>
              <w:jc w:val="center"/>
            </w:pPr>
            <w:r w:rsidRPr="00053364">
              <w:rPr>
                <w:rFonts w:eastAsia="Arial" w:cs="Arial"/>
                <w:b/>
                <w:bCs/>
                <w:sz w:val="20"/>
                <w:szCs w:val="20"/>
              </w:rPr>
              <w:t>Participación</w:t>
            </w:r>
          </w:p>
        </w:tc>
      </w:tr>
      <w:tr w:rsidR="00053364" w14:paraId="631AE2AE" w14:textId="77777777" w:rsidTr="00053364">
        <w:tc>
          <w:tcPr>
            <w:tcW w:w="35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28699CEF" w14:textId="77777777" w:rsidR="00053364" w:rsidRDefault="00053364" w:rsidP="00844373">
            <w:r>
              <w:rPr>
                <w:rFonts w:eastAsia="Arial" w:cs="Arial"/>
                <w:sz w:val="21"/>
                <w:szCs w:val="21"/>
              </w:rPr>
              <w:t>Transferencias corrientes</w:t>
            </w:r>
          </w:p>
        </w:tc>
        <w:tc>
          <w:tcPr>
            <w:tcW w:w="293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76B64B92" w14:textId="77777777" w:rsidR="00053364" w:rsidRDefault="00053364" w:rsidP="00844373">
            <w:pPr>
              <w:jc w:val="center"/>
            </w:pPr>
            <w:r>
              <w:rPr>
                <w:rFonts w:eastAsia="Arial" w:cs="Arial"/>
                <w:sz w:val="21"/>
                <w:szCs w:val="21"/>
              </w:rPr>
              <w:t>149.237</w:t>
            </w:r>
          </w:p>
        </w:tc>
        <w:tc>
          <w:tcPr>
            <w:tcW w:w="293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4A7E1C92" w14:textId="77777777" w:rsidR="00053364" w:rsidRDefault="00053364" w:rsidP="00844373">
            <w:pPr>
              <w:jc w:val="center"/>
            </w:pPr>
            <w:r>
              <w:rPr>
                <w:rFonts w:eastAsia="Arial" w:cs="Arial"/>
                <w:sz w:val="21"/>
                <w:szCs w:val="21"/>
              </w:rPr>
              <w:t>80,25%</w:t>
            </w:r>
          </w:p>
        </w:tc>
      </w:tr>
      <w:tr w:rsidR="00053364" w14:paraId="4DA036BA" w14:textId="77777777" w:rsidTr="00053364">
        <w:tc>
          <w:tcPr>
            <w:tcW w:w="35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19771EA8" w14:textId="77777777" w:rsidR="00053364" w:rsidRDefault="00053364" w:rsidP="00844373">
            <w:r>
              <w:rPr>
                <w:rFonts w:eastAsia="Arial" w:cs="Arial"/>
                <w:sz w:val="21"/>
                <w:szCs w:val="21"/>
              </w:rPr>
              <w:lastRenderedPageBreak/>
              <w:t>Ingresos tributarios propios</w:t>
            </w:r>
          </w:p>
        </w:tc>
        <w:tc>
          <w:tcPr>
            <w:tcW w:w="293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09DFC6A9" w14:textId="77777777" w:rsidR="00053364" w:rsidRDefault="00053364" w:rsidP="00844373">
            <w:pPr>
              <w:jc w:val="center"/>
            </w:pPr>
            <w:r>
              <w:rPr>
                <w:rFonts w:eastAsia="Arial" w:cs="Arial"/>
                <w:sz w:val="21"/>
                <w:szCs w:val="21"/>
              </w:rPr>
              <w:t>32.914</w:t>
            </w:r>
          </w:p>
        </w:tc>
        <w:tc>
          <w:tcPr>
            <w:tcW w:w="293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68D4FAA3" w14:textId="77777777" w:rsidR="00053364" w:rsidRDefault="00053364" w:rsidP="00844373">
            <w:pPr>
              <w:jc w:val="center"/>
            </w:pPr>
            <w:r>
              <w:rPr>
                <w:rFonts w:eastAsia="Arial" w:cs="Arial"/>
                <w:sz w:val="21"/>
                <w:szCs w:val="21"/>
              </w:rPr>
              <w:t>17,70%</w:t>
            </w:r>
          </w:p>
        </w:tc>
      </w:tr>
      <w:tr w:rsidR="00053364" w14:paraId="23AA8B40" w14:textId="77777777" w:rsidTr="00053364">
        <w:tc>
          <w:tcPr>
            <w:tcW w:w="35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16604C8C" w14:textId="77777777" w:rsidR="00053364" w:rsidRDefault="00053364" w:rsidP="00844373">
            <w:r>
              <w:rPr>
                <w:rFonts w:eastAsia="Arial" w:cs="Arial"/>
                <w:sz w:val="21"/>
                <w:szCs w:val="21"/>
              </w:rPr>
              <w:t>Ingresos no tributarios</w:t>
            </w:r>
          </w:p>
        </w:tc>
        <w:tc>
          <w:tcPr>
            <w:tcW w:w="293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07655B93" w14:textId="77777777" w:rsidR="00053364" w:rsidRDefault="00053364" w:rsidP="00844373">
            <w:pPr>
              <w:jc w:val="center"/>
            </w:pPr>
            <w:r>
              <w:rPr>
                <w:rFonts w:eastAsia="Arial" w:cs="Arial"/>
                <w:sz w:val="21"/>
                <w:szCs w:val="21"/>
              </w:rPr>
              <w:t>2.893</w:t>
            </w:r>
          </w:p>
        </w:tc>
        <w:tc>
          <w:tcPr>
            <w:tcW w:w="293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5676B92B" w14:textId="77777777" w:rsidR="00053364" w:rsidRDefault="00053364" w:rsidP="00844373">
            <w:pPr>
              <w:jc w:val="center"/>
            </w:pPr>
            <w:r>
              <w:rPr>
                <w:rFonts w:eastAsia="Arial" w:cs="Arial"/>
                <w:sz w:val="21"/>
                <w:szCs w:val="21"/>
              </w:rPr>
              <w:t>1,56%</w:t>
            </w:r>
          </w:p>
        </w:tc>
      </w:tr>
      <w:tr w:rsidR="00053364" w14:paraId="6C6FCE2B" w14:textId="77777777" w:rsidTr="00053364">
        <w:tc>
          <w:tcPr>
            <w:tcW w:w="35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60ACEDEA" w14:textId="77777777" w:rsidR="00053364" w:rsidRDefault="00053364" w:rsidP="00844373">
            <w:r>
              <w:rPr>
                <w:rFonts w:eastAsia="Arial" w:cs="Arial"/>
                <w:sz w:val="21"/>
                <w:szCs w:val="21"/>
              </w:rPr>
              <w:t>Ingresos de capital</w:t>
            </w:r>
          </w:p>
        </w:tc>
        <w:tc>
          <w:tcPr>
            <w:tcW w:w="293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653017C7" w14:textId="77777777" w:rsidR="00053364" w:rsidRDefault="00053364" w:rsidP="00844373">
            <w:pPr>
              <w:jc w:val="center"/>
            </w:pPr>
            <w:r>
              <w:rPr>
                <w:rFonts w:eastAsia="Arial" w:cs="Arial"/>
                <w:sz w:val="21"/>
                <w:szCs w:val="21"/>
              </w:rPr>
              <w:t>921</w:t>
            </w:r>
          </w:p>
        </w:tc>
        <w:tc>
          <w:tcPr>
            <w:tcW w:w="293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010D0B1B" w14:textId="77777777" w:rsidR="00053364" w:rsidRDefault="00053364" w:rsidP="00844373">
            <w:pPr>
              <w:jc w:val="center"/>
            </w:pPr>
            <w:r>
              <w:rPr>
                <w:rFonts w:eastAsia="Arial" w:cs="Arial"/>
                <w:sz w:val="21"/>
                <w:szCs w:val="21"/>
              </w:rPr>
              <w:t>0,50%</w:t>
            </w:r>
          </w:p>
        </w:tc>
      </w:tr>
      <w:tr w:rsidR="00053364" w14:paraId="364C14B0" w14:textId="77777777" w:rsidTr="00053364">
        <w:tc>
          <w:tcPr>
            <w:tcW w:w="350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18452CC7" w14:textId="77777777" w:rsidR="00053364" w:rsidRDefault="00053364" w:rsidP="00844373">
            <w:r>
              <w:rPr>
                <w:rFonts w:eastAsia="Arial" w:cs="Arial"/>
                <w:b/>
                <w:bCs/>
                <w:sz w:val="21"/>
                <w:szCs w:val="21"/>
              </w:rPr>
              <w:t>TOTAL</w:t>
            </w:r>
          </w:p>
        </w:tc>
        <w:tc>
          <w:tcPr>
            <w:tcW w:w="293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30D3958D" w14:textId="77777777" w:rsidR="00053364" w:rsidRDefault="00053364" w:rsidP="00844373">
            <w:pPr>
              <w:jc w:val="center"/>
            </w:pPr>
            <w:r>
              <w:rPr>
                <w:rFonts w:eastAsia="Arial" w:cs="Arial"/>
                <w:b/>
                <w:bCs/>
                <w:sz w:val="21"/>
                <w:szCs w:val="21"/>
              </w:rPr>
              <w:t>185.964</w:t>
            </w:r>
          </w:p>
        </w:tc>
        <w:tc>
          <w:tcPr>
            <w:tcW w:w="2930" w:type="dxa"/>
            <w:tcBorders>
              <w:top w:val="single" w:sz="1" w:space="0" w:color="AAAAAA"/>
              <w:left w:val="single" w:sz="1" w:space="0" w:color="AAAAAA"/>
              <w:bottom w:val="single" w:sz="1" w:space="0" w:color="AAAAAA"/>
              <w:right w:val="single" w:sz="1" w:space="0" w:color="AAAAAA"/>
            </w:tcBorders>
            <w:shd w:val="clear" w:color="auto" w:fill="FFFFFF" w:themeFill="background1"/>
            <w:tcMar>
              <w:top w:w="80" w:type="dxa"/>
              <w:left w:w="120" w:type="dxa"/>
              <w:bottom w:w="80" w:type="dxa"/>
              <w:right w:w="120" w:type="dxa"/>
            </w:tcMar>
          </w:tcPr>
          <w:p w14:paraId="401D1219" w14:textId="77777777" w:rsidR="00053364" w:rsidRDefault="00053364" w:rsidP="00844373">
            <w:pPr>
              <w:jc w:val="center"/>
            </w:pPr>
            <w:r>
              <w:rPr>
                <w:rFonts w:eastAsia="Arial" w:cs="Arial"/>
                <w:b/>
                <w:bCs/>
                <w:sz w:val="21"/>
                <w:szCs w:val="21"/>
              </w:rPr>
              <w:t>100%</w:t>
            </w:r>
          </w:p>
        </w:tc>
      </w:tr>
    </w:tbl>
    <w:p w14:paraId="1EA9ED6A" w14:textId="779FCC92" w:rsidR="00053364" w:rsidRPr="00053364" w:rsidRDefault="00053364" w:rsidP="00053364">
      <w:pPr>
        <w:spacing w:before="60" w:after="480"/>
        <w:rPr>
          <w:rFonts w:cs="Arial"/>
          <w:szCs w:val="24"/>
        </w:rPr>
      </w:pPr>
      <w:r w:rsidRPr="00053364">
        <w:rPr>
          <w:rFonts w:eastAsia="Arial" w:cs="Arial"/>
          <w:b/>
          <w:bCs/>
          <w:szCs w:val="24"/>
        </w:rPr>
        <w:t>Fuente</w:t>
      </w:r>
      <w:r w:rsidRPr="00053364">
        <w:rPr>
          <w:rFonts w:eastAsia="Arial" w:cs="Arial"/>
          <w:szCs w:val="24"/>
        </w:rPr>
        <w:t>: Secretaría de Hacienda Municipal de Aguachica. Elaboración propia.</w:t>
      </w:r>
    </w:p>
    <w:p w14:paraId="3D8A482C" w14:textId="09CF7A9F" w:rsidR="00053364" w:rsidRPr="00053364" w:rsidRDefault="00053364" w:rsidP="00053364">
      <w:pPr>
        <w:pStyle w:val="Descripcin"/>
        <w:keepNext/>
        <w:rPr>
          <w:rFonts w:ascii="Arial" w:hAnsi="Arial" w:cs="Arial"/>
          <w:i w:val="0"/>
          <w:iCs w:val="0"/>
          <w:color w:val="auto"/>
          <w:sz w:val="24"/>
          <w:szCs w:val="24"/>
        </w:rPr>
      </w:pPr>
      <w:bookmarkStart w:id="101" w:name="_Toc231741501"/>
      <w:r w:rsidRPr="00053364">
        <w:rPr>
          <w:rFonts w:ascii="Arial" w:hAnsi="Arial" w:cs="Arial"/>
          <w:b/>
          <w:bCs/>
          <w:i w:val="0"/>
          <w:iCs w:val="0"/>
          <w:color w:val="auto"/>
          <w:sz w:val="24"/>
          <w:szCs w:val="24"/>
        </w:rPr>
        <w:t xml:space="preserve">Anexo </w:t>
      </w:r>
      <w:r w:rsidRPr="00053364">
        <w:rPr>
          <w:rFonts w:ascii="Arial" w:hAnsi="Arial" w:cs="Arial"/>
          <w:b/>
          <w:bCs/>
          <w:i w:val="0"/>
          <w:iCs w:val="0"/>
          <w:color w:val="auto"/>
          <w:sz w:val="24"/>
          <w:szCs w:val="24"/>
        </w:rPr>
        <w:fldChar w:fldCharType="begin"/>
      </w:r>
      <w:r w:rsidRPr="00053364">
        <w:rPr>
          <w:rFonts w:ascii="Arial" w:hAnsi="Arial" w:cs="Arial"/>
          <w:b/>
          <w:bCs/>
          <w:i w:val="0"/>
          <w:iCs w:val="0"/>
          <w:color w:val="auto"/>
          <w:sz w:val="24"/>
          <w:szCs w:val="24"/>
        </w:rPr>
        <w:instrText xml:space="preserve"> SEQ Anexo \* ARABIC </w:instrText>
      </w:r>
      <w:r w:rsidRPr="00053364">
        <w:rPr>
          <w:rFonts w:ascii="Arial" w:hAnsi="Arial" w:cs="Arial"/>
          <w:b/>
          <w:bCs/>
          <w:i w:val="0"/>
          <w:iCs w:val="0"/>
          <w:color w:val="auto"/>
          <w:sz w:val="24"/>
          <w:szCs w:val="24"/>
        </w:rPr>
        <w:fldChar w:fldCharType="separate"/>
      </w:r>
      <w:r w:rsidRPr="00053364">
        <w:rPr>
          <w:rFonts w:ascii="Arial" w:hAnsi="Arial" w:cs="Arial"/>
          <w:b/>
          <w:bCs/>
          <w:i w:val="0"/>
          <w:iCs w:val="0"/>
          <w:noProof/>
          <w:color w:val="auto"/>
          <w:sz w:val="24"/>
          <w:szCs w:val="24"/>
        </w:rPr>
        <w:t>4</w:t>
      </w:r>
      <w:r w:rsidRPr="00053364">
        <w:rPr>
          <w:rFonts w:ascii="Arial" w:hAnsi="Arial" w:cs="Arial"/>
          <w:b/>
          <w:bCs/>
          <w:i w:val="0"/>
          <w:iCs w:val="0"/>
          <w:color w:val="auto"/>
          <w:sz w:val="24"/>
          <w:szCs w:val="24"/>
        </w:rPr>
        <w:fldChar w:fldCharType="end"/>
      </w:r>
      <w:r w:rsidRPr="00053364">
        <w:rPr>
          <w:rFonts w:ascii="Arial" w:hAnsi="Arial" w:cs="Arial"/>
          <w:i w:val="0"/>
          <w:iCs w:val="0"/>
          <w:color w:val="auto"/>
          <w:sz w:val="24"/>
          <w:szCs w:val="24"/>
        </w:rPr>
        <w:t>. Bloque 3 del Dashboard, Alertas fiscales</w:t>
      </w:r>
      <w:bookmarkEnd w:id="101"/>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4680"/>
        <w:gridCol w:w="4680"/>
      </w:tblGrid>
      <w:tr w:rsidR="00053364" w14:paraId="5FEC27DB" w14:textId="77777777" w:rsidTr="00844373">
        <w:tc>
          <w:tcPr>
            <w:tcW w:w="4680" w:type="dxa"/>
            <w:tcBorders>
              <w:top w:val="single" w:sz="1" w:space="0" w:color="AAAAAA"/>
              <w:left w:val="single" w:sz="1" w:space="0" w:color="AAAAAA"/>
              <w:bottom w:val="single" w:sz="1" w:space="0" w:color="AAAAAA"/>
              <w:right w:val="single" w:sz="1" w:space="0" w:color="AAAAAA"/>
            </w:tcBorders>
            <w:shd w:val="clear" w:color="auto" w:fill="C00000"/>
            <w:tcMar>
              <w:top w:w="80" w:type="dxa"/>
              <w:left w:w="120" w:type="dxa"/>
              <w:bottom w:w="80" w:type="dxa"/>
              <w:right w:w="120" w:type="dxa"/>
            </w:tcMar>
          </w:tcPr>
          <w:p w14:paraId="7805B101" w14:textId="77777777" w:rsidR="00053364" w:rsidRDefault="00053364" w:rsidP="00844373">
            <w:pPr>
              <w:jc w:val="center"/>
            </w:pPr>
            <w:r>
              <w:rPr>
                <w:rFonts w:eastAsia="Arial" w:cs="Arial"/>
                <w:b/>
                <w:bCs/>
                <w:color w:val="FFFFFF"/>
                <w:sz w:val="21"/>
                <w:szCs w:val="21"/>
              </w:rPr>
              <w:t>VULNERABILIDAD ESTRUCTURAL</w:t>
            </w:r>
          </w:p>
        </w:tc>
        <w:tc>
          <w:tcPr>
            <w:tcW w:w="4680" w:type="dxa"/>
            <w:tcBorders>
              <w:top w:val="single" w:sz="1" w:space="0" w:color="AAAAAA"/>
              <w:left w:val="single" w:sz="1" w:space="0" w:color="AAAAAA"/>
              <w:bottom w:val="single" w:sz="1" w:space="0" w:color="AAAAAA"/>
              <w:right w:val="single" w:sz="1" w:space="0" w:color="AAAAAA"/>
            </w:tcBorders>
            <w:shd w:val="clear" w:color="auto" w:fill="375623"/>
            <w:tcMar>
              <w:top w:w="80" w:type="dxa"/>
              <w:left w:w="120" w:type="dxa"/>
              <w:bottom w:w="80" w:type="dxa"/>
              <w:right w:w="120" w:type="dxa"/>
            </w:tcMar>
          </w:tcPr>
          <w:p w14:paraId="0D6467BB" w14:textId="77777777" w:rsidR="00053364" w:rsidRDefault="00053364" w:rsidP="00844373">
            <w:pPr>
              <w:jc w:val="center"/>
            </w:pPr>
            <w:r>
              <w:rPr>
                <w:rFonts w:eastAsia="Arial" w:cs="Arial"/>
                <w:b/>
                <w:bCs/>
                <w:color w:val="FFFFFF"/>
                <w:sz w:val="21"/>
                <w:szCs w:val="21"/>
              </w:rPr>
              <w:t>FORTALEZA FISCAL</w:t>
            </w:r>
          </w:p>
        </w:tc>
      </w:tr>
      <w:tr w:rsidR="00053364" w14:paraId="72E554F6" w14:textId="77777777" w:rsidTr="00844373">
        <w:tc>
          <w:tcPr>
            <w:tcW w:w="4680" w:type="dxa"/>
            <w:tcBorders>
              <w:top w:val="single" w:sz="1" w:space="0" w:color="AAAAAA"/>
              <w:left w:val="single" w:sz="1" w:space="0" w:color="AAAAAA"/>
              <w:bottom w:val="single" w:sz="1" w:space="0" w:color="AAAAAA"/>
              <w:right w:val="single" w:sz="1" w:space="0" w:color="AAAAAA"/>
            </w:tcBorders>
            <w:tcMar>
              <w:top w:w="80" w:type="dxa"/>
              <w:left w:w="120" w:type="dxa"/>
              <w:bottom w:w="80" w:type="dxa"/>
              <w:right w:w="120" w:type="dxa"/>
            </w:tcMar>
          </w:tcPr>
          <w:p w14:paraId="01C1DBDF" w14:textId="77777777" w:rsidR="00053364" w:rsidRDefault="00053364" w:rsidP="00844373">
            <w:r>
              <w:rPr>
                <w:rFonts w:eastAsia="Arial" w:cs="Arial"/>
                <w:sz w:val="21"/>
                <w:szCs w:val="21"/>
              </w:rPr>
              <w:t>• Dependencia del 80% de transferencias externas</w:t>
            </w:r>
          </w:p>
          <w:p w14:paraId="051CAF4A" w14:textId="77777777" w:rsidR="00053364" w:rsidRDefault="00053364" w:rsidP="00844373">
            <w:r>
              <w:rPr>
                <w:rFonts w:eastAsia="Arial" w:cs="Arial"/>
                <w:sz w:val="21"/>
                <w:szCs w:val="21"/>
              </w:rPr>
              <w:t>• Baja participación del predial (14% del recaudo propio)</w:t>
            </w:r>
          </w:p>
          <w:p w14:paraId="387D62FB" w14:textId="77777777" w:rsidR="00053364" w:rsidRDefault="00053364" w:rsidP="00844373">
            <w:r>
              <w:rPr>
                <w:rFonts w:eastAsia="Arial" w:cs="Arial"/>
                <w:sz w:val="21"/>
                <w:szCs w:val="21"/>
              </w:rPr>
              <w:t>• Tendencia decreciente de sobretasa a la gasolina</w:t>
            </w:r>
          </w:p>
          <w:p w14:paraId="3D4B1163" w14:textId="77777777" w:rsidR="00053364" w:rsidRDefault="00053364" w:rsidP="00844373">
            <w:r>
              <w:rPr>
                <w:rFonts w:eastAsia="Arial" w:cs="Arial"/>
                <w:sz w:val="21"/>
                <w:szCs w:val="21"/>
              </w:rPr>
              <w:t>• Subejecución presupuestal sistemática del 9%</w:t>
            </w:r>
          </w:p>
        </w:tc>
        <w:tc>
          <w:tcPr>
            <w:tcW w:w="4680" w:type="dxa"/>
            <w:tcBorders>
              <w:top w:val="single" w:sz="1" w:space="0" w:color="AAAAAA"/>
              <w:left w:val="single" w:sz="1" w:space="0" w:color="AAAAAA"/>
              <w:bottom w:val="single" w:sz="1" w:space="0" w:color="AAAAAA"/>
              <w:right w:val="single" w:sz="1" w:space="0" w:color="AAAAAA"/>
            </w:tcBorders>
            <w:tcMar>
              <w:top w:w="80" w:type="dxa"/>
              <w:left w:w="120" w:type="dxa"/>
              <w:bottom w:w="80" w:type="dxa"/>
              <w:right w:w="120" w:type="dxa"/>
            </w:tcMar>
          </w:tcPr>
          <w:p w14:paraId="03E6E832" w14:textId="77777777" w:rsidR="00053364" w:rsidRDefault="00053364" w:rsidP="00844373">
            <w:r>
              <w:rPr>
                <w:rFonts w:eastAsia="Arial" w:cs="Arial"/>
                <w:sz w:val="21"/>
                <w:szCs w:val="21"/>
              </w:rPr>
              <w:t>• Superávit fiscal en 4 de 5 vigencias (2021–2025)</w:t>
            </w:r>
          </w:p>
          <w:p w14:paraId="4C6688DA" w14:textId="77777777" w:rsidR="00053364" w:rsidRDefault="00053364" w:rsidP="00844373">
            <w:r>
              <w:rPr>
                <w:rFonts w:eastAsia="Arial" w:cs="Arial"/>
                <w:sz w:val="21"/>
                <w:szCs w:val="21"/>
              </w:rPr>
              <w:t>• Baja rigidez del gasto de funcionamiento (10%)</w:t>
            </w:r>
          </w:p>
          <w:p w14:paraId="149CE000" w14:textId="77777777" w:rsidR="00053364" w:rsidRDefault="00053364" w:rsidP="00844373">
            <w:r>
              <w:rPr>
                <w:rFonts w:eastAsia="Arial" w:cs="Arial"/>
                <w:sz w:val="21"/>
                <w:szCs w:val="21"/>
              </w:rPr>
              <w:t>• Endeudamiento en semáforo verde (Ley 358/97)</w:t>
            </w:r>
          </w:p>
          <w:p w14:paraId="614A1A71" w14:textId="77777777" w:rsidR="00053364" w:rsidRDefault="00053364" w:rsidP="00844373">
            <w:r>
              <w:rPr>
                <w:rFonts w:eastAsia="Arial" w:cs="Arial"/>
                <w:sz w:val="21"/>
                <w:szCs w:val="21"/>
              </w:rPr>
              <w:t>• Balance proyectado superavitario 2026–2035</w:t>
            </w:r>
          </w:p>
        </w:tc>
      </w:tr>
    </w:tbl>
    <w:p w14:paraId="40AB747B" w14:textId="4062A44C" w:rsidR="00021632" w:rsidRPr="00A570C2" w:rsidRDefault="00053364" w:rsidP="00A570C2">
      <w:pPr>
        <w:spacing w:before="60"/>
        <w:rPr>
          <w:rFonts w:cs="Arial"/>
          <w:szCs w:val="24"/>
        </w:rPr>
      </w:pPr>
      <w:r w:rsidRPr="00053364">
        <w:rPr>
          <w:rFonts w:eastAsia="Arial" w:cs="Arial"/>
          <w:b/>
          <w:bCs/>
          <w:szCs w:val="24"/>
        </w:rPr>
        <w:t>Fuente</w:t>
      </w:r>
      <w:r w:rsidRPr="00053364">
        <w:rPr>
          <w:rFonts w:eastAsia="Arial" w:cs="Arial"/>
          <w:szCs w:val="24"/>
        </w:rPr>
        <w:t>: elaboración propia con base en el análisis de ejecución presupuestal 2021–2025.</w:t>
      </w:r>
    </w:p>
    <w:sectPr w:rsidR="00021632" w:rsidRPr="00A570C2" w:rsidSect="002824F1">
      <w:pgSz w:w="12242" w:h="15842" w:code="1"/>
      <w:pgMar w:top="1701" w:right="1134" w:bottom="1701" w:left="2268"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8CAEAB" w14:textId="77777777" w:rsidR="00F453FE" w:rsidRDefault="00F453FE" w:rsidP="00537288">
      <w:pPr>
        <w:spacing w:before="0" w:after="0"/>
      </w:pPr>
      <w:r>
        <w:separator/>
      </w:r>
    </w:p>
  </w:endnote>
  <w:endnote w:type="continuationSeparator" w:id="0">
    <w:p w14:paraId="0602F464" w14:textId="77777777" w:rsidR="00F453FE" w:rsidRDefault="00F453FE" w:rsidP="00537288">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56400525"/>
      <w:docPartObj>
        <w:docPartGallery w:val="Page Numbers (Bottom of Page)"/>
        <w:docPartUnique/>
      </w:docPartObj>
    </w:sdtPr>
    <w:sdtContent>
      <w:p w14:paraId="1BAB2F0C" w14:textId="77777777" w:rsidR="008B1DA1" w:rsidRDefault="008B1DA1">
        <w:pPr>
          <w:pStyle w:val="Piedepgina"/>
          <w:jc w:val="center"/>
        </w:pPr>
        <w:r>
          <w:fldChar w:fldCharType="begin"/>
        </w:r>
        <w:r>
          <w:instrText>PAGE   \* MERGEFORMAT</w:instrText>
        </w:r>
        <w:r>
          <w:fldChar w:fldCharType="separate"/>
        </w:r>
        <w:r w:rsidRPr="00636A5E">
          <w:rPr>
            <w:noProof/>
            <w:lang w:val="es-ES"/>
          </w:rPr>
          <w:t>27</w:t>
        </w:r>
        <w:r>
          <w:fldChar w:fldCharType="end"/>
        </w:r>
      </w:p>
    </w:sdtContent>
  </w:sdt>
  <w:p w14:paraId="1138AC17" w14:textId="77777777" w:rsidR="008B1DA1" w:rsidRDefault="008B1DA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A4B380" w14:textId="77777777" w:rsidR="00F453FE" w:rsidRDefault="00F453FE" w:rsidP="00537288">
      <w:pPr>
        <w:spacing w:before="0" w:after="0"/>
      </w:pPr>
      <w:r>
        <w:separator/>
      </w:r>
    </w:p>
  </w:footnote>
  <w:footnote w:type="continuationSeparator" w:id="0">
    <w:p w14:paraId="752FE2A3" w14:textId="77777777" w:rsidR="00F453FE" w:rsidRDefault="00F453FE" w:rsidP="00537288">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2771A1" w14:textId="71F4C87C" w:rsidR="00537288" w:rsidRDefault="00537288">
    <w:pPr>
      <w:pStyle w:val="Encabezado"/>
    </w:pPr>
    <w:r w:rsidRPr="00881BD1">
      <w:rPr>
        <w:rFonts w:ascii="Times New Roman" w:hAnsi="Times New Roman" w:cs="Times New Roman"/>
        <w:noProof/>
        <w:szCs w:val="24"/>
        <w:lang w:eastAsia="es-CO"/>
      </w:rPr>
      <w:drawing>
        <wp:anchor distT="0" distB="0" distL="114300" distR="114300" simplePos="0" relativeHeight="251659264" behindDoc="0" locked="0" layoutInCell="1" allowOverlap="1" wp14:anchorId="56BC38FA" wp14:editId="4E155EC1">
          <wp:simplePos x="0" y="0"/>
          <wp:positionH relativeFrom="margin">
            <wp:align>right</wp:align>
          </wp:positionH>
          <wp:positionV relativeFrom="paragraph">
            <wp:posOffset>2768676</wp:posOffset>
          </wp:positionV>
          <wp:extent cx="6305550" cy="2800350"/>
          <wp:effectExtent l="19050" t="0" r="19050" b="819150"/>
          <wp:wrapNone/>
          <wp:docPr id="1742832053" name="Imagen 1742832053" descr="Interfaz de usuario gráfica,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n 56" descr="Interfaz de usuario gráfica, Text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305550" cy="280035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BD4E97"/>
    <w:multiLevelType w:val="hybridMultilevel"/>
    <w:tmpl w:val="686A493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AC138BD"/>
    <w:multiLevelType w:val="hybridMultilevel"/>
    <w:tmpl w:val="7018D2C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9B44A0C"/>
    <w:multiLevelType w:val="hybridMultilevel"/>
    <w:tmpl w:val="61FEAE16"/>
    <w:lvl w:ilvl="0" w:tplc="24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E6C4138"/>
    <w:multiLevelType w:val="hybridMultilevel"/>
    <w:tmpl w:val="8FFC400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26E60701"/>
    <w:multiLevelType w:val="hybridMultilevel"/>
    <w:tmpl w:val="AE00D3DC"/>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5" w15:restartNumberingAfterBreak="0">
    <w:nsid w:val="2F3D0009"/>
    <w:multiLevelType w:val="hybridMultilevel"/>
    <w:tmpl w:val="BC78EE5C"/>
    <w:lvl w:ilvl="0" w:tplc="24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325E0839"/>
    <w:multiLevelType w:val="hybridMultilevel"/>
    <w:tmpl w:val="7D7C66A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32AB0E43"/>
    <w:multiLevelType w:val="hybridMultilevel"/>
    <w:tmpl w:val="8DF0CDA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3A010B22"/>
    <w:multiLevelType w:val="hybridMultilevel"/>
    <w:tmpl w:val="E696A0C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3BD8074E"/>
    <w:multiLevelType w:val="hybridMultilevel"/>
    <w:tmpl w:val="2A66F1FC"/>
    <w:lvl w:ilvl="0" w:tplc="BD14338E">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0" w15:restartNumberingAfterBreak="0">
    <w:nsid w:val="43474B25"/>
    <w:multiLevelType w:val="hybridMultilevel"/>
    <w:tmpl w:val="2BCA52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44E94EA7"/>
    <w:multiLevelType w:val="hybridMultilevel"/>
    <w:tmpl w:val="454E1B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52B77A10"/>
    <w:multiLevelType w:val="hybridMultilevel"/>
    <w:tmpl w:val="3AC27D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5BBE4797"/>
    <w:multiLevelType w:val="hybridMultilevel"/>
    <w:tmpl w:val="7570B7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6E6A2744"/>
    <w:multiLevelType w:val="hybridMultilevel"/>
    <w:tmpl w:val="2EF604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79161AE8"/>
    <w:multiLevelType w:val="hybridMultilevel"/>
    <w:tmpl w:val="DF16EFB6"/>
    <w:lvl w:ilvl="0" w:tplc="F6E695DE">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6" w15:restartNumberingAfterBreak="0">
    <w:nsid w:val="7BB06D8C"/>
    <w:multiLevelType w:val="hybridMultilevel"/>
    <w:tmpl w:val="DC762B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7C5463E5"/>
    <w:multiLevelType w:val="hybridMultilevel"/>
    <w:tmpl w:val="2A3CA8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949121499">
    <w:abstractNumId w:val="1"/>
  </w:num>
  <w:num w:numId="2" w16cid:durableId="126049022">
    <w:abstractNumId w:val="15"/>
  </w:num>
  <w:num w:numId="3" w16cid:durableId="609432060">
    <w:abstractNumId w:val="9"/>
  </w:num>
  <w:num w:numId="4" w16cid:durableId="1225264656">
    <w:abstractNumId w:val="8"/>
  </w:num>
  <w:num w:numId="5" w16cid:durableId="1742869005">
    <w:abstractNumId w:val="4"/>
  </w:num>
  <w:num w:numId="6" w16cid:durableId="282424384">
    <w:abstractNumId w:val="6"/>
  </w:num>
  <w:num w:numId="7" w16cid:durableId="840703060">
    <w:abstractNumId w:val="17"/>
  </w:num>
  <w:num w:numId="8" w16cid:durableId="283464034">
    <w:abstractNumId w:val="5"/>
  </w:num>
  <w:num w:numId="9" w16cid:durableId="649331647">
    <w:abstractNumId w:val="14"/>
  </w:num>
  <w:num w:numId="10" w16cid:durableId="95835143">
    <w:abstractNumId w:val="11"/>
  </w:num>
  <w:num w:numId="11" w16cid:durableId="1867059074">
    <w:abstractNumId w:val="2"/>
  </w:num>
  <w:num w:numId="12" w16cid:durableId="774373581">
    <w:abstractNumId w:val="13"/>
  </w:num>
  <w:num w:numId="13" w16cid:durableId="1931502355">
    <w:abstractNumId w:val="3"/>
  </w:num>
  <w:num w:numId="14" w16cid:durableId="961151569">
    <w:abstractNumId w:val="0"/>
  </w:num>
  <w:num w:numId="15" w16cid:durableId="1501003044">
    <w:abstractNumId w:val="7"/>
  </w:num>
  <w:num w:numId="16" w16cid:durableId="1645574917">
    <w:abstractNumId w:val="10"/>
  </w:num>
  <w:num w:numId="17" w16cid:durableId="2045397475">
    <w:abstractNumId w:val="12"/>
  </w:num>
  <w:num w:numId="18" w16cid:durableId="10356952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24F1"/>
    <w:rsid w:val="000001E9"/>
    <w:rsid w:val="000030B8"/>
    <w:rsid w:val="000064E6"/>
    <w:rsid w:val="000165ED"/>
    <w:rsid w:val="00021632"/>
    <w:rsid w:val="00022E9C"/>
    <w:rsid w:val="00024255"/>
    <w:rsid w:val="00027621"/>
    <w:rsid w:val="0003247A"/>
    <w:rsid w:val="000368D9"/>
    <w:rsid w:val="000373F4"/>
    <w:rsid w:val="000457E9"/>
    <w:rsid w:val="00047410"/>
    <w:rsid w:val="00053364"/>
    <w:rsid w:val="0006613F"/>
    <w:rsid w:val="000760D2"/>
    <w:rsid w:val="0008337B"/>
    <w:rsid w:val="00084CEE"/>
    <w:rsid w:val="00085BC4"/>
    <w:rsid w:val="000916BE"/>
    <w:rsid w:val="00094627"/>
    <w:rsid w:val="000A0148"/>
    <w:rsid w:val="000B1DF1"/>
    <w:rsid w:val="000B3441"/>
    <w:rsid w:val="000B4F50"/>
    <w:rsid w:val="000B5015"/>
    <w:rsid w:val="000C1F6B"/>
    <w:rsid w:val="000C596F"/>
    <w:rsid w:val="000C5C83"/>
    <w:rsid w:val="000D3635"/>
    <w:rsid w:val="000E3EB4"/>
    <w:rsid w:val="000F00FA"/>
    <w:rsid w:val="000F4778"/>
    <w:rsid w:val="001010D2"/>
    <w:rsid w:val="00106035"/>
    <w:rsid w:val="001137D6"/>
    <w:rsid w:val="001256C9"/>
    <w:rsid w:val="00131E8F"/>
    <w:rsid w:val="00135DDF"/>
    <w:rsid w:val="00137341"/>
    <w:rsid w:val="00150BF5"/>
    <w:rsid w:val="001527BB"/>
    <w:rsid w:val="00160581"/>
    <w:rsid w:val="00160F60"/>
    <w:rsid w:val="00161EB8"/>
    <w:rsid w:val="00163EB6"/>
    <w:rsid w:val="001647F5"/>
    <w:rsid w:val="00177A81"/>
    <w:rsid w:val="00181CEC"/>
    <w:rsid w:val="00186394"/>
    <w:rsid w:val="00190D90"/>
    <w:rsid w:val="00193D00"/>
    <w:rsid w:val="0019541F"/>
    <w:rsid w:val="001A3F56"/>
    <w:rsid w:val="001B2EB5"/>
    <w:rsid w:val="001B457E"/>
    <w:rsid w:val="001C6183"/>
    <w:rsid w:val="001D42A8"/>
    <w:rsid w:val="001F2F5E"/>
    <w:rsid w:val="001F3230"/>
    <w:rsid w:val="001F509F"/>
    <w:rsid w:val="001F62B4"/>
    <w:rsid w:val="00201877"/>
    <w:rsid w:val="002076BA"/>
    <w:rsid w:val="0021025B"/>
    <w:rsid w:val="002123DC"/>
    <w:rsid w:val="00212664"/>
    <w:rsid w:val="00214EE3"/>
    <w:rsid w:val="00221E32"/>
    <w:rsid w:val="0022305B"/>
    <w:rsid w:val="00231258"/>
    <w:rsid w:val="0025592F"/>
    <w:rsid w:val="00255A66"/>
    <w:rsid w:val="00255D7E"/>
    <w:rsid w:val="002560ED"/>
    <w:rsid w:val="002566CA"/>
    <w:rsid w:val="002657C8"/>
    <w:rsid w:val="002657D9"/>
    <w:rsid w:val="002676A9"/>
    <w:rsid w:val="0027113C"/>
    <w:rsid w:val="002824F1"/>
    <w:rsid w:val="00283CBE"/>
    <w:rsid w:val="002851CE"/>
    <w:rsid w:val="00285DF5"/>
    <w:rsid w:val="00297663"/>
    <w:rsid w:val="002B0091"/>
    <w:rsid w:val="002B0D85"/>
    <w:rsid w:val="002B273E"/>
    <w:rsid w:val="002C139F"/>
    <w:rsid w:val="002C197D"/>
    <w:rsid w:val="002C2A80"/>
    <w:rsid w:val="002C52F4"/>
    <w:rsid w:val="002C539F"/>
    <w:rsid w:val="002C5A97"/>
    <w:rsid w:val="002C7B0F"/>
    <w:rsid w:val="002D4D51"/>
    <w:rsid w:val="002F427E"/>
    <w:rsid w:val="002F4A39"/>
    <w:rsid w:val="00302D1D"/>
    <w:rsid w:val="003035FE"/>
    <w:rsid w:val="0030735D"/>
    <w:rsid w:val="003100F8"/>
    <w:rsid w:val="00330716"/>
    <w:rsid w:val="00332F75"/>
    <w:rsid w:val="003371D6"/>
    <w:rsid w:val="00345677"/>
    <w:rsid w:val="003554BC"/>
    <w:rsid w:val="00367026"/>
    <w:rsid w:val="00372612"/>
    <w:rsid w:val="00377C5A"/>
    <w:rsid w:val="00380693"/>
    <w:rsid w:val="00381229"/>
    <w:rsid w:val="00387F4E"/>
    <w:rsid w:val="003A1DBE"/>
    <w:rsid w:val="003A243B"/>
    <w:rsid w:val="003A6996"/>
    <w:rsid w:val="003A6BA2"/>
    <w:rsid w:val="003B7330"/>
    <w:rsid w:val="003C5C8E"/>
    <w:rsid w:val="003C5E78"/>
    <w:rsid w:val="003D5215"/>
    <w:rsid w:val="003E05E9"/>
    <w:rsid w:val="003E0617"/>
    <w:rsid w:val="003E1832"/>
    <w:rsid w:val="003E2DD7"/>
    <w:rsid w:val="003E5A8A"/>
    <w:rsid w:val="003E72B1"/>
    <w:rsid w:val="003F76CE"/>
    <w:rsid w:val="004120AF"/>
    <w:rsid w:val="00414869"/>
    <w:rsid w:val="0041794F"/>
    <w:rsid w:val="00425420"/>
    <w:rsid w:val="00433A6F"/>
    <w:rsid w:val="0044258A"/>
    <w:rsid w:val="004459F9"/>
    <w:rsid w:val="00452A38"/>
    <w:rsid w:val="00460B92"/>
    <w:rsid w:val="00465FEE"/>
    <w:rsid w:val="00477D13"/>
    <w:rsid w:val="0048030B"/>
    <w:rsid w:val="00490B10"/>
    <w:rsid w:val="004A4EF2"/>
    <w:rsid w:val="004A54BE"/>
    <w:rsid w:val="004A7822"/>
    <w:rsid w:val="004C07C2"/>
    <w:rsid w:val="004C0F95"/>
    <w:rsid w:val="004C2856"/>
    <w:rsid w:val="004C5FBA"/>
    <w:rsid w:val="004D3F48"/>
    <w:rsid w:val="004D6368"/>
    <w:rsid w:val="004E0DD3"/>
    <w:rsid w:val="004F053E"/>
    <w:rsid w:val="004F2F0D"/>
    <w:rsid w:val="00502528"/>
    <w:rsid w:val="005036C6"/>
    <w:rsid w:val="00513C9D"/>
    <w:rsid w:val="00523601"/>
    <w:rsid w:val="005239F3"/>
    <w:rsid w:val="005267FC"/>
    <w:rsid w:val="00537288"/>
    <w:rsid w:val="00541696"/>
    <w:rsid w:val="005624B7"/>
    <w:rsid w:val="00567F9D"/>
    <w:rsid w:val="00576F95"/>
    <w:rsid w:val="00586BE8"/>
    <w:rsid w:val="00590728"/>
    <w:rsid w:val="00591DB5"/>
    <w:rsid w:val="00592EE9"/>
    <w:rsid w:val="005A058A"/>
    <w:rsid w:val="005B758E"/>
    <w:rsid w:val="005C4681"/>
    <w:rsid w:val="005C546E"/>
    <w:rsid w:val="005D21B7"/>
    <w:rsid w:val="005D3D23"/>
    <w:rsid w:val="005D3E2F"/>
    <w:rsid w:val="005D6C12"/>
    <w:rsid w:val="005E58B3"/>
    <w:rsid w:val="005E77A4"/>
    <w:rsid w:val="005F7B7A"/>
    <w:rsid w:val="00601132"/>
    <w:rsid w:val="0060181A"/>
    <w:rsid w:val="00612B34"/>
    <w:rsid w:val="00616425"/>
    <w:rsid w:val="00622E5E"/>
    <w:rsid w:val="00627381"/>
    <w:rsid w:val="00627A6A"/>
    <w:rsid w:val="00630357"/>
    <w:rsid w:val="00636D92"/>
    <w:rsid w:val="006374F6"/>
    <w:rsid w:val="0064507E"/>
    <w:rsid w:val="00645606"/>
    <w:rsid w:val="00651640"/>
    <w:rsid w:val="0065247E"/>
    <w:rsid w:val="00666C0B"/>
    <w:rsid w:val="006944B6"/>
    <w:rsid w:val="006A0418"/>
    <w:rsid w:val="006A2BF6"/>
    <w:rsid w:val="006A4CA7"/>
    <w:rsid w:val="006A5545"/>
    <w:rsid w:val="006B2D89"/>
    <w:rsid w:val="006C2AAA"/>
    <w:rsid w:val="006C4483"/>
    <w:rsid w:val="006D274E"/>
    <w:rsid w:val="006D42D3"/>
    <w:rsid w:val="006E2F6F"/>
    <w:rsid w:val="006E4A6F"/>
    <w:rsid w:val="006E5351"/>
    <w:rsid w:val="006F07AE"/>
    <w:rsid w:val="006F7F02"/>
    <w:rsid w:val="00723486"/>
    <w:rsid w:val="00730C5D"/>
    <w:rsid w:val="00750671"/>
    <w:rsid w:val="0075756E"/>
    <w:rsid w:val="00757A7E"/>
    <w:rsid w:val="00763600"/>
    <w:rsid w:val="0076787D"/>
    <w:rsid w:val="00767D22"/>
    <w:rsid w:val="00770F1F"/>
    <w:rsid w:val="007719E7"/>
    <w:rsid w:val="00782CA1"/>
    <w:rsid w:val="0078695B"/>
    <w:rsid w:val="00786C74"/>
    <w:rsid w:val="00797B91"/>
    <w:rsid w:val="00797D71"/>
    <w:rsid w:val="007A186D"/>
    <w:rsid w:val="007A67B2"/>
    <w:rsid w:val="007B26DC"/>
    <w:rsid w:val="007B3ACB"/>
    <w:rsid w:val="007B6670"/>
    <w:rsid w:val="007C5831"/>
    <w:rsid w:val="007D7697"/>
    <w:rsid w:val="007E060D"/>
    <w:rsid w:val="007E2172"/>
    <w:rsid w:val="007F2C78"/>
    <w:rsid w:val="007F3A30"/>
    <w:rsid w:val="007F7E2E"/>
    <w:rsid w:val="008011E1"/>
    <w:rsid w:val="00802829"/>
    <w:rsid w:val="00807FB7"/>
    <w:rsid w:val="00810F39"/>
    <w:rsid w:val="00820056"/>
    <w:rsid w:val="0082304C"/>
    <w:rsid w:val="00823143"/>
    <w:rsid w:val="0082620F"/>
    <w:rsid w:val="008273BC"/>
    <w:rsid w:val="0084278E"/>
    <w:rsid w:val="00845F7B"/>
    <w:rsid w:val="00853FBA"/>
    <w:rsid w:val="00855973"/>
    <w:rsid w:val="00860D39"/>
    <w:rsid w:val="00865163"/>
    <w:rsid w:val="00871DEC"/>
    <w:rsid w:val="0087320A"/>
    <w:rsid w:val="00884D24"/>
    <w:rsid w:val="008A3560"/>
    <w:rsid w:val="008B1DA1"/>
    <w:rsid w:val="008B6E61"/>
    <w:rsid w:val="008C4DFB"/>
    <w:rsid w:val="008C7422"/>
    <w:rsid w:val="008D76B2"/>
    <w:rsid w:val="008E661E"/>
    <w:rsid w:val="008F0DD8"/>
    <w:rsid w:val="008F268F"/>
    <w:rsid w:val="008F3E11"/>
    <w:rsid w:val="008F6708"/>
    <w:rsid w:val="008F7663"/>
    <w:rsid w:val="00900514"/>
    <w:rsid w:val="009023BB"/>
    <w:rsid w:val="00906A94"/>
    <w:rsid w:val="0091079A"/>
    <w:rsid w:val="00914A83"/>
    <w:rsid w:val="0093116B"/>
    <w:rsid w:val="00932E27"/>
    <w:rsid w:val="00934A4B"/>
    <w:rsid w:val="00944AC8"/>
    <w:rsid w:val="00947190"/>
    <w:rsid w:val="0095377D"/>
    <w:rsid w:val="00960389"/>
    <w:rsid w:val="00964846"/>
    <w:rsid w:val="009711E7"/>
    <w:rsid w:val="00984DAA"/>
    <w:rsid w:val="00985EC5"/>
    <w:rsid w:val="00994EA2"/>
    <w:rsid w:val="009A0017"/>
    <w:rsid w:val="009A0B7B"/>
    <w:rsid w:val="009A1B56"/>
    <w:rsid w:val="009A314F"/>
    <w:rsid w:val="009A3D52"/>
    <w:rsid w:val="009A75AC"/>
    <w:rsid w:val="009B0946"/>
    <w:rsid w:val="009C5643"/>
    <w:rsid w:val="009C6E66"/>
    <w:rsid w:val="009C6F3A"/>
    <w:rsid w:val="009D12C4"/>
    <w:rsid w:val="009D5B62"/>
    <w:rsid w:val="009E17EF"/>
    <w:rsid w:val="009E21CF"/>
    <w:rsid w:val="009E2961"/>
    <w:rsid w:val="009E789C"/>
    <w:rsid w:val="009F20E8"/>
    <w:rsid w:val="009F2A8C"/>
    <w:rsid w:val="009F6F7A"/>
    <w:rsid w:val="00A03D5E"/>
    <w:rsid w:val="00A1223D"/>
    <w:rsid w:val="00A14526"/>
    <w:rsid w:val="00A21BD9"/>
    <w:rsid w:val="00A23E4D"/>
    <w:rsid w:val="00A2473E"/>
    <w:rsid w:val="00A250B4"/>
    <w:rsid w:val="00A3005C"/>
    <w:rsid w:val="00A31460"/>
    <w:rsid w:val="00A37544"/>
    <w:rsid w:val="00A41FD3"/>
    <w:rsid w:val="00A43279"/>
    <w:rsid w:val="00A439A5"/>
    <w:rsid w:val="00A50815"/>
    <w:rsid w:val="00A570C2"/>
    <w:rsid w:val="00A60B0C"/>
    <w:rsid w:val="00A64073"/>
    <w:rsid w:val="00A702B9"/>
    <w:rsid w:val="00A740EB"/>
    <w:rsid w:val="00A82B3C"/>
    <w:rsid w:val="00A857FE"/>
    <w:rsid w:val="00A90B42"/>
    <w:rsid w:val="00A94B3E"/>
    <w:rsid w:val="00A94DF9"/>
    <w:rsid w:val="00AB35B8"/>
    <w:rsid w:val="00AB7F6C"/>
    <w:rsid w:val="00AC11C8"/>
    <w:rsid w:val="00AD2889"/>
    <w:rsid w:val="00AD6702"/>
    <w:rsid w:val="00AE2DCE"/>
    <w:rsid w:val="00AE46AD"/>
    <w:rsid w:val="00AE7C47"/>
    <w:rsid w:val="00AE7F14"/>
    <w:rsid w:val="00AF1FBA"/>
    <w:rsid w:val="00B0053C"/>
    <w:rsid w:val="00B107D2"/>
    <w:rsid w:val="00B120AB"/>
    <w:rsid w:val="00B14896"/>
    <w:rsid w:val="00B22B53"/>
    <w:rsid w:val="00B3022B"/>
    <w:rsid w:val="00B31BCC"/>
    <w:rsid w:val="00B35276"/>
    <w:rsid w:val="00B363AE"/>
    <w:rsid w:val="00B36F01"/>
    <w:rsid w:val="00B44E8B"/>
    <w:rsid w:val="00B45B12"/>
    <w:rsid w:val="00B52EBE"/>
    <w:rsid w:val="00B55EBC"/>
    <w:rsid w:val="00B576C0"/>
    <w:rsid w:val="00B607F5"/>
    <w:rsid w:val="00B636D1"/>
    <w:rsid w:val="00B63E21"/>
    <w:rsid w:val="00B7219C"/>
    <w:rsid w:val="00B72C25"/>
    <w:rsid w:val="00B90F6A"/>
    <w:rsid w:val="00B94D93"/>
    <w:rsid w:val="00B95430"/>
    <w:rsid w:val="00B957E7"/>
    <w:rsid w:val="00BA21FE"/>
    <w:rsid w:val="00BA4159"/>
    <w:rsid w:val="00BA50BC"/>
    <w:rsid w:val="00BA558C"/>
    <w:rsid w:val="00BA7C6A"/>
    <w:rsid w:val="00BB1BB0"/>
    <w:rsid w:val="00BB569D"/>
    <w:rsid w:val="00BB7895"/>
    <w:rsid w:val="00BC19BC"/>
    <w:rsid w:val="00BE1251"/>
    <w:rsid w:val="00BF5CE2"/>
    <w:rsid w:val="00C024B4"/>
    <w:rsid w:val="00C1635B"/>
    <w:rsid w:val="00C172AB"/>
    <w:rsid w:val="00C17A5A"/>
    <w:rsid w:val="00C21009"/>
    <w:rsid w:val="00C23A64"/>
    <w:rsid w:val="00C243DB"/>
    <w:rsid w:val="00C40D67"/>
    <w:rsid w:val="00C44208"/>
    <w:rsid w:val="00C548E6"/>
    <w:rsid w:val="00C62FD7"/>
    <w:rsid w:val="00C739A0"/>
    <w:rsid w:val="00C860DE"/>
    <w:rsid w:val="00C86F43"/>
    <w:rsid w:val="00C871F0"/>
    <w:rsid w:val="00C94091"/>
    <w:rsid w:val="00C95373"/>
    <w:rsid w:val="00C96B85"/>
    <w:rsid w:val="00CA287B"/>
    <w:rsid w:val="00CA2B0B"/>
    <w:rsid w:val="00CB55E0"/>
    <w:rsid w:val="00CC2431"/>
    <w:rsid w:val="00CC5D19"/>
    <w:rsid w:val="00CE0208"/>
    <w:rsid w:val="00CE3FB0"/>
    <w:rsid w:val="00CE6A76"/>
    <w:rsid w:val="00CE7A1D"/>
    <w:rsid w:val="00CF6B0A"/>
    <w:rsid w:val="00D0204C"/>
    <w:rsid w:val="00D04B49"/>
    <w:rsid w:val="00D15ED7"/>
    <w:rsid w:val="00D20D8C"/>
    <w:rsid w:val="00D24C05"/>
    <w:rsid w:val="00D273DF"/>
    <w:rsid w:val="00D304EF"/>
    <w:rsid w:val="00D342B2"/>
    <w:rsid w:val="00D401D1"/>
    <w:rsid w:val="00D4522C"/>
    <w:rsid w:val="00D46E91"/>
    <w:rsid w:val="00D60FA4"/>
    <w:rsid w:val="00D63D86"/>
    <w:rsid w:val="00D63FDC"/>
    <w:rsid w:val="00D6630C"/>
    <w:rsid w:val="00D70572"/>
    <w:rsid w:val="00D730E3"/>
    <w:rsid w:val="00D771E0"/>
    <w:rsid w:val="00D83860"/>
    <w:rsid w:val="00D84991"/>
    <w:rsid w:val="00D90A41"/>
    <w:rsid w:val="00D90EBE"/>
    <w:rsid w:val="00DA5D30"/>
    <w:rsid w:val="00DC0687"/>
    <w:rsid w:val="00DE1FB3"/>
    <w:rsid w:val="00DE318D"/>
    <w:rsid w:val="00DE39C9"/>
    <w:rsid w:val="00DE64C8"/>
    <w:rsid w:val="00DF4CF2"/>
    <w:rsid w:val="00E00254"/>
    <w:rsid w:val="00E00FB2"/>
    <w:rsid w:val="00E01033"/>
    <w:rsid w:val="00E16F49"/>
    <w:rsid w:val="00E237DD"/>
    <w:rsid w:val="00E26B00"/>
    <w:rsid w:val="00E47EBF"/>
    <w:rsid w:val="00E658F0"/>
    <w:rsid w:val="00E66A2B"/>
    <w:rsid w:val="00E67C01"/>
    <w:rsid w:val="00E72F48"/>
    <w:rsid w:val="00E807F6"/>
    <w:rsid w:val="00E8491B"/>
    <w:rsid w:val="00E87BE2"/>
    <w:rsid w:val="00E95D8D"/>
    <w:rsid w:val="00E96D1E"/>
    <w:rsid w:val="00EA373F"/>
    <w:rsid w:val="00EA3E94"/>
    <w:rsid w:val="00EA724A"/>
    <w:rsid w:val="00EB0F1F"/>
    <w:rsid w:val="00EB17B4"/>
    <w:rsid w:val="00EB401C"/>
    <w:rsid w:val="00EB6A1D"/>
    <w:rsid w:val="00EC14F6"/>
    <w:rsid w:val="00EC2B87"/>
    <w:rsid w:val="00EC7ADA"/>
    <w:rsid w:val="00EC7AFB"/>
    <w:rsid w:val="00ED432B"/>
    <w:rsid w:val="00ED7EBB"/>
    <w:rsid w:val="00EE0192"/>
    <w:rsid w:val="00EE164A"/>
    <w:rsid w:val="00EF2657"/>
    <w:rsid w:val="00EF308F"/>
    <w:rsid w:val="00EF4927"/>
    <w:rsid w:val="00EF673C"/>
    <w:rsid w:val="00F00631"/>
    <w:rsid w:val="00F06293"/>
    <w:rsid w:val="00F0671A"/>
    <w:rsid w:val="00F0680E"/>
    <w:rsid w:val="00F16FDE"/>
    <w:rsid w:val="00F174C0"/>
    <w:rsid w:val="00F203FB"/>
    <w:rsid w:val="00F209AB"/>
    <w:rsid w:val="00F2267F"/>
    <w:rsid w:val="00F24BEB"/>
    <w:rsid w:val="00F26601"/>
    <w:rsid w:val="00F27C36"/>
    <w:rsid w:val="00F304B4"/>
    <w:rsid w:val="00F332CD"/>
    <w:rsid w:val="00F337FF"/>
    <w:rsid w:val="00F37781"/>
    <w:rsid w:val="00F453FE"/>
    <w:rsid w:val="00F53896"/>
    <w:rsid w:val="00F633AD"/>
    <w:rsid w:val="00F641B3"/>
    <w:rsid w:val="00F6770C"/>
    <w:rsid w:val="00F70F7B"/>
    <w:rsid w:val="00F92230"/>
    <w:rsid w:val="00F96D51"/>
    <w:rsid w:val="00FA18B6"/>
    <w:rsid w:val="00FA5E99"/>
    <w:rsid w:val="00FB21CD"/>
    <w:rsid w:val="00FB7A0B"/>
    <w:rsid w:val="00FC4070"/>
    <w:rsid w:val="00FD424B"/>
    <w:rsid w:val="00FD7075"/>
    <w:rsid w:val="00FD7212"/>
    <w:rsid w:val="00FE1BD9"/>
    <w:rsid w:val="00FE3DB9"/>
    <w:rsid w:val="00FF0AAB"/>
    <w:rsid w:val="00FF3012"/>
    <w:rsid w:val="00FF3A0D"/>
    <w:rsid w:val="00FF6F1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978FAD"/>
  <w15:chartTrackingRefBased/>
  <w15:docId w15:val="{4CC3D0AE-F421-480A-B7AA-D174E7381C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before="240" w:after="240" w:line="480"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0208"/>
    <w:pPr>
      <w:spacing w:line="240" w:lineRule="auto"/>
      <w:ind w:firstLine="0"/>
    </w:pPr>
    <w:rPr>
      <w:rFonts w:ascii="Arial" w:hAnsi="Arial"/>
      <w:sz w:val="24"/>
    </w:rPr>
  </w:style>
  <w:style w:type="paragraph" w:styleId="Ttulo1">
    <w:name w:val="heading 1"/>
    <w:basedOn w:val="Normal"/>
    <w:next w:val="Normal"/>
    <w:link w:val="Ttulo1Car"/>
    <w:autoRedefine/>
    <w:uiPriority w:val="9"/>
    <w:qFormat/>
    <w:rsid w:val="005D3E2F"/>
    <w:pPr>
      <w:keepNext/>
      <w:keepLines/>
      <w:spacing w:before="360" w:after="80" w:line="480" w:lineRule="auto"/>
      <w:jc w:val="center"/>
      <w:outlineLvl w:val="0"/>
    </w:pPr>
    <w:rPr>
      <w:rFonts w:eastAsiaTheme="majorEastAsia" w:cstheme="majorBidi"/>
      <w:szCs w:val="40"/>
    </w:rPr>
  </w:style>
  <w:style w:type="paragraph" w:styleId="Ttulo2">
    <w:name w:val="heading 2"/>
    <w:basedOn w:val="Normal"/>
    <w:next w:val="Normal"/>
    <w:link w:val="Ttulo2Car"/>
    <w:autoRedefine/>
    <w:uiPriority w:val="9"/>
    <w:unhideWhenUsed/>
    <w:qFormat/>
    <w:rsid w:val="0030735D"/>
    <w:pPr>
      <w:keepNext/>
      <w:keepLines/>
      <w:spacing w:before="160" w:after="0" w:line="480" w:lineRule="auto"/>
      <w:outlineLvl w:val="1"/>
    </w:pPr>
    <w:rPr>
      <w:rFonts w:eastAsiaTheme="majorEastAsia" w:cstheme="majorBidi"/>
      <w:szCs w:val="32"/>
      <w:lang w:val="es-MX"/>
    </w:rPr>
  </w:style>
  <w:style w:type="paragraph" w:styleId="Ttulo3">
    <w:name w:val="heading 3"/>
    <w:basedOn w:val="Normal"/>
    <w:next w:val="Normal"/>
    <w:link w:val="Ttulo3Car"/>
    <w:uiPriority w:val="9"/>
    <w:unhideWhenUsed/>
    <w:qFormat/>
    <w:rsid w:val="00B52EBE"/>
    <w:pPr>
      <w:keepNext/>
      <w:keepLines/>
      <w:spacing w:before="40" w:after="0"/>
      <w:outlineLvl w:val="2"/>
    </w:pPr>
    <w:rPr>
      <w:rFonts w:eastAsiaTheme="majorEastAsia" w:cstheme="majorBidi"/>
      <w:szCs w:val="24"/>
    </w:rPr>
  </w:style>
  <w:style w:type="paragraph" w:styleId="Ttulo4">
    <w:name w:val="heading 4"/>
    <w:basedOn w:val="Normal"/>
    <w:next w:val="Normal"/>
    <w:link w:val="Ttulo4Car"/>
    <w:autoRedefine/>
    <w:uiPriority w:val="9"/>
    <w:unhideWhenUsed/>
    <w:qFormat/>
    <w:rsid w:val="00FE1BD9"/>
    <w:pPr>
      <w:keepNext/>
      <w:keepLines/>
      <w:spacing w:before="80" w:after="40"/>
      <w:outlineLvl w:val="3"/>
    </w:pPr>
    <w:rPr>
      <w:rFonts w:eastAsiaTheme="majorEastAsia" w:cstheme="majorBidi"/>
      <w:i/>
      <w:iCs/>
    </w:rPr>
  </w:style>
  <w:style w:type="paragraph" w:styleId="Ttulo5">
    <w:name w:val="heading 5"/>
    <w:basedOn w:val="Normal"/>
    <w:next w:val="Normal"/>
    <w:link w:val="Ttulo5Car"/>
    <w:uiPriority w:val="9"/>
    <w:semiHidden/>
    <w:unhideWhenUsed/>
    <w:qFormat/>
    <w:rsid w:val="002824F1"/>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2824F1"/>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2824F1"/>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2824F1"/>
    <w:pPr>
      <w:keepNext/>
      <w:keepLines/>
      <w:spacing w:before="0"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2824F1"/>
    <w:pPr>
      <w:keepNext/>
      <w:keepLines/>
      <w:spacing w:before="0"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B52EBE"/>
    <w:rPr>
      <w:rFonts w:ascii="Arial" w:eastAsiaTheme="majorEastAsia" w:hAnsi="Arial" w:cstheme="majorBidi"/>
      <w:sz w:val="24"/>
      <w:szCs w:val="24"/>
    </w:rPr>
  </w:style>
  <w:style w:type="character" w:customStyle="1" w:styleId="Ttulo1Car">
    <w:name w:val="Título 1 Car"/>
    <w:basedOn w:val="Fuentedeprrafopredeter"/>
    <w:link w:val="Ttulo1"/>
    <w:uiPriority w:val="9"/>
    <w:rsid w:val="005D3E2F"/>
    <w:rPr>
      <w:rFonts w:ascii="Arial" w:eastAsiaTheme="majorEastAsia" w:hAnsi="Arial" w:cstheme="majorBidi"/>
      <w:sz w:val="24"/>
      <w:szCs w:val="40"/>
    </w:rPr>
  </w:style>
  <w:style w:type="character" w:customStyle="1" w:styleId="Ttulo2Car">
    <w:name w:val="Título 2 Car"/>
    <w:basedOn w:val="Fuentedeprrafopredeter"/>
    <w:link w:val="Ttulo2"/>
    <w:uiPriority w:val="9"/>
    <w:rsid w:val="0030735D"/>
    <w:rPr>
      <w:rFonts w:ascii="Arial" w:eastAsiaTheme="majorEastAsia" w:hAnsi="Arial" w:cstheme="majorBidi"/>
      <w:sz w:val="24"/>
      <w:szCs w:val="32"/>
      <w:lang w:val="es-MX"/>
    </w:rPr>
  </w:style>
  <w:style w:type="character" w:customStyle="1" w:styleId="Ttulo4Car">
    <w:name w:val="Título 4 Car"/>
    <w:basedOn w:val="Fuentedeprrafopredeter"/>
    <w:link w:val="Ttulo4"/>
    <w:uiPriority w:val="9"/>
    <w:rsid w:val="00FE1BD9"/>
    <w:rPr>
      <w:rFonts w:ascii="Arial" w:eastAsiaTheme="majorEastAsia" w:hAnsi="Arial" w:cstheme="majorBidi"/>
      <w:i/>
      <w:iCs/>
      <w:sz w:val="24"/>
    </w:rPr>
  </w:style>
  <w:style w:type="character" w:customStyle="1" w:styleId="Ttulo5Car">
    <w:name w:val="Título 5 Car"/>
    <w:basedOn w:val="Fuentedeprrafopredeter"/>
    <w:link w:val="Ttulo5"/>
    <w:uiPriority w:val="9"/>
    <w:semiHidden/>
    <w:rsid w:val="002824F1"/>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2824F1"/>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2824F1"/>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2824F1"/>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2824F1"/>
    <w:rPr>
      <w:rFonts w:eastAsiaTheme="majorEastAsia" w:cstheme="majorBidi"/>
      <w:color w:val="272727" w:themeColor="text1" w:themeTint="D8"/>
    </w:rPr>
  </w:style>
  <w:style w:type="paragraph" w:styleId="Ttulo">
    <w:name w:val="Title"/>
    <w:basedOn w:val="Normal"/>
    <w:next w:val="Normal"/>
    <w:link w:val="TtuloCar"/>
    <w:uiPriority w:val="10"/>
    <w:qFormat/>
    <w:rsid w:val="002824F1"/>
    <w:pPr>
      <w:spacing w:before="0"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2824F1"/>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2824F1"/>
    <w:pPr>
      <w:numPr>
        <w:ilvl w:val="1"/>
      </w:numPr>
      <w:spacing w:after="160"/>
      <w:ind w:firstLine="720"/>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2824F1"/>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2824F1"/>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2824F1"/>
    <w:rPr>
      <w:i/>
      <w:iCs/>
      <w:color w:val="404040" w:themeColor="text1" w:themeTint="BF"/>
    </w:rPr>
  </w:style>
  <w:style w:type="paragraph" w:styleId="Prrafodelista">
    <w:name w:val="List Paragraph"/>
    <w:basedOn w:val="Normal"/>
    <w:uiPriority w:val="1"/>
    <w:qFormat/>
    <w:rsid w:val="002824F1"/>
    <w:pPr>
      <w:ind w:left="720"/>
      <w:contextualSpacing/>
    </w:pPr>
  </w:style>
  <w:style w:type="character" w:styleId="nfasisintenso">
    <w:name w:val="Intense Emphasis"/>
    <w:basedOn w:val="Fuentedeprrafopredeter"/>
    <w:uiPriority w:val="21"/>
    <w:qFormat/>
    <w:rsid w:val="002824F1"/>
    <w:rPr>
      <w:i/>
      <w:iCs/>
      <w:color w:val="0F4761" w:themeColor="accent1" w:themeShade="BF"/>
    </w:rPr>
  </w:style>
  <w:style w:type="paragraph" w:styleId="Citadestacada">
    <w:name w:val="Intense Quote"/>
    <w:basedOn w:val="Normal"/>
    <w:next w:val="Normal"/>
    <w:link w:val="CitadestacadaCar"/>
    <w:uiPriority w:val="30"/>
    <w:qFormat/>
    <w:rsid w:val="002824F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2824F1"/>
    <w:rPr>
      <w:i/>
      <w:iCs/>
      <w:color w:val="0F4761" w:themeColor="accent1" w:themeShade="BF"/>
    </w:rPr>
  </w:style>
  <w:style w:type="character" w:styleId="Referenciaintensa">
    <w:name w:val="Intense Reference"/>
    <w:basedOn w:val="Fuentedeprrafopredeter"/>
    <w:uiPriority w:val="32"/>
    <w:qFormat/>
    <w:rsid w:val="002824F1"/>
    <w:rPr>
      <w:b/>
      <w:bCs/>
      <w:smallCaps/>
      <w:color w:val="0F4761" w:themeColor="accent1" w:themeShade="BF"/>
      <w:spacing w:val="5"/>
    </w:rPr>
  </w:style>
  <w:style w:type="table" w:styleId="Tablaconcuadrcula4-nfasis6">
    <w:name w:val="Grid Table 4 Accent 6"/>
    <w:basedOn w:val="Tablanormal"/>
    <w:uiPriority w:val="49"/>
    <w:rsid w:val="00214EE3"/>
    <w:pPr>
      <w:spacing w:after="0" w:line="240" w:lineRule="auto"/>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color w:val="FFFFFF" w:themeColor="background1"/>
      </w:rPr>
      <w:tblPr/>
      <w:tcPr>
        <w:tcBorders>
          <w:top w:val="single" w:sz="4" w:space="0" w:color="4EA72E" w:themeColor="accent6"/>
          <w:left w:val="single" w:sz="4" w:space="0" w:color="4EA72E" w:themeColor="accent6"/>
          <w:bottom w:val="single" w:sz="4" w:space="0" w:color="4EA72E" w:themeColor="accent6"/>
          <w:right w:val="single" w:sz="4" w:space="0" w:color="4EA72E" w:themeColor="accent6"/>
          <w:insideH w:val="nil"/>
          <w:insideV w:val="nil"/>
        </w:tcBorders>
        <w:shd w:val="clear" w:color="auto" w:fill="4EA72E" w:themeFill="accent6"/>
      </w:tcPr>
    </w:tblStylePr>
    <w:tblStylePr w:type="lastRow">
      <w:rPr>
        <w:b/>
        <w:bCs/>
      </w:rPr>
      <w:tblPr/>
      <w:tcPr>
        <w:tcBorders>
          <w:top w:val="double" w:sz="4" w:space="0" w:color="4EA72E" w:themeColor="accent6"/>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paragraph" w:styleId="TDC1">
    <w:name w:val="toc 1"/>
    <w:basedOn w:val="Normal"/>
    <w:next w:val="Normal"/>
    <w:autoRedefine/>
    <w:uiPriority w:val="39"/>
    <w:unhideWhenUsed/>
    <w:rsid w:val="00084CEE"/>
    <w:pPr>
      <w:spacing w:after="100"/>
    </w:pPr>
  </w:style>
  <w:style w:type="paragraph" w:styleId="TDC2">
    <w:name w:val="toc 2"/>
    <w:basedOn w:val="Normal"/>
    <w:next w:val="Normal"/>
    <w:autoRedefine/>
    <w:uiPriority w:val="39"/>
    <w:unhideWhenUsed/>
    <w:rsid w:val="00084CEE"/>
    <w:pPr>
      <w:spacing w:after="100"/>
      <w:ind w:left="240"/>
    </w:pPr>
  </w:style>
  <w:style w:type="character" w:styleId="Hipervnculo">
    <w:name w:val="Hyperlink"/>
    <w:basedOn w:val="Fuentedeprrafopredeter"/>
    <w:uiPriority w:val="99"/>
    <w:unhideWhenUsed/>
    <w:rsid w:val="00084CEE"/>
    <w:rPr>
      <w:color w:val="467886" w:themeColor="hyperlink"/>
      <w:u w:val="single"/>
    </w:rPr>
  </w:style>
  <w:style w:type="character" w:styleId="Mencinsinresolver">
    <w:name w:val="Unresolved Mention"/>
    <w:basedOn w:val="Fuentedeprrafopredeter"/>
    <w:uiPriority w:val="99"/>
    <w:semiHidden/>
    <w:unhideWhenUsed/>
    <w:rsid w:val="004C07C2"/>
    <w:rPr>
      <w:color w:val="605E5C"/>
      <w:shd w:val="clear" w:color="auto" w:fill="E1DFDD"/>
    </w:rPr>
  </w:style>
  <w:style w:type="paragraph" w:styleId="Piedepgina">
    <w:name w:val="footer"/>
    <w:basedOn w:val="Normal"/>
    <w:link w:val="PiedepginaCar"/>
    <w:uiPriority w:val="99"/>
    <w:unhideWhenUsed/>
    <w:rsid w:val="008B1DA1"/>
    <w:pPr>
      <w:tabs>
        <w:tab w:val="center" w:pos="4419"/>
        <w:tab w:val="right" w:pos="8838"/>
      </w:tabs>
      <w:spacing w:before="0" w:after="0"/>
    </w:pPr>
    <w:rPr>
      <w:rFonts w:asciiTheme="minorHAnsi" w:hAnsiTheme="minorHAnsi"/>
      <w:sz w:val="22"/>
    </w:rPr>
  </w:style>
  <w:style w:type="character" w:customStyle="1" w:styleId="PiedepginaCar">
    <w:name w:val="Pie de página Car"/>
    <w:basedOn w:val="Fuentedeprrafopredeter"/>
    <w:link w:val="Piedepgina"/>
    <w:uiPriority w:val="99"/>
    <w:rsid w:val="008B1DA1"/>
  </w:style>
  <w:style w:type="paragraph" w:styleId="Descripcin">
    <w:name w:val="caption"/>
    <w:basedOn w:val="Normal"/>
    <w:next w:val="Normal"/>
    <w:uiPriority w:val="35"/>
    <w:unhideWhenUsed/>
    <w:qFormat/>
    <w:rsid w:val="008B1DA1"/>
    <w:pPr>
      <w:spacing w:before="0" w:after="200"/>
    </w:pPr>
    <w:rPr>
      <w:rFonts w:asciiTheme="minorHAnsi" w:hAnsiTheme="minorHAnsi"/>
      <w:i/>
      <w:iCs/>
      <w:color w:val="0E2841" w:themeColor="text2"/>
      <w:sz w:val="18"/>
      <w:szCs w:val="18"/>
    </w:rPr>
  </w:style>
  <w:style w:type="paragraph" w:styleId="Encabezado">
    <w:name w:val="header"/>
    <w:basedOn w:val="Normal"/>
    <w:link w:val="EncabezadoCar"/>
    <w:uiPriority w:val="99"/>
    <w:unhideWhenUsed/>
    <w:rsid w:val="00537288"/>
    <w:pPr>
      <w:tabs>
        <w:tab w:val="center" w:pos="4419"/>
        <w:tab w:val="right" w:pos="8838"/>
      </w:tabs>
      <w:spacing w:before="0" w:after="0"/>
    </w:pPr>
  </w:style>
  <w:style w:type="character" w:customStyle="1" w:styleId="EncabezadoCar">
    <w:name w:val="Encabezado Car"/>
    <w:basedOn w:val="Fuentedeprrafopredeter"/>
    <w:link w:val="Encabezado"/>
    <w:uiPriority w:val="99"/>
    <w:rsid w:val="00537288"/>
    <w:rPr>
      <w:rFonts w:ascii="Arial" w:hAnsi="Arial"/>
      <w:sz w:val="24"/>
    </w:rPr>
  </w:style>
  <w:style w:type="paragraph" w:styleId="Tabladeilustraciones">
    <w:name w:val="table of figures"/>
    <w:basedOn w:val="Normal"/>
    <w:next w:val="Normal"/>
    <w:uiPriority w:val="99"/>
    <w:unhideWhenUsed/>
    <w:rsid w:val="00F304B4"/>
    <w:pPr>
      <w:spacing w:after="0"/>
    </w:pPr>
  </w:style>
  <w:style w:type="paragraph" w:styleId="TDC3">
    <w:name w:val="toc 3"/>
    <w:basedOn w:val="Normal"/>
    <w:next w:val="Normal"/>
    <w:autoRedefine/>
    <w:uiPriority w:val="39"/>
    <w:unhideWhenUsed/>
    <w:rsid w:val="009B0946"/>
    <w:pPr>
      <w:spacing w:after="100"/>
      <w:ind w:left="480"/>
    </w:pPr>
  </w:style>
  <w:style w:type="paragraph" w:styleId="TDC4">
    <w:name w:val="toc 4"/>
    <w:basedOn w:val="Normal"/>
    <w:next w:val="Normal"/>
    <w:autoRedefine/>
    <w:uiPriority w:val="39"/>
    <w:unhideWhenUsed/>
    <w:rsid w:val="00592EE9"/>
    <w:pPr>
      <w:spacing w:after="100"/>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hyperlink" Target="https://aguachicacesar.micolombiadigital.gov.co/sites/aguachicacesar/content/files/000884/44158_codigo-de-integridad_0001.pdf" TargetMode="External"/><Relationship Id="rId3" Type="http://schemas.openxmlformats.org/officeDocument/2006/relationships/styles" Target="styles.xml"/><Relationship Id="rId21" Type="http://schemas.openxmlformats.org/officeDocument/2006/relationships/hyperlink" Target="https://www.aguachica-cesar.gov.co/alcaldia/mision-y-vision" TargetMode="Externa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hyperlink" Target="https://radioguatapuri.com/noticias/-greisy-tatiana-aguachica" TargetMode="Externa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image" Target="media/image4.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www.eltiempo.com/colombia/otras-ciudades/greisy-roqueme-ropero-es-la-nueva-alcaldesa-de-aguachica-sur-del-cesar-3402638" TargetMode="Externa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hyperlink" Target="https://doi.org/10.5089/9798400289668.061" TargetMode="External"/><Relationship Id="rId28"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chart" Target="charts/chart8.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3.xml"/><Relationship Id="rId22" Type="http://schemas.openxmlformats.org/officeDocument/2006/relationships/hyperlink" Target="https://www.aguachica-cesar.gov.co/noticias/isaac-holguin-felizzola-es-designado-como-alcalde-encargado" TargetMode="External"/><Relationship Id="rId27" Type="http://schemas.openxmlformats.org/officeDocument/2006/relationships/hyperlink" Target="https://www.worldbank.org/en/topic/economic-policy/fiscal-policy"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jeibe\Downloads\20011_Aguachica_%20Cesar_Plan%20Financiero_2026-2035.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jeibe\Downloads\20011_Aguachica_%20Cesar_Plan%20Financiero_2026-2035.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jeibe\Downloads\20011_Aguachica_%20Cesar_Plan%20Financiero_2026-2035.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jeibe\Downloads\20011_Aguachica_%20Cesar_Plan%20Financiero_2026-2035.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jeibe\Downloads\20011_Aguachica_%20Cesar_Plan%20Financiero_2026-2035.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jeibe\Downloads\20011_Aguachica_%20Cesar_Plan%20Financiero_2026-2035.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file:///C:\Users\jeibe\Downloads\20011_Aguachica_%20Cesar_Plan%20Financiero_2026-2035.xlsx" TargetMode="Externa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file:///C:\Users\jeibe\Downloads\20011_Aguachica_%20Cesar_Plan%20Financiero_2026-203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Diagnóstico!$D$102</c:f>
              <c:strCache>
                <c:ptCount val="1"/>
                <c:pt idx="0">
                  <c:v>INGRESOS PROGRAMADOS (sin financiación)</c:v>
                </c:pt>
              </c:strCache>
            </c:strRef>
          </c:tx>
          <c:spPr>
            <a:solidFill>
              <a:schemeClr val="accent1"/>
            </a:solidFill>
            <a:ln>
              <a:noFill/>
            </a:ln>
            <a:effectLst/>
          </c:spPr>
          <c:invertIfNegative val="0"/>
          <c:dLbls>
            <c:delete val="1"/>
          </c:dLbls>
          <c:cat>
            <c:numRef>
              <c:f>Diagnóstico!$E$101:$I$101</c:f>
              <c:numCache>
                <c:formatCode>General</c:formatCode>
                <c:ptCount val="5"/>
                <c:pt idx="0">
                  <c:v>2021</c:v>
                </c:pt>
                <c:pt idx="1">
                  <c:v>2022</c:v>
                </c:pt>
                <c:pt idx="2">
                  <c:v>2023</c:v>
                </c:pt>
                <c:pt idx="3">
                  <c:v>2024</c:v>
                </c:pt>
                <c:pt idx="4">
                  <c:v>2025</c:v>
                </c:pt>
              </c:numCache>
            </c:numRef>
          </c:cat>
          <c:val>
            <c:numRef>
              <c:f>Diagnóstico!$E$102:$I$102</c:f>
              <c:numCache>
                <c:formatCode>#,##0</c:formatCode>
                <c:ptCount val="5"/>
                <c:pt idx="0">
                  <c:v>114834.76730700002</c:v>
                </c:pt>
                <c:pt idx="1">
                  <c:v>126696.43425699999</c:v>
                </c:pt>
                <c:pt idx="2">
                  <c:v>149031.38288199998</c:v>
                </c:pt>
                <c:pt idx="3">
                  <c:v>167956.51309699999</c:v>
                </c:pt>
                <c:pt idx="4">
                  <c:v>184609.01825000002</c:v>
                </c:pt>
              </c:numCache>
            </c:numRef>
          </c:val>
          <c:extLst>
            <c:ext xmlns:c16="http://schemas.microsoft.com/office/drawing/2014/chart" uri="{C3380CC4-5D6E-409C-BE32-E72D297353CC}">
              <c16:uniqueId val="{00000000-13C3-4CAE-A8DB-EFA4F341C123}"/>
            </c:ext>
          </c:extLst>
        </c:ser>
        <c:ser>
          <c:idx val="1"/>
          <c:order val="1"/>
          <c:tx>
            <c:strRef>
              <c:f>Diagnóstico!$D$103</c:f>
              <c:strCache>
                <c:ptCount val="1"/>
                <c:pt idx="0">
                  <c:v>INGRESOS EJECUTADOS (sin financiación)</c:v>
                </c:pt>
              </c:strCache>
            </c:strRef>
          </c:tx>
          <c:spPr>
            <a:solidFill>
              <a:schemeClr val="accent2"/>
            </a:solidFill>
            <a:ln>
              <a:noFill/>
            </a:ln>
            <a:effectLst/>
          </c:spPr>
          <c:invertIfNegative val="0"/>
          <c:dLbls>
            <c:delete val="1"/>
          </c:dLbls>
          <c:cat>
            <c:numRef>
              <c:f>Diagnóstico!$E$101:$I$101</c:f>
              <c:numCache>
                <c:formatCode>General</c:formatCode>
                <c:ptCount val="5"/>
                <c:pt idx="0">
                  <c:v>2021</c:v>
                </c:pt>
                <c:pt idx="1">
                  <c:v>2022</c:v>
                </c:pt>
                <c:pt idx="2">
                  <c:v>2023</c:v>
                </c:pt>
                <c:pt idx="3">
                  <c:v>2024</c:v>
                </c:pt>
                <c:pt idx="4">
                  <c:v>2025</c:v>
                </c:pt>
              </c:numCache>
            </c:numRef>
          </c:cat>
          <c:val>
            <c:numRef>
              <c:f>Diagnóstico!$E$103:$I$103</c:f>
              <c:numCache>
                <c:formatCode>#,##0</c:formatCode>
                <c:ptCount val="5"/>
                <c:pt idx="0">
                  <c:v>110103.02186900002</c:v>
                </c:pt>
                <c:pt idx="1">
                  <c:v>123755.09807299999</c:v>
                </c:pt>
                <c:pt idx="2">
                  <c:v>154644.735587</c:v>
                </c:pt>
                <c:pt idx="3">
                  <c:v>172296.09894900001</c:v>
                </c:pt>
                <c:pt idx="4">
                  <c:v>185963.84941500003</c:v>
                </c:pt>
              </c:numCache>
            </c:numRef>
          </c:val>
          <c:extLst>
            <c:ext xmlns:c16="http://schemas.microsoft.com/office/drawing/2014/chart" uri="{C3380CC4-5D6E-409C-BE32-E72D297353CC}">
              <c16:uniqueId val="{00000001-13C3-4CAE-A8DB-EFA4F341C123}"/>
            </c:ext>
          </c:extLst>
        </c:ser>
        <c:dLbls>
          <c:showLegendKey val="0"/>
          <c:showVal val="1"/>
          <c:showCatName val="0"/>
          <c:showSerName val="0"/>
          <c:showPercent val="0"/>
          <c:showBubbleSize val="0"/>
        </c:dLbls>
        <c:gapWidth val="219"/>
        <c:overlap val="-27"/>
        <c:axId val="1038378736"/>
        <c:axId val="1038365776"/>
      </c:barChart>
      <c:lineChart>
        <c:grouping val="standard"/>
        <c:varyColors val="0"/>
        <c:ser>
          <c:idx val="2"/>
          <c:order val="2"/>
          <c:tx>
            <c:strRef>
              <c:f>Diagnóstico!$D$104</c:f>
              <c:strCache>
                <c:ptCount val="1"/>
                <c:pt idx="0">
                  <c:v>% DE EJECUCIÓN</c:v>
                </c:pt>
              </c:strCache>
            </c:strRef>
          </c:tx>
          <c:spPr>
            <a:ln w="28575" cap="rnd">
              <a:solidFill>
                <a:schemeClr val="accent3"/>
              </a:solidFill>
              <a:round/>
            </a:ln>
            <a:effectLst/>
          </c:spPr>
          <c:marker>
            <c:symbol val="none"/>
          </c:marker>
          <c:dLbls>
            <c:delete val="1"/>
          </c:dLbls>
          <c:cat>
            <c:numRef>
              <c:f>Diagnóstico!$E$101:$I$101</c:f>
              <c:numCache>
                <c:formatCode>General</c:formatCode>
                <c:ptCount val="5"/>
                <c:pt idx="0">
                  <c:v>2021</c:v>
                </c:pt>
                <c:pt idx="1">
                  <c:v>2022</c:v>
                </c:pt>
                <c:pt idx="2">
                  <c:v>2023</c:v>
                </c:pt>
                <c:pt idx="3">
                  <c:v>2024</c:v>
                </c:pt>
                <c:pt idx="4">
                  <c:v>2025</c:v>
                </c:pt>
              </c:numCache>
            </c:numRef>
          </c:cat>
          <c:val>
            <c:numRef>
              <c:f>Diagnóstico!$E$104:$I$104</c:f>
              <c:numCache>
                <c:formatCode>0%</c:formatCode>
                <c:ptCount val="5"/>
                <c:pt idx="0">
                  <c:v>0.95879518416796095</c:v>
                </c:pt>
                <c:pt idx="1">
                  <c:v>0.97678438070298346</c:v>
                </c:pt>
                <c:pt idx="2">
                  <c:v>1.0376655748369763</c:v>
                </c:pt>
                <c:pt idx="3">
                  <c:v>1.0258375562339388</c:v>
                </c:pt>
                <c:pt idx="4">
                  <c:v>1.0073389218893156</c:v>
                </c:pt>
              </c:numCache>
            </c:numRef>
          </c:val>
          <c:smooth val="0"/>
          <c:extLst>
            <c:ext xmlns:c16="http://schemas.microsoft.com/office/drawing/2014/chart" uri="{C3380CC4-5D6E-409C-BE32-E72D297353CC}">
              <c16:uniqueId val="{00000002-13C3-4CAE-A8DB-EFA4F341C123}"/>
            </c:ext>
          </c:extLst>
        </c:ser>
        <c:dLbls>
          <c:showLegendKey val="0"/>
          <c:showVal val="1"/>
          <c:showCatName val="0"/>
          <c:showSerName val="0"/>
          <c:showPercent val="0"/>
          <c:showBubbleSize val="0"/>
        </c:dLbls>
        <c:marker val="1"/>
        <c:smooth val="0"/>
        <c:axId val="1038376336"/>
        <c:axId val="1038376816"/>
      </c:lineChart>
      <c:catAx>
        <c:axId val="103837873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038365776"/>
        <c:crosses val="autoZero"/>
        <c:auto val="1"/>
        <c:lblAlgn val="ctr"/>
        <c:lblOffset val="100"/>
        <c:noMultiLvlLbl val="0"/>
      </c:catAx>
      <c:valAx>
        <c:axId val="10383657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Millones de pesos corrientes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038378736"/>
        <c:crosses val="autoZero"/>
        <c:crossBetween val="between"/>
        <c:majorUnit val="50000"/>
      </c:valAx>
      <c:valAx>
        <c:axId val="1038376816"/>
        <c:scaling>
          <c:orientation val="minMax"/>
        </c:scaling>
        <c:delete val="0"/>
        <c:axPos val="r"/>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038376336"/>
        <c:crosses val="max"/>
        <c:crossBetween val="between"/>
        <c:majorUnit val="5.000000000000001E-2"/>
      </c:valAx>
      <c:catAx>
        <c:axId val="1038376336"/>
        <c:scaling>
          <c:orientation val="minMax"/>
        </c:scaling>
        <c:delete val="1"/>
        <c:axPos val="t"/>
        <c:numFmt formatCode="General" sourceLinked="1"/>
        <c:majorTickMark val="out"/>
        <c:minorTickMark val="none"/>
        <c:tickLblPos val="nextTo"/>
        <c:crossAx val="1038376816"/>
        <c:crosses val="max"/>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O"/>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Diagnóstico!$D$179</c:f>
              <c:strCache>
                <c:ptCount val="1"/>
                <c:pt idx="0">
                  <c:v>TRIBUTARIOS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Diagnóstico!$E$178:$I$178</c:f>
              <c:numCache>
                <c:formatCode>General</c:formatCode>
                <c:ptCount val="5"/>
                <c:pt idx="0">
                  <c:v>2021</c:v>
                </c:pt>
                <c:pt idx="1">
                  <c:v>2022</c:v>
                </c:pt>
                <c:pt idx="2">
                  <c:v>2023</c:v>
                </c:pt>
                <c:pt idx="3">
                  <c:v>2024</c:v>
                </c:pt>
                <c:pt idx="4">
                  <c:v>2025</c:v>
                </c:pt>
              </c:numCache>
            </c:numRef>
          </c:cat>
          <c:val>
            <c:numRef>
              <c:f>Diagnóstico!$E$179:$I$179</c:f>
              <c:numCache>
                <c:formatCode>0.00%</c:formatCode>
                <c:ptCount val="5"/>
                <c:pt idx="0">
                  <c:v>0.17101981630807184</c:v>
                </c:pt>
                <c:pt idx="1">
                  <c:v>0.17173803205636931</c:v>
                </c:pt>
                <c:pt idx="2">
                  <c:v>0.1942519630880036</c:v>
                </c:pt>
                <c:pt idx="3">
                  <c:v>0.18685366630691699</c:v>
                </c:pt>
                <c:pt idx="4">
                  <c:v>0.17698927661230246</c:v>
                </c:pt>
              </c:numCache>
            </c:numRef>
          </c:val>
          <c:extLst>
            <c:ext xmlns:c16="http://schemas.microsoft.com/office/drawing/2014/chart" uri="{C3380CC4-5D6E-409C-BE32-E72D297353CC}">
              <c16:uniqueId val="{00000000-B947-42F0-A32F-4F335031CB70}"/>
            </c:ext>
          </c:extLst>
        </c:ser>
        <c:ser>
          <c:idx val="1"/>
          <c:order val="1"/>
          <c:tx>
            <c:strRef>
              <c:f>Diagnóstico!$D$180</c:f>
              <c:strCache>
                <c:ptCount val="1"/>
                <c:pt idx="0">
                  <c:v>NO TRIBUTARIOS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Diagnóstico!$E$178:$I$178</c:f>
              <c:numCache>
                <c:formatCode>General</c:formatCode>
                <c:ptCount val="5"/>
                <c:pt idx="0">
                  <c:v>2021</c:v>
                </c:pt>
                <c:pt idx="1">
                  <c:v>2022</c:v>
                </c:pt>
                <c:pt idx="2">
                  <c:v>2023</c:v>
                </c:pt>
                <c:pt idx="3">
                  <c:v>2024</c:v>
                </c:pt>
                <c:pt idx="4">
                  <c:v>2025</c:v>
                </c:pt>
              </c:numCache>
            </c:numRef>
          </c:cat>
          <c:val>
            <c:numRef>
              <c:f>Diagnóstico!$E$180:$I$180</c:f>
              <c:numCache>
                <c:formatCode>0.00%</c:formatCode>
                <c:ptCount val="5"/>
                <c:pt idx="0">
                  <c:v>7.947479380185583E-3</c:v>
                </c:pt>
                <c:pt idx="1">
                  <c:v>2.7068931439284776E-2</c:v>
                </c:pt>
                <c:pt idx="2">
                  <c:v>1.9179804865270416E-2</c:v>
                </c:pt>
                <c:pt idx="3">
                  <c:v>1.6068166452332017E-2</c:v>
                </c:pt>
                <c:pt idx="4">
                  <c:v>1.5554795204011719E-2</c:v>
                </c:pt>
              </c:numCache>
            </c:numRef>
          </c:val>
          <c:extLst>
            <c:ext xmlns:c16="http://schemas.microsoft.com/office/drawing/2014/chart" uri="{C3380CC4-5D6E-409C-BE32-E72D297353CC}">
              <c16:uniqueId val="{00000001-B947-42F0-A32F-4F335031CB70}"/>
            </c:ext>
          </c:extLst>
        </c:ser>
        <c:ser>
          <c:idx val="2"/>
          <c:order val="2"/>
          <c:tx>
            <c:strRef>
              <c:f>Diagnóstico!$D$181</c:f>
              <c:strCache>
                <c:ptCount val="1"/>
                <c:pt idx="0">
                  <c:v>TRANSFERENCIAS CORRIENTES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Diagnóstico!$E$178:$I$178</c:f>
              <c:numCache>
                <c:formatCode>General</c:formatCode>
                <c:ptCount val="5"/>
                <c:pt idx="0">
                  <c:v>2021</c:v>
                </c:pt>
                <c:pt idx="1">
                  <c:v>2022</c:v>
                </c:pt>
                <c:pt idx="2">
                  <c:v>2023</c:v>
                </c:pt>
                <c:pt idx="3">
                  <c:v>2024</c:v>
                </c:pt>
                <c:pt idx="4">
                  <c:v>2025</c:v>
                </c:pt>
              </c:numCache>
            </c:numRef>
          </c:cat>
          <c:val>
            <c:numRef>
              <c:f>Diagnóstico!$E$181:$I$181</c:f>
              <c:numCache>
                <c:formatCode>0.00%</c:formatCode>
                <c:ptCount val="5"/>
                <c:pt idx="0">
                  <c:v>0.81156791242583148</c:v>
                </c:pt>
                <c:pt idx="1">
                  <c:v>0.7988959810340952</c:v>
                </c:pt>
                <c:pt idx="2">
                  <c:v>0.77902291537900425</c:v>
                </c:pt>
                <c:pt idx="3">
                  <c:v>0.79081010676469987</c:v>
                </c:pt>
                <c:pt idx="4">
                  <c:v>0.80250367751831686</c:v>
                </c:pt>
              </c:numCache>
            </c:numRef>
          </c:val>
          <c:extLst>
            <c:ext xmlns:c16="http://schemas.microsoft.com/office/drawing/2014/chart" uri="{C3380CC4-5D6E-409C-BE32-E72D297353CC}">
              <c16:uniqueId val="{00000002-B947-42F0-A32F-4F335031CB70}"/>
            </c:ext>
          </c:extLst>
        </c:ser>
        <c:ser>
          <c:idx val="3"/>
          <c:order val="3"/>
          <c:tx>
            <c:strRef>
              <c:f>Diagnóstico!$D$182</c:f>
              <c:strCache>
                <c:ptCount val="1"/>
                <c:pt idx="0">
                  <c:v>INGRESOS DE CAPITAL</c:v>
                </c:pt>
              </c:strCache>
            </c:strRef>
          </c:tx>
          <c:spPr>
            <a:solidFill>
              <a:schemeClr val="accent4"/>
            </a:solidFill>
            <a:ln>
              <a:noFill/>
            </a:ln>
            <a:effectLst/>
          </c:spPr>
          <c:invertIfNegative val="0"/>
          <c:dLbls>
            <c:dLbl>
              <c:idx val="0"/>
              <c:layout>
                <c:manualLayout>
                  <c:x val="0"/>
                  <c:y val="1.5074392721560931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947-42F0-A32F-4F335031CB70}"/>
                </c:ext>
              </c:extLst>
            </c:dLbl>
            <c:dLbl>
              <c:idx val="1"/>
              <c:layout>
                <c:manualLayout>
                  <c:x val="0"/>
                  <c:y val="1.5074392721560931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947-42F0-A32F-4F335031CB70}"/>
                </c:ext>
              </c:extLst>
            </c:dLbl>
            <c:dLbl>
              <c:idx val="2"/>
              <c:layout>
                <c:manualLayout>
                  <c:x val="-1.0187661235444441E-16"/>
                  <c:y val="1.5074392721560931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947-42F0-A32F-4F335031CB70}"/>
                </c:ext>
              </c:extLst>
            </c:dLbl>
            <c:dLbl>
              <c:idx val="3"/>
              <c:layout>
                <c:manualLayout>
                  <c:x val="-1.0187661235444441E-16"/>
                  <c:y val="1.4392286342244107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947-42F0-A32F-4F335031CB70}"/>
                </c:ext>
              </c:extLst>
            </c:dLbl>
            <c:dLbl>
              <c:idx val="4"/>
              <c:layout>
                <c:manualLayout>
                  <c:x val="-1.0187661235444441E-16"/>
                  <c:y val="1.0049595147707287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947-42F0-A32F-4F335031CB7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Diagnóstico!$E$178:$I$178</c:f>
              <c:numCache>
                <c:formatCode>General</c:formatCode>
                <c:ptCount val="5"/>
                <c:pt idx="0">
                  <c:v>2021</c:v>
                </c:pt>
                <c:pt idx="1">
                  <c:v>2022</c:v>
                </c:pt>
                <c:pt idx="2">
                  <c:v>2023</c:v>
                </c:pt>
                <c:pt idx="3">
                  <c:v>2024</c:v>
                </c:pt>
                <c:pt idx="4">
                  <c:v>2025</c:v>
                </c:pt>
              </c:numCache>
            </c:numRef>
          </c:cat>
          <c:val>
            <c:numRef>
              <c:f>Diagnóstico!$E$182:$I$182</c:f>
              <c:numCache>
                <c:formatCode>0.00%</c:formatCode>
                <c:ptCount val="5"/>
                <c:pt idx="0">
                  <c:v>9.4647918859110652E-3</c:v>
                </c:pt>
                <c:pt idx="1">
                  <c:v>2.2970554702507287E-3</c:v>
                </c:pt>
                <c:pt idx="2">
                  <c:v>7.5453166677216599E-3</c:v>
                </c:pt>
                <c:pt idx="3">
                  <c:v>6.2680604760510048E-3</c:v>
                </c:pt>
                <c:pt idx="4">
                  <c:v>4.9522506653689223E-3</c:v>
                </c:pt>
              </c:numCache>
            </c:numRef>
          </c:val>
          <c:extLst>
            <c:ext xmlns:c16="http://schemas.microsoft.com/office/drawing/2014/chart" uri="{C3380CC4-5D6E-409C-BE32-E72D297353CC}">
              <c16:uniqueId val="{00000008-B947-42F0-A32F-4F335031CB70}"/>
            </c:ext>
          </c:extLst>
        </c:ser>
        <c:dLbls>
          <c:dLblPos val="ctr"/>
          <c:showLegendKey val="0"/>
          <c:showVal val="1"/>
          <c:showCatName val="0"/>
          <c:showSerName val="0"/>
          <c:showPercent val="0"/>
          <c:showBubbleSize val="0"/>
        </c:dLbls>
        <c:gapWidth val="150"/>
        <c:overlap val="100"/>
        <c:axId val="1038313936"/>
        <c:axId val="1038315376"/>
      </c:barChart>
      <c:catAx>
        <c:axId val="10383139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038315376"/>
        <c:crosses val="autoZero"/>
        <c:auto val="1"/>
        <c:lblAlgn val="ctr"/>
        <c:lblOffset val="100"/>
        <c:noMultiLvlLbl val="0"/>
      </c:catAx>
      <c:valAx>
        <c:axId val="10383153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Participación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038313936"/>
        <c:crosses val="autoZero"/>
        <c:crossBetween val="between"/>
        <c:majorUnit val="0.2"/>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Diagnóstico!$D$137</c:f>
              <c:strCache>
                <c:ptCount val="1"/>
                <c:pt idx="0">
                  <c:v>Impuesto predial unificado</c:v>
                </c:pt>
              </c:strCache>
            </c:strRef>
          </c:tx>
          <c:spPr>
            <a:solidFill>
              <a:schemeClr val="accent1"/>
            </a:solidFill>
            <a:ln>
              <a:noFill/>
            </a:ln>
            <a:effectLst/>
          </c:spPr>
          <c:invertIfNegative val="0"/>
          <c:cat>
            <c:numRef>
              <c:f>(Diagnóstico!$E$135,Diagnóstico!$G$135,Diagnóstico!$I$135,Diagnóstico!$K$135,Diagnóstico!$M$135)</c:f>
              <c:numCache>
                <c:formatCode>General</c:formatCode>
                <c:ptCount val="5"/>
                <c:pt idx="0">
                  <c:v>2021</c:v>
                </c:pt>
                <c:pt idx="1">
                  <c:v>2022</c:v>
                </c:pt>
                <c:pt idx="2">
                  <c:v>2023</c:v>
                </c:pt>
                <c:pt idx="3">
                  <c:v>2024</c:v>
                </c:pt>
                <c:pt idx="4">
                  <c:v>2025</c:v>
                </c:pt>
              </c:numCache>
            </c:numRef>
          </c:cat>
          <c:val>
            <c:numRef>
              <c:f>(Diagnóstico!$E$137,Diagnóstico!$G$137,Diagnóstico!$I$137,Diagnóstico!$K$137,Diagnóstico!$M$137)</c:f>
              <c:numCache>
                <c:formatCode>#,##0</c:formatCode>
                <c:ptCount val="5"/>
                <c:pt idx="0">
                  <c:v>3184.6136999999999</c:v>
                </c:pt>
                <c:pt idx="1">
                  <c:v>3264.9189000000001</c:v>
                </c:pt>
                <c:pt idx="2">
                  <c:v>3637.6653580000002</c:v>
                </c:pt>
                <c:pt idx="3">
                  <c:v>4615.5388199999998</c:v>
                </c:pt>
                <c:pt idx="4">
                  <c:v>4760.736715</c:v>
                </c:pt>
              </c:numCache>
              <c:extLst/>
            </c:numRef>
          </c:val>
          <c:extLst>
            <c:ext xmlns:c16="http://schemas.microsoft.com/office/drawing/2014/chart" uri="{C3380CC4-5D6E-409C-BE32-E72D297353CC}">
              <c16:uniqueId val="{00000000-51B4-4B58-ADDD-8003A18F1BBA}"/>
            </c:ext>
          </c:extLst>
        </c:ser>
        <c:ser>
          <c:idx val="1"/>
          <c:order val="1"/>
          <c:tx>
            <c:strRef>
              <c:f>Diagnóstico!$D$138</c:f>
              <c:strCache>
                <c:ptCount val="1"/>
                <c:pt idx="0">
                  <c:v>Impuesto de industria y comercio</c:v>
                </c:pt>
              </c:strCache>
            </c:strRef>
          </c:tx>
          <c:spPr>
            <a:solidFill>
              <a:schemeClr val="accent2"/>
            </a:solidFill>
            <a:ln>
              <a:noFill/>
            </a:ln>
            <a:effectLst/>
          </c:spPr>
          <c:invertIfNegative val="0"/>
          <c:cat>
            <c:numRef>
              <c:f>(Diagnóstico!$E$135,Diagnóstico!$G$135,Diagnóstico!$I$135,Diagnóstico!$K$135,Diagnóstico!$M$135)</c:f>
              <c:numCache>
                <c:formatCode>General</c:formatCode>
                <c:ptCount val="5"/>
                <c:pt idx="0">
                  <c:v>2021</c:v>
                </c:pt>
                <c:pt idx="1">
                  <c:v>2022</c:v>
                </c:pt>
                <c:pt idx="2">
                  <c:v>2023</c:v>
                </c:pt>
                <c:pt idx="3">
                  <c:v>2024</c:v>
                </c:pt>
                <c:pt idx="4">
                  <c:v>2025</c:v>
                </c:pt>
              </c:numCache>
            </c:numRef>
          </c:cat>
          <c:val>
            <c:numRef>
              <c:f>(Diagnóstico!$E$138,Diagnóstico!$G$138,Diagnóstico!$I$138,Diagnóstico!$K$138,Diagnóstico!$M$138)</c:f>
              <c:numCache>
                <c:formatCode>#,##0</c:formatCode>
                <c:ptCount val="5"/>
                <c:pt idx="0">
                  <c:v>2928.0280779999998</c:v>
                </c:pt>
                <c:pt idx="1">
                  <c:v>2433.6350299999999</c:v>
                </c:pt>
                <c:pt idx="2">
                  <c:v>9826.7102680000007</c:v>
                </c:pt>
                <c:pt idx="3">
                  <c:v>8181.1745849999998</c:v>
                </c:pt>
                <c:pt idx="4">
                  <c:v>8330.7198090000002</c:v>
                </c:pt>
              </c:numCache>
              <c:extLst/>
            </c:numRef>
          </c:val>
          <c:extLst>
            <c:ext xmlns:c16="http://schemas.microsoft.com/office/drawing/2014/chart" uri="{C3380CC4-5D6E-409C-BE32-E72D297353CC}">
              <c16:uniqueId val="{00000001-51B4-4B58-ADDD-8003A18F1BBA}"/>
            </c:ext>
          </c:extLst>
        </c:ser>
        <c:ser>
          <c:idx val="2"/>
          <c:order val="2"/>
          <c:tx>
            <c:strRef>
              <c:f>Diagnóstico!$D$139</c:f>
              <c:strCache>
                <c:ptCount val="1"/>
                <c:pt idx="0">
                  <c:v>Sobretasa a la gasolina</c:v>
                </c:pt>
              </c:strCache>
            </c:strRef>
          </c:tx>
          <c:spPr>
            <a:solidFill>
              <a:schemeClr val="accent3"/>
            </a:solidFill>
            <a:ln>
              <a:noFill/>
            </a:ln>
            <a:effectLst/>
          </c:spPr>
          <c:invertIfNegative val="0"/>
          <c:cat>
            <c:numRef>
              <c:f>(Diagnóstico!$E$135,Diagnóstico!$G$135,Diagnóstico!$I$135,Diagnóstico!$K$135,Diagnóstico!$M$135)</c:f>
              <c:numCache>
                <c:formatCode>General</c:formatCode>
                <c:ptCount val="5"/>
                <c:pt idx="0">
                  <c:v>2021</c:v>
                </c:pt>
                <c:pt idx="1">
                  <c:v>2022</c:v>
                </c:pt>
                <c:pt idx="2">
                  <c:v>2023</c:v>
                </c:pt>
                <c:pt idx="3">
                  <c:v>2024</c:v>
                </c:pt>
                <c:pt idx="4">
                  <c:v>2025</c:v>
                </c:pt>
              </c:numCache>
            </c:numRef>
          </c:cat>
          <c:val>
            <c:numRef>
              <c:f>(Diagnóstico!$E$139,Diagnóstico!$G$139,Diagnóstico!$I$139,Diagnóstico!$K$139,Diagnóstico!$M$139)</c:f>
              <c:numCache>
                <c:formatCode>#,##0</c:formatCode>
                <c:ptCount val="5"/>
                <c:pt idx="0">
                  <c:v>3474.3209999999999</c:v>
                </c:pt>
                <c:pt idx="1">
                  <c:v>2604.607</c:v>
                </c:pt>
                <c:pt idx="2">
                  <c:v>2965.7629999999999</c:v>
                </c:pt>
                <c:pt idx="3">
                  <c:v>2844.4027879999999</c:v>
                </c:pt>
                <c:pt idx="4">
                  <c:v>3041.7289999999998</c:v>
                </c:pt>
              </c:numCache>
              <c:extLst/>
            </c:numRef>
          </c:val>
          <c:extLst>
            <c:ext xmlns:c16="http://schemas.microsoft.com/office/drawing/2014/chart" uri="{C3380CC4-5D6E-409C-BE32-E72D297353CC}">
              <c16:uniqueId val="{00000002-51B4-4B58-ADDD-8003A18F1BBA}"/>
            </c:ext>
          </c:extLst>
        </c:ser>
        <c:ser>
          <c:idx val="3"/>
          <c:order val="3"/>
          <c:tx>
            <c:strRef>
              <c:f>Diagnóstico!$D$140</c:f>
              <c:strCache>
                <c:ptCount val="1"/>
                <c:pt idx="0">
                  <c:v>Estampillas</c:v>
                </c:pt>
              </c:strCache>
            </c:strRef>
          </c:tx>
          <c:spPr>
            <a:solidFill>
              <a:schemeClr val="accent4"/>
            </a:solidFill>
            <a:ln>
              <a:noFill/>
            </a:ln>
            <a:effectLst/>
          </c:spPr>
          <c:invertIfNegative val="0"/>
          <c:cat>
            <c:numRef>
              <c:f>(Diagnóstico!$E$135,Diagnóstico!$G$135,Diagnóstico!$I$135,Diagnóstico!$K$135,Diagnóstico!$M$135)</c:f>
              <c:numCache>
                <c:formatCode>General</c:formatCode>
                <c:ptCount val="5"/>
                <c:pt idx="0">
                  <c:v>2021</c:v>
                </c:pt>
                <c:pt idx="1">
                  <c:v>2022</c:v>
                </c:pt>
                <c:pt idx="2">
                  <c:v>2023</c:v>
                </c:pt>
                <c:pt idx="3">
                  <c:v>2024</c:v>
                </c:pt>
                <c:pt idx="4">
                  <c:v>2025</c:v>
                </c:pt>
              </c:numCache>
            </c:numRef>
          </c:cat>
          <c:val>
            <c:numRef>
              <c:f>(Diagnóstico!$E$140,Diagnóstico!$G$140,Diagnóstico!$I$140,Diagnóstico!$K$140,Diagnóstico!$M$140)</c:f>
              <c:numCache>
                <c:formatCode>#,##0</c:formatCode>
                <c:ptCount val="5"/>
                <c:pt idx="0">
                  <c:v>468.38868100000002</c:v>
                </c:pt>
                <c:pt idx="1">
                  <c:v>2071.5382119999999</c:v>
                </c:pt>
                <c:pt idx="2">
                  <c:v>1636.421163</c:v>
                </c:pt>
                <c:pt idx="3">
                  <c:v>1097.1278259999999</c:v>
                </c:pt>
                <c:pt idx="4">
                  <c:v>2149.8177660000001</c:v>
                </c:pt>
              </c:numCache>
              <c:extLst/>
            </c:numRef>
          </c:val>
          <c:extLst>
            <c:ext xmlns:c16="http://schemas.microsoft.com/office/drawing/2014/chart" uri="{C3380CC4-5D6E-409C-BE32-E72D297353CC}">
              <c16:uniqueId val="{00000003-51B4-4B58-ADDD-8003A18F1BBA}"/>
            </c:ext>
          </c:extLst>
        </c:ser>
        <c:ser>
          <c:idx val="4"/>
          <c:order val="4"/>
          <c:tx>
            <c:strRef>
              <c:f>Diagnóstico!$D$141</c:f>
              <c:strCache>
                <c:ptCount val="1"/>
                <c:pt idx="0">
                  <c:v>Impuesto de alumbrado público</c:v>
                </c:pt>
              </c:strCache>
            </c:strRef>
          </c:tx>
          <c:spPr>
            <a:solidFill>
              <a:schemeClr val="accent5"/>
            </a:solidFill>
            <a:ln>
              <a:noFill/>
            </a:ln>
            <a:effectLst/>
          </c:spPr>
          <c:invertIfNegative val="0"/>
          <c:cat>
            <c:numRef>
              <c:f>(Diagnóstico!$E$135,Diagnóstico!$G$135,Diagnóstico!$I$135,Diagnóstico!$K$135,Diagnóstico!$M$135)</c:f>
              <c:numCache>
                <c:formatCode>General</c:formatCode>
                <c:ptCount val="5"/>
                <c:pt idx="0">
                  <c:v>2021</c:v>
                </c:pt>
                <c:pt idx="1">
                  <c:v>2022</c:v>
                </c:pt>
                <c:pt idx="2">
                  <c:v>2023</c:v>
                </c:pt>
                <c:pt idx="3">
                  <c:v>2024</c:v>
                </c:pt>
                <c:pt idx="4">
                  <c:v>2025</c:v>
                </c:pt>
              </c:numCache>
            </c:numRef>
          </c:cat>
          <c:val>
            <c:numRef>
              <c:f>(Diagnóstico!$E$141,Diagnóstico!$G$141,Diagnóstico!$I$141,Diagnóstico!$K$141,Diagnóstico!$M$141)</c:f>
              <c:numCache>
                <c:formatCode>#,##0</c:formatCode>
                <c:ptCount val="5"/>
                <c:pt idx="0">
                  <c:v>6271.0765220000003</c:v>
                </c:pt>
                <c:pt idx="1">
                  <c:v>7902.7981380000001</c:v>
                </c:pt>
                <c:pt idx="2">
                  <c:v>8069.1905829999996</c:v>
                </c:pt>
                <c:pt idx="3">
                  <c:v>10472.191229</c:v>
                </c:pt>
                <c:pt idx="4">
                  <c:v>10043.490873000001</c:v>
                </c:pt>
              </c:numCache>
              <c:extLst/>
            </c:numRef>
          </c:val>
          <c:extLst>
            <c:ext xmlns:c16="http://schemas.microsoft.com/office/drawing/2014/chart" uri="{C3380CC4-5D6E-409C-BE32-E72D297353CC}">
              <c16:uniqueId val="{00000004-51B4-4B58-ADDD-8003A18F1BBA}"/>
            </c:ext>
          </c:extLst>
        </c:ser>
        <c:ser>
          <c:idx val="5"/>
          <c:order val="5"/>
          <c:tx>
            <c:strRef>
              <c:f>Diagnóstico!$D$142</c:f>
              <c:strCache>
                <c:ptCount val="1"/>
                <c:pt idx="0">
                  <c:v>Resto ingresos tributarios</c:v>
                </c:pt>
              </c:strCache>
            </c:strRef>
          </c:tx>
          <c:spPr>
            <a:solidFill>
              <a:schemeClr val="accent6"/>
            </a:solidFill>
            <a:ln>
              <a:noFill/>
            </a:ln>
            <a:effectLst/>
          </c:spPr>
          <c:invertIfNegative val="0"/>
          <c:cat>
            <c:numRef>
              <c:f>(Diagnóstico!$E$135,Diagnóstico!$G$135,Diagnóstico!$I$135,Diagnóstico!$K$135,Diagnóstico!$M$135)</c:f>
              <c:numCache>
                <c:formatCode>General</c:formatCode>
                <c:ptCount val="5"/>
                <c:pt idx="0">
                  <c:v>2021</c:v>
                </c:pt>
                <c:pt idx="1">
                  <c:v>2022</c:v>
                </c:pt>
                <c:pt idx="2">
                  <c:v>2023</c:v>
                </c:pt>
                <c:pt idx="3">
                  <c:v>2024</c:v>
                </c:pt>
                <c:pt idx="4">
                  <c:v>2025</c:v>
                </c:pt>
              </c:numCache>
            </c:numRef>
          </c:cat>
          <c:val>
            <c:numRef>
              <c:f>(Diagnóstico!$E$142,Diagnóstico!$G$142,Diagnóstico!$I$142,Diagnóstico!$K$142,Diagnóstico!$M$142)</c:f>
              <c:numCache>
                <c:formatCode>#,##0</c:formatCode>
                <c:ptCount val="5"/>
                <c:pt idx="0">
                  <c:v>2503.370594</c:v>
                </c:pt>
                <c:pt idx="1">
                  <c:v>2975.9597199999998</c:v>
                </c:pt>
                <c:pt idx="2">
                  <c:v>3904.2930970000002</c:v>
                </c:pt>
                <c:pt idx="3">
                  <c:v>4983.7225310000003</c:v>
                </c:pt>
                <c:pt idx="4">
                  <c:v>4587.1130210000001</c:v>
                </c:pt>
              </c:numCache>
              <c:extLst/>
            </c:numRef>
          </c:val>
          <c:extLst>
            <c:ext xmlns:c16="http://schemas.microsoft.com/office/drawing/2014/chart" uri="{C3380CC4-5D6E-409C-BE32-E72D297353CC}">
              <c16:uniqueId val="{00000005-51B4-4B58-ADDD-8003A18F1BBA}"/>
            </c:ext>
          </c:extLst>
        </c:ser>
        <c:dLbls>
          <c:showLegendKey val="0"/>
          <c:showVal val="0"/>
          <c:showCatName val="0"/>
          <c:showSerName val="0"/>
          <c:showPercent val="0"/>
          <c:showBubbleSize val="0"/>
        </c:dLbls>
        <c:gapWidth val="219"/>
        <c:overlap val="-27"/>
        <c:axId val="1273650176"/>
        <c:axId val="1273647776"/>
        <c:extLst>
          <c:ext xmlns:c15="http://schemas.microsoft.com/office/drawing/2012/chart" uri="{02D57815-91ED-43cb-92C2-25804820EDAC}">
            <c15:filteredBarSeries>
              <c15:ser>
                <c:idx val="6"/>
                <c:order val="6"/>
                <c:tx>
                  <c:strRef>
                    <c:extLst>
                      <c:ext uri="{02D57815-91ED-43cb-92C2-25804820EDAC}">
                        <c15:formulaRef>
                          <c15:sqref>Diagnóstico!$E$135</c15:sqref>
                        </c15:formulaRef>
                      </c:ext>
                    </c:extLst>
                    <c:strCache>
                      <c:ptCount val="1"/>
                      <c:pt idx="0">
                        <c:v>2021</c:v>
                      </c:pt>
                    </c:strCache>
                  </c:strRef>
                </c:tx>
                <c:spPr>
                  <a:solidFill>
                    <a:schemeClr val="accent1">
                      <a:lumMod val="60000"/>
                    </a:schemeClr>
                  </a:solidFill>
                  <a:ln>
                    <a:noFill/>
                  </a:ln>
                  <a:effectLst/>
                </c:spPr>
                <c:invertIfNegative val="0"/>
                <c:cat>
                  <c:numRef>
                    <c:extLst>
                      <c:ext uri="{02D57815-91ED-43cb-92C2-25804820EDAC}">
                        <c15:formulaRef>
                          <c15:sqref>(Diagnóstico!$E$135,Diagnóstico!$G$135,Diagnóstico!$I$135,Diagnóstico!$K$135,Diagnóstico!$M$135)</c15:sqref>
                        </c15:formulaRef>
                      </c:ext>
                    </c:extLst>
                    <c:numCache>
                      <c:formatCode>General</c:formatCode>
                      <c:ptCount val="5"/>
                      <c:pt idx="0">
                        <c:v>2021</c:v>
                      </c:pt>
                      <c:pt idx="1">
                        <c:v>2022</c:v>
                      </c:pt>
                      <c:pt idx="2">
                        <c:v>2023</c:v>
                      </c:pt>
                      <c:pt idx="3">
                        <c:v>2024</c:v>
                      </c:pt>
                      <c:pt idx="4">
                        <c:v>2025</c:v>
                      </c:pt>
                    </c:numCache>
                  </c:numRef>
                </c:cat>
                <c:val>
                  <c:numRef>
                    <c:extLst>
                      <c:ext uri="{02D57815-91ED-43cb-92C2-25804820EDAC}">
                        <c15:formulaRef>
                          <c15:sqref>(Diagnóstico!$F$135,Diagnóstico!$H$135,Diagnóstico!$J$135,Diagnóstico!$L$135,Diagnóstico!$N$135)</c15:sqref>
                        </c15:formulaRef>
                      </c:ext>
                    </c:extLst>
                    <c:numCache>
                      <c:formatCode>General</c:formatCode>
                      <c:ptCount val="5"/>
                      <c:pt idx="0">
                        <c:v>0</c:v>
                      </c:pt>
                      <c:pt idx="1">
                        <c:v>0</c:v>
                      </c:pt>
                      <c:pt idx="2">
                        <c:v>0</c:v>
                      </c:pt>
                      <c:pt idx="3">
                        <c:v>0</c:v>
                      </c:pt>
                      <c:pt idx="4">
                        <c:v>0</c:v>
                      </c:pt>
                    </c:numCache>
                  </c:numRef>
                </c:val>
                <c:extLst>
                  <c:ext xmlns:c16="http://schemas.microsoft.com/office/drawing/2014/chart" uri="{C3380CC4-5D6E-409C-BE32-E72D297353CC}">
                    <c16:uniqueId val="{00000006-51B4-4B58-ADDD-8003A18F1BBA}"/>
                  </c:ext>
                </c:extLst>
              </c15:ser>
            </c15:filteredBarSeries>
          </c:ext>
        </c:extLst>
      </c:barChart>
      <c:catAx>
        <c:axId val="1273650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273647776"/>
        <c:crosses val="autoZero"/>
        <c:auto val="1"/>
        <c:lblAlgn val="ctr"/>
        <c:lblOffset val="100"/>
        <c:noMultiLvlLbl val="0"/>
      </c:catAx>
      <c:valAx>
        <c:axId val="12736477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sz="1000" b="0" i="0" u="none" strike="noStrike" kern="1200" baseline="0">
                    <a:solidFill>
                      <a:sysClr val="windowText" lastClr="000000">
                        <a:lumMod val="65000"/>
                        <a:lumOff val="35000"/>
                      </a:sysClr>
                    </a:solidFill>
                  </a:rPr>
                  <a:t>Millones de pesos corrientes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2736501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Diagnóstico!$D$221</c:f>
              <c:strCache>
                <c:ptCount val="1"/>
                <c:pt idx="0">
                  <c:v>GASTOS PROGRAMADOS</c:v>
                </c:pt>
              </c:strCache>
            </c:strRef>
          </c:tx>
          <c:spPr>
            <a:solidFill>
              <a:schemeClr val="accent1"/>
            </a:solidFill>
            <a:ln>
              <a:noFill/>
            </a:ln>
            <a:effectLst/>
          </c:spPr>
          <c:invertIfNegative val="0"/>
          <c:cat>
            <c:numRef>
              <c:f>Diagnóstico!$E$220:$I$220</c:f>
              <c:numCache>
                <c:formatCode>General</c:formatCode>
                <c:ptCount val="5"/>
                <c:pt idx="0">
                  <c:v>2021</c:v>
                </c:pt>
                <c:pt idx="1">
                  <c:v>2022</c:v>
                </c:pt>
                <c:pt idx="2">
                  <c:v>2023</c:v>
                </c:pt>
                <c:pt idx="3">
                  <c:v>2024</c:v>
                </c:pt>
                <c:pt idx="4">
                  <c:v>2025</c:v>
                </c:pt>
              </c:numCache>
            </c:numRef>
          </c:cat>
          <c:val>
            <c:numRef>
              <c:f>Diagnóstico!$E$221:$I$221</c:f>
              <c:numCache>
                <c:formatCode>#,##0</c:formatCode>
                <c:ptCount val="5"/>
                <c:pt idx="0">
                  <c:v>122064.440518</c:v>
                </c:pt>
                <c:pt idx="1">
                  <c:v>150421.61912799999</c:v>
                </c:pt>
                <c:pt idx="2">
                  <c:v>155438.06860500001</c:v>
                </c:pt>
                <c:pt idx="3">
                  <c:v>186114.58759800001</c:v>
                </c:pt>
                <c:pt idx="4">
                  <c:v>191146.50704776001</c:v>
                </c:pt>
              </c:numCache>
            </c:numRef>
          </c:val>
          <c:extLst>
            <c:ext xmlns:c16="http://schemas.microsoft.com/office/drawing/2014/chart" uri="{C3380CC4-5D6E-409C-BE32-E72D297353CC}">
              <c16:uniqueId val="{00000000-A70A-427C-81B0-87BBBB7E5660}"/>
            </c:ext>
          </c:extLst>
        </c:ser>
        <c:ser>
          <c:idx val="1"/>
          <c:order val="1"/>
          <c:tx>
            <c:strRef>
              <c:f>Diagnóstico!$D$222</c:f>
              <c:strCache>
                <c:ptCount val="1"/>
                <c:pt idx="0">
                  <c:v>GASTOS EJECUTADOS (sin financiación)</c:v>
                </c:pt>
              </c:strCache>
            </c:strRef>
          </c:tx>
          <c:spPr>
            <a:solidFill>
              <a:schemeClr val="accent2"/>
            </a:solidFill>
            <a:ln>
              <a:noFill/>
            </a:ln>
            <a:effectLst/>
          </c:spPr>
          <c:invertIfNegative val="0"/>
          <c:cat>
            <c:numRef>
              <c:f>Diagnóstico!$E$220:$I$220</c:f>
              <c:numCache>
                <c:formatCode>General</c:formatCode>
                <c:ptCount val="5"/>
                <c:pt idx="0">
                  <c:v>2021</c:v>
                </c:pt>
                <c:pt idx="1">
                  <c:v>2022</c:v>
                </c:pt>
                <c:pt idx="2">
                  <c:v>2023</c:v>
                </c:pt>
                <c:pt idx="3">
                  <c:v>2024</c:v>
                </c:pt>
                <c:pt idx="4">
                  <c:v>2025</c:v>
                </c:pt>
              </c:numCache>
            </c:numRef>
          </c:cat>
          <c:val>
            <c:numRef>
              <c:f>Diagnóstico!$E$222:$I$222</c:f>
              <c:numCache>
                <c:formatCode>#,##0</c:formatCode>
                <c:ptCount val="5"/>
                <c:pt idx="0">
                  <c:v>108271.118517</c:v>
                </c:pt>
                <c:pt idx="1">
                  <c:v>141835.77446828998</c:v>
                </c:pt>
                <c:pt idx="2">
                  <c:v>141241.29111799999</c:v>
                </c:pt>
                <c:pt idx="3">
                  <c:v>167982.34797899998</c:v>
                </c:pt>
                <c:pt idx="4">
                  <c:v>176470.31438699996</c:v>
                </c:pt>
              </c:numCache>
            </c:numRef>
          </c:val>
          <c:extLst>
            <c:ext xmlns:c16="http://schemas.microsoft.com/office/drawing/2014/chart" uri="{C3380CC4-5D6E-409C-BE32-E72D297353CC}">
              <c16:uniqueId val="{00000001-A70A-427C-81B0-87BBBB7E5660}"/>
            </c:ext>
          </c:extLst>
        </c:ser>
        <c:dLbls>
          <c:showLegendKey val="0"/>
          <c:showVal val="0"/>
          <c:showCatName val="0"/>
          <c:showSerName val="0"/>
          <c:showPercent val="0"/>
          <c:showBubbleSize val="0"/>
        </c:dLbls>
        <c:gapWidth val="219"/>
        <c:overlap val="-27"/>
        <c:axId val="1308426575"/>
        <c:axId val="1308426095"/>
      </c:barChart>
      <c:lineChart>
        <c:grouping val="standard"/>
        <c:varyColors val="0"/>
        <c:ser>
          <c:idx val="2"/>
          <c:order val="2"/>
          <c:tx>
            <c:strRef>
              <c:f>Diagnóstico!$D$223</c:f>
              <c:strCache>
                <c:ptCount val="1"/>
                <c:pt idx="0">
                  <c:v>% DE EJECUCIÓN</c:v>
                </c:pt>
              </c:strCache>
            </c:strRef>
          </c:tx>
          <c:spPr>
            <a:ln w="28575" cap="rnd">
              <a:solidFill>
                <a:schemeClr val="accent3"/>
              </a:solidFill>
              <a:round/>
            </a:ln>
            <a:effectLst/>
          </c:spPr>
          <c:marker>
            <c:symbol val="none"/>
          </c:marker>
          <c:cat>
            <c:numRef>
              <c:f>Diagnóstico!$E$220:$I$220</c:f>
              <c:numCache>
                <c:formatCode>General</c:formatCode>
                <c:ptCount val="5"/>
                <c:pt idx="0">
                  <c:v>2021</c:v>
                </c:pt>
                <c:pt idx="1">
                  <c:v>2022</c:v>
                </c:pt>
                <c:pt idx="2">
                  <c:v>2023</c:v>
                </c:pt>
                <c:pt idx="3">
                  <c:v>2024</c:v>
                </c:pt>
                <c:pt idx="4">
                  <c:v>2025</c:v>
                </c:pt>
              </c:numCache>
            </c:numRef>
          </c:cat>
          <c:val>
            <c:numRef>
              <c:f>Diagnóstico!$E$223:$I$223</c:f>
              <c:numCache>
                <c:formatCode>0%</c:formatCode>
                <c:ptCount val="5"/>
                <c:pt idx="0">
                  <c:v>0.88699967048170758</c:v>
                </c:pt>
                <c:pt idx="1">
                  <c:v>0.94292147159774975</c:v>
                </c:pt>
                <c:pt idx="2">
                  <c:v>0.90866601975686578</c:v>
                </c:pt>
                <c:pt idx="3">
                  <c:v>0.90257486071879045</c:v>
                </c:pt>
                <c:pt idx="4">
                  <c:v>0.92322018912386905</c:v>
                </c:pt>
              </c:numCache>
            </c:numRef>
          </c:val>
          <c:smooth val="0"/>
          <c:extLst>
            <c:ext xmlns:c16="http://schemas.microsoft.com/office/drawing/2014/chart" uri="{C3380CC4-5D6E-409C-BE32-E72D297353CC}">
              <c16:uniqueId val="{00000002-A70A-427C-81B0-87BBBB7E5660}"/>
            </c:ext>
          </c:extLst>
        </c:ser>
        <c:dLbls>
          <c:showLegendKey val="0"/>
          <c:showVal val="0"/>
          <c:showCatName val="0"/>
          <c:showSerName val="0"/>
          <c:showPercent val="0"/>
          <c:showBubbleSize val="0"/>
        </c:dLbls>
        <c:marker val="1"/>
        <c:smooth val="0"/>
        <c:axId val="1308428495"/>
        <c:axId val="1308428975"/>
      </c:lineChart>
      <c:catAx>
        <c:axId val="13084265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08426095"/>
        <c:crosses val="autoZero"/>
        <c:auto val="1"/>
        <c:lblAlgn val="ctr"/>
        <c:lblOffset val="100"/>
        <c:noMultiLvlLbl val="0"/>
      </c:catAx>
      <c:valAx>
        <c:axId val="130842609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sz="1000" b="0" i="0" u="none" strike="noStrike" kern="1200" baseline="0">
                    <a:solidFill>
                      <a:sysClr val="windowText" lastClr="000000">
                        <a:lumMod val="65000"/>
                        <a:lumOff val="35000"/>
                      </a:sysClr>
                    </a:solidFill>
                  </a:rPr>
                  <a:t>Millones de pesos corrientes</a:t>
                </a:r>
              </a:p>
            </c:rich>
          </c:tx>
          <c:layout>
            <c:manualLayout>
              <c:xMode val="edge"/>
              <c:yMode val="edge"/>
              <c:x val="0.16262321589724182"/>
              <c:y val="0.175679934484469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08426575"/>
        <c:crosses val="autoZero"/>
        <c:crossBetween val="between"/>
        <c:majorUnit val="60000"/>
      </c:valAx>
      <c:valAx>
        <c:axId val="1308428975"/>
        <c:scaling>
          <c:orientation val="minMax"/>
        </c:scaling>
        <c:delete val="0"/>
        <c:axPos val="r"/>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08428495"/>
        <c:crosses val="max"/>
        <c:crossBetween val="between"/>
        <c:majorUnit val="4.0000000000000008E-2"/>
      </c:valAx>
      <c:catAx>
        <c:axId val="1308428495"/>
        <c:scaling>
          <c:orientation val="minMax"/>
        </c:scaling>
        <c:delete val="1"/>
        <c:axPos val="b"/>
        <c:numFmt formatCode="General" sourceLinked="1"/>
        <c:majorTickMark val="none"/>
        <c:minorTickMark val="none"/>
        <c:tickLblPos val="nextTo"/>
        <c:crossAx val="1308428975"/>
        <c:crosses val="autoZero"/>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O"/>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percentStacked"/>
        <c:varyColors val="0"/>
        <c:ser>
          <c:idx val="0"/>
          <c:order val="0"/>
          <c:tx>
            <c:strRef>
              <c:f>Diagnóstico!$D$258</c:f>
              <c:strCache>
                <c:ptCount val="1"/>
                <c:pt idx="0">
                  <c:v>FUNCIONAMIENTO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Diagnóstico!$E$257:$I$257</c:f>
              <c:numCache>
                <c:formatCode>General</c:formatCode>
                <c:ptCount val="5"/>
                <c:pt idx="0">
                  <c:v>2021</c:v>
                </c:pt>
                <c:pt idx="1">
                  <c:v>2022</c:v>
                </c:pt>
                <c:pt idx="2">
                  <c:v>2023</c:v>
                </c:pt>
                <c:pt idx="3">
                  <c:v>2024</c:v>
                </c:pt>
                <c:pt idx="4">
                  <c:v>2025</c:v>
                </c:pt>
              </c:numCache>
            </c:numRef>
          </c:cat>
          <c:val>
            <c:numRef>
              <c:f>Diagnóstico!$E$258:$I$258</c:f>
              <c:numCache>
                <c:formatCode>0%</c:formatCode>
                <c:ptCount val="5"/>
                <c:pt idx="0">
                  <c:v>0.11255761132722132</c:v>
                </c:pt>
                <c:pt idx="1">
                  <c:v>9.5538421676750709E-2</c:v>
                </c:pt>
                <c:pt idx="2">
                  <c:v>0.10439555632269974</c:v>
                </c:pt>
                <c:pt idx="3">
                  <c:v>9.9553763220946445E-2</c:v>
                </c:pt>
                <c:pt idx="4">
                  <c:v>0.10483951059001975</c:v>
                </c:pt>
              </c:numCache>
            </c:numRef>
          </c:val>
          <c:extLst>
            <c:ext xmlns:c16="http://schemas.microsoft.com/office/drawing/2014/chart" uri="{C3380CC4-5D6E-409C-BE32-E72D297353CC}">
              <c16:uniqueId val="{00000000-7531-44B6-8DA7-E74A90A50F92}"/>
            </c:ext>
          </c:extLst>
        </c:ser>
        <c:ser>
          <c:idx val="1"/>
          <c:order val="1"/>
          <c:tx>
            <c:strRef>
              <c:f>Diagnóstico!$D$259</c:f>
              <c:strCache>
                <c:ptCount val="1"/>
                <c:pt idx="0">
                  <c:v>DEUDA</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Diagnóstico!$E$257:$I$257</c:f>
              <c:numCache>
                <c:formatCode>General</c:formatCode>
                <c:ptCount val="5"/>
                <c:pt idx="0">
                  <c:v>2021</c:v>
                </c:pt>
                <c:pt idx="1">
                  <c:v>2022</c:v>
                </c:pt>
                <c:pt idx="2">
                  <c:v>2023</c:v>
                </c:pt>
                <c:pt idx="3">
                  <c:v>2024</c:v>
                </c:pt>
                <c:pt idx="4">
                  <c:v>2025</c:v>
                </c:pt>
              </c:numCache>
            </c:numRef>
          </c:cat>
          <c:val>
            <c:numRef>
              <c:f>Diagnóstico!$E$259:$I$259</c:f>
              <c:numCache>
                <c:formatCode>0%</c:formatCode>
                <c:ptCount val="5"/>
                <c:pt idx="0">
                  <c:v>8.972079260892411E-3</c:v>
                </c:pt>
                <c:pt idx="1">
                  <c:v>9.597323623768356E-3</c:v>
                </c:pt>
                <c:pt idx="2">
                  <c:v>2.1618061154999417E-2</c:v>
                </c:pt>
                <c:pt idx="3">
                  <c:v>1.5159796524086897E-2</c:v>
                </c:pt>
                <c:pt idx="4">
                  <c:v>9.295641449374805E-3</c:v>
                </c:pt>
              </c:numCache>
            </c:numRef>
          </c:val>
          <c:extLst>
            <c:ext xmlns:c16="http://schemas.microsoft.com/office/drawing/2014/chart" uri="{C3380CC4-5D6E-409C-BE32-E72D297353CC}">
              <c16:uniqueId val="{00000001-7531-44B6-8DA7-E74A90A50F92}"/>
            </c:ext>
          </c:extLst>
        </c:ser>
        <c:ser>
          <c:idx val="2"/>
          <c:order val="2"/>
          <c:tx>
            <c:strRef>
              <c:f>Diagnóstico!$D$260</c:f>
              <c:strCache>
                <c:ptCount val="1"/>
                <c:pt idx="0">
                  <c:v>INVERSIÓN</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Diagnóstico!$E$257:$I$257</c:f>
              <c:numCache>
                <c:formatCode>General</c:formatCode>
                <c:ptCount val="5"/>
                <c:pt idx="0">
                  <c:v>2021</c:v>
                </c:pt>
                <c:pt idx="1">
                  <c:v>2022</c:v>
                </c:pt>
                <c:pt idx="2">
                  <c:v>2023</c:v>
                </c:pt>
                <c:pt idx="3">
                  <c:v>2024</c:v>
                </c:pt>
                <c:pt idx="4">
                  <c:v>2025</c:v>
                </c:pt>
              </c:numCache>
            </c:numRef>
          </c:cat>
          <c:val>
            <c:numRef>
              <c:f>Diagnóstico!$E$260:$I$260</c:f>
              <c:numCache>
                <c:formatCode>0%</c:formatCode>
                <c:ptCount val="5"/>
                <c:pt idx="0">
                  <c:v>0.87847030941188631</c:v>
                </c:pt>
                <c:pt idx="1">
                  <c:v>0.89486425469948094</c:v>
                </c:pt>
                <c:pt idx="2">
                  <c:v>0.87398638252230076</c:v>
                </c:pt>
                <c:pt idx="3">
                  <c:v>0.88528644025496661</c:v>
                </c:pt>
                <c:pt idx="4">
                  <c:v>0.88586484796060538</c:v>
                </c:pt>
              </c:numCache>
            </c:numRef>
          </c:val>
          <c:extLst>
            <c:ext xmlns:c16="http://schemas.microsoft.com/office/drawing/2014/chart" uri="{C3380CC4-5D6E-409C-BE32-E72D297353CC}">
              <c16:uniqueId val="{00000002-7531-44B6-8DA7-E74A90A50F92}"/>
            </c:ext>
          </c:extLst>
        </c:ser>
        <c:dLbls>
          <c:dLblPos val="ctr"/>
          <c:showLegendKey val="0"/>
          <c:showVal val="1"/>
          <c:showCatName val="0"/>
          <c:showSerName val="0"/>
          <c:showPercent val="0"/>
          <c:showBubbleSize val="0"/>
        </c:dLbls>
        <c:gapWidth val="150"/>
        <c:overlap val="100"/>
        <c:axId val="1394128367"/>
        <c:axId val="1394121647"/>
      </c:barChart>
      <c:catAx>
        <c:axId val="13941283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94121647"/>
        <c:crosses val="autoZero"/>
        <c:auto val="1"/>
        <c:lblAlgn val="ctr"/>
        <c:lblOffset val="100"/>
        <c:noMultiLvlLbl val="0"/>
      </c:catAx>
      <c:valAx>
        <c:axId val="139412164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es-CO" sz="1000" b="0" i="0" u="none" strike="noStrike" kern="1200" baseline="0">
                    <a:solidFill>
                      <a:sysClr val="windowText" lastClr="000000">
                        <a:lumMod val="65000"/>
                        <a:lumOff val="35000"/>
                      </a:sysClr>
                    </a:solidFill>
                  </a:rPr>
                  <a:t>Participación (%)</a:t>
                </a:r>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es-CO"/>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94128367"/>
        <c:crosses val="autoZero"/>
        <c:crossBetween val="between"/>
        <c:majorUnit val="0.2"/>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rgbClr val="86792E"/>
                </a:solidFill>
                <a:latin typeface="MS Reference Sans Serif" panose="020B0604030504040204" pitchFamily="34" charset="0"/>
                <a:ea typeface="+mn-ea"/>
                <a:cs typeface="+mn-cs"/>
              </a:defRPr>
            </a:pPr>
            <a:r>
              <a:rPr lang="en-US" sz="1400" b="1">
                <a:solidFill>
                  <a:srgbClr val="86792E"/>
                </a:solidFill>
              </a:rPr>
              <a:t>Déficit o Superávit Total</a:t>
            </a:r>
          </a:p>
        </c:rich>
      </c:tx>
      <c:overlay val="0"/>
      <c:spPr>
        <a:noFill/>
        <a:ln>
          <a:noFill/>
        </a:ln>
        <a:effectLst/>
      </c:spPr>
      <c:txPr>
        <a:bodyPr rot="0" spcFirstLastPara="1" vertOverflow="ellipsis" vert="horz" wrap="square" anchor="ctr" anchorCtr="1"/>
        <a:lstStyle/>
        <a:p>
          <a:pPr>
            <a:defRPr sz="1400" b="1" i="0" u="none" strike="noStrike" kern="1200" spc="0" baseline="0">
              <a:solidFill>
                <a:srgbClr val="86792E"/>
              </a:solidFill>
              <a:latin typeface="MS Reference Sans Serif" panose="020B0604030504040204" pitchFamily="34" charset="0"/>
              <a:ea typeface="+mn-ea"/>
              <a:cs typeface="+mn-cs"/>
            </a:defRPr>
          </a:pPr>
          <a:endParaRPr lang="es-CO"/>
        </a:p>
      </c:txPr>
    </c:title>
    <c:autoTitleDeleted val="0"/>
    <c:plotArea>
      <c:layout>
        <c:manualLayout>
          <c:layoutTarget val="inner"/>
          <c:xMode val="edge"/>
          <c:yMode val="edge"/>
          <c:x val="0.14177455297238728"/>
          <c:y val="0.20853827482091059"/>
          <c:w val="0.81733313825385889"/>
          <c:h val="0.68759965277777779"/>
        </c:manualLayout>
      </c:layout>
      <c:barChart>
        <c:barDir val="col"/>
        <c:grouping val="clustered"/>
        <c:varyColors val="0"/>
        <c:ser>
          <c:idx val="0"/>
          <c:order val="0"/>
          <c:tx>
            <c:strRef>
              <c:f>Diagnóstico!$D$18</c:f>
              <c:strCache>
                <c:ptCount val="1"/>
                <c:pt idx="0">
                  <c:v>DÉFICIT O SUPERÁVIT TOTAL</c:v>
                </c:pt>
              </c:strCache>
            </c:strRef>
          </c:tx>
          <c:spPr>
            <a:solidFill>
              <a:srgbClr val="808080"/>
            </a:solidFill>
            <a:ln>
              <a:solidFill>
                <a:srgbClr val="80808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MS Reference Sans Serif" panose="020B0604030504040204" pitchFamily="34" charset="0"/>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Diagnóstico!$E$6:$I$6</c:f>
              <c:numCache>
                <c:formatCode>General</c:formatCode>
                <c:ptCount val="5"/>
                <c:pt idx="0">
                  <c:v>2021</c:v>
                </c:pt>
                <c:pt idx="1">
                  <c:v>2022</c:v>
                </c:pt>
                <c:pt idx="2">
                  <c:v>2023</c:v>
                </c:pt>
                <c:pt idx="3">
                  <c:v>2024</c:v>
                </c:pt>
                <c:pt idx="4">
                  <c:v>2025</c:v>
                </c:pt>
              </c:numCache>
            </c:numRef>
          </c:cat>
          <c:val>
            <c:numRef>
              <c:f>Diagnóstico!$E$18:$I$18</c:f>
              <c:numCache>
                <c:formatCode>#,##0</c:formatCode>
                <c:ptCount val="5"/>
                <c:pt idx="0">
                  <c:v>1831.903352000023</c:v>
                </c:pt>
                <c:pt idx="1">
                  <c:v>-18080.676395289993</c:v>
                </c:pt>
                <c:pt idx="2">
                  <c:v>13403.444469000009</c:v>
                </c:pt>
                <c:pt idx="3">
                  <c:v>4313.7509700000228</c:v>
                </c:pt>
                <c:pt idx="4">
                  <c:v>9493.5350280000712</c:v>
                </c:pt>
              </c:numCache>
            </c:numRef>
          </c:val>
          <c:extLst>
            <c:ext xmlns:c16="http://schemas.microsoft.com/office/drawing/2014/chart" uri="{C3380CC4-5D6E-409C-BE32-E72D297353CC}">
              <c16:uniqueId val="{00000000-DACF-45BD-BAE0-C27522934461}"/>
            </c:ext>
          </c:extLst>
        </c:ser>
        <c:dLbls>
          <c:dLblPos val="outEnd"/>
          <c:showLegendKey val="0"/>
          <c:showVal val="1"/>
          <c:showCatName val="0"/>
          <c:showSerName val="0"/>
          <c:showPercent val="0"/>
          <c:showBubbleSize val="0"/>
        </c:dLbls>
        <c:gapWidth val="50"/>
        <c:overlap val="-27"/>
        <c:axId val="1335199279"/>
        <c:axId val="1335199759"/>
      </c:barChart>
      <c:catAx>
        <c:axId val="1335199279"/>
        <c:scaling>
          <c:orientation val="minMax"/>
        </c:scaling>
        <c:delete val="0"/>
        <c:axPos val="b"/>
        <c:numFmt formatCode="General" sourceLinked="1"/>
        <c:majorTickMark val="none"/>
        <c:minorTickMark val="none"/>
        <c:tickLblPos val="high"/>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1" i="0" u="none" strike="noStrike" kern="1200" baseline="0">
                <a:solidFill>
                  <a:schemeClr val="tx1">
                    <a:lumMod val="65000"/>
                    <a:lumOff val="35000"/>
                  </a:schemeClr>
                </a:solidFill>
                <a:latin typeface="MS Reference Sans Serif" panose="020B0604030504040204" pitchFamily="34" charset="0"/>
                <a:ea typeface="+mn-ea"/>
                <a:cs typeface="+mn-cs"/>
              </a:defRPr>
            </a:pPr>
            <a:endParaRPr lang="es-CO"/>
          </a:p>
        </c:txPr>
        <c:crossAx val="1335199759"/>
        <c:crosses val="autoZero"/>
        <c:auto val="1"/>
        <c:lblAlgn val="ctr"/>
        <c:lblOffset val="100"/>
        <c:noMultiLvlLbl val="0"/>
      </c:catAx>
      <c:valAx>
        <c:axId val="1335199759"/>
        <c:scaling>
          <c:orientation val="minMax"/>
        </c:scaling>
        <c:delete val="0"/>
        <c:axPos val="l"/>
        <c:title>
          <c:tx>
            <c:rich>
              <a:bodyPr rot="-5400000" spcFirstLastPara="1" vertOverflow="ellipsis" vert="horz" wrap="square" anchor="ctr" anchorCtr="1"/>
              <a:lstStyle/>
              <a:p>
                <a:pPr>
                  <a:defRPr sz="1050" b="0" i="0" u="none" strike="noStrike" kern="1200" baseline="0">
                    <a:solidFill>
                      <a:schemeClr val="tx1">
                        <a:lumMod val="65000"/>
                        <a:lumOff val="35000"/>
                      </a:schemeClr>
                    </a:solidFill>
                    <a:latin typeface="MS Reference Sans Serif" panose="020B0604030504040204" pitchFamily="34" charset="0"/>
                    <a:ea typeface="+mn-ea"/>
                    <a:cs typeface="+mn-cs"/>
                  </a:defRPr>
                </a:pPr>
                <a:r>
                  <a:rPr lang="es-CO"/>
                  <a:t>COP Millones corrientes</a:t>
                </a:r>
              </a:p>
            </c:rich>
          </c:tx>
          <c:layout>
            <c:manualLayout>
              <c:xMode val="edge"/>
              <c:yMode val="edge"/>
              <c:x val="2.9295185185185181E-2"/>
              <c:y val="0.22164201388888885"/>
            </c:manualLayout>
          </c:layout>
          <c:overlay val="0"/>
          <c:spPr>
            <a:noFill/>
            <a:ln>
              <a:noFill/>
            </a:ln>
            <a:effectLst/>
          </c:spPr>
          <c:txPr>
            <a:bodyPr rot="-5400000" spcFirstLastPara="1" vertOverflow="ellipsis" vert="horz" wrap="square" anchor="ctr" anchorCtr="1"/>
            <a:lstStyle/>
            <a:p>
              <a:pPr>
                <a:defRPr sz="1050" b="0" i="0" u="none" strike="noStrike" kern="1200" baseline="0">
                  <a:solidFill>
                    <a:schemeClr val="tx1">
                      <a:lumMod val="65000"/>
                      <a:lumOff val="35000"/>
                    </a:schemeClr>
                  </a:solidFill>
                  <a:latin typeface="MS Reference Sans Serif" panose="020B0604030504040204" pitchFamily="34" charset="0"/>
                  <a:ea typeface="+mn-ea"/>
                  <a:cs typeface="+mn-cs"/>
                </a:defRPr>
              </a:pPr>
              <a:endParaRPr lang="es-CO"/>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MS Reference Sans Serif" panose="020B0604030504040204" pitchFamily="34" charset="0"/>
                <a:ea typeface="+mn-ea"/>
                <a:cs typeface="+mn-cs"/>
              </a:defRPr>
            </a:pPr>
            <a:endParaRPr lang="es-CO"/>
          </a:p>
        </c:txPr>
        <c:crossAx val="1335199279"/>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rgbClr val="156082"/>
      </a:solidFill>
      <a:round/>
    </a:ln>
    <a:effectLst/>
  </c:spPr>
  <c:txPr>
    <a:bodyPr/>
    <a:lstStyle/>
    <a:p>
      <a:pPr>
        <a:defRPr sz="1050">
          <a:latin typeface="MS Reference Sans Serif" panose="020B0604030504040204" pitchFamily="34" charset="0"/>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rgbClr val="86792E"/>
                </a:solidFill>
                <a:latin typeface="MS Reference Sans Serif" panose="020B0604030504040204" pitchFamily="34" charset="0"/>
                <a:ea typeface="+mn-ea"/>
                <a:cs typeface="+mn-cs"/>
              </a:defRPr>
            </a:pPr>
            <a:r>
              <a:rPr lang="es-CO" sz="1400" b="1">
                <a:solidFill>
                  <a:srgbClr val="86792E"/>
                </a:solidFill>
              </a:rPr>
              <a:t>Déficit o Superávit Primario</a:t>
            </a:r>
          </a:p>
        </c:rich>
      </c:tx>
      <c:overlay val="0"/>
      <c:spPr>
        <a:noFill/>
        <a:ln>
          <a:noFill/>
        </a:ln>
        <a:effectLst/>
      </c:spPr>
      <c:txPr>
        <a:bodyPr rot="0" spcFirstLastPara="1" vertOverflow="ellipsis" vert="horz" wrap="square" anchor="ctr" anchorCtr="1"/>
        <a:lstStyle/>
        <a:p>
          <a:pPr>
            <a:defRPr sz="1400" b="1" i="0" u="none" strike="noStrike" kern="1200" spc="0" baseline="0">
              <a:solidFill>
                <a:srgbClr val="86792E"/>
              </a:solidFill>
              <a:latin typeface="MS Reference Sans Serif" panose="020B0604030504040204" pitchFamily="34" charset="0"/>
              <a:ea typeface="+mn-ea"/>
              <a:cs typeface="+mn-cs"/>
            </a:defRPr>
          </a:pPr>
          <a:endParaRPr lang="es-CO"/>
        </a:p>
      </c:txPr>
    </c:title>
    <c:autoTitleDeleted val="0"/>
    <c:plotArea>
      <c:layout>
        <c:manualLayout>
          <c:layoutTarget val="inner"/>
          <c:xMode val="edge"/>
          <c:yMode val="edge"/>
          <c:x val="0.1132340740740741"/>
          <c:y val="0.24294652777777778"/>
          <c:w val="0.83197148148148148"/>
          <c:h val="0.67178124999999989"/>
        </c:manualLayout>
      </c:layout>
      <c:barChart>
        <c:barDir val="col"/>
        <c:grouping val="clustered"/>
        <c:varyColors val="0"/>
        <c:ser>
          <c:idx val="0"/>
          <c:order val="0"/>
          <c:tx>
            <c:strRef>
              <c:f>Diagnóstico!$D$23</c:f>
              <c:strCache>
                <c:ptCount val="1"/>
                <c:pt idx="0">
                  <c:v>DÉFICIT O SUPERÁVIT PRIMARIO</c:v>
                </c:pt>
              </c:strCache>
            </c:strRef>
          </c:tx>
          <c:spPr>
            <a:solidFill>
              <a:srgbClr val="80808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S Reference Sans Serif" panose="020B0604030504040204" pitchFamily="34" charset="0"/>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Diagnóstico!$E$6:$I$6</c:f>
              <c:numCache>
                <c:formatCode>General</c:formatCode>
                <c:ptCount val="5"/>
                <c:pt idx="0">
                  <c:v>2021</c:v>
                </c:pt>
                <c:pt idx="1">
                  <c:v>2022</c:v>
                </c:pt>
                <c:pt idx="2">
                  <c:v>2023</c:v>
                </c:pt>
                <c:pt idx="3">
                  <c:v>2024</c:v>
                </c:pt>
                <c:pt idx="4">
                  <c:v>2025</c:v>
                </c:pt>
              </c:numCache>
            </c:numRef>
          </c:cat>
          <c:val>
            <c:numRef>
              <c:f>Diagnóstico!$E$23:$I$23</c:f>
              <c:numCache>
                <c:formatCode>#,##0</c:formatCode>
                <c:ptCount val="5"/>
                <c:pt idx="0">
                  <c:v>5187.55422000002</c:v>
                </c:pt>
                <c:pt idx="1">
                  <c:v>-13680.775988289985</c:v>
                </c:pt>
                <c:pt idx="2">
                  <c:v>22863.493062000023</c:v>
                </c:pt>
                <c:pt idx="3">
                  <c:v>25018.403684000019</c:v>
                </c:pt>
                <c:pt idx="4">
                  <c:v>20530.814098000061</c:v>
                </c:pt>
              </c:numCache>
            </c:numRef>
          </c:val>
          <c:extLst>
            <c:ext xmlns:c16="http://schemas.microsoft.com/office/drawing/2014/chart" uri="{C3380CC4-5D6E-409C-BE32-E72D297353CC}">
              <c16:uniqueId val="{00000000-35EE-4E88-8261-5CD69010DE38}"/>
            </c:ext>
          </c:extLst>
        </c:ser>
        <c:dLbls>
          <c:dLblPos val="outEnd"/>
          <c:showLegendKey val="0"/>
          <c:showVal val="1"/>
          <c:showCatName val="0"/>
          <c:showSerName val="0"/>
          <c:showPercent val="0"/>
          <c:showBubbleSize val="0"/>
        </c:dLbls>
        <c:gapWidth val="50"/>
        <c:overlap val="-27"/>
        <c:axId val="1335199279"/>
        <c:axId val="1335199759"/>
      </c:barChart>
      <c:catAx>
        <c:axId val="1335199279"/>
        <c:scaling>
          <c:orientation val="minMax"/>
        </c:scaling>
        <c:delete val="0"/>
        <c:axPos val="b"/>
        <c:numFmt formatCode="General" sourceLinked="1"/>
        <c:majorTickMark val="none"/>
        <c:minorTickMark val="none"/>
        <c:tickLblPos val="high"/>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MS Reference Sans Serif" panose="020B0604030504040204" pitchFamily="34" charset="0"/>
                <a:ea typeface="+mn-ea"/>
                <a:cs typeface="+mn-cs"/>
              </a:defRPr>
            </a:pPr>
            <a:endParaRPr lang="es-CO"/>
          </a:p>
        </c:txPr>
        <c:crossAx val="1335199759"/>
        <c:crosses val="autoZero"/>
        <c:auto val="1"/>
        <c:lblAlgn val="ctr"/>
        <c:lblOffset val="100"/>
        <c:noMultiLvlLbl val="0"/>
      </c:catAx>
      <c:valAx>
        <c:axId val="1335199759"/>
        <c:scaling>
          <c:orientation val="minMax"/>
        </c:scaling>
        <c:delete val="0"/>
        <c:axPos val="l"/>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S Reference Sans Serif" panose="020B0604030504040204" pitchFamily="34" charset="0"/>
                    <a:ea typeface="+mn-ea"/>
                    <a:cs typeface="+mn-cs"/>
                  </a:defRPr>
                </a:pPr>
                <a:r>
                  <a:rPr lang="es-CO"/>
                  <a:t>COP Millones corrientes</a:t>
                </a:r>
              </a:p>
            </c:rich>
          </c:tx>
          <c:layout>
            <c:manualLayout>
              <c:xMode val="edge"/>
              <c:yMode val="edge"/>
              <c:x val="1.4426851851851849E-2"/>
              <c:y val="0.20325902777777777"/>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S Reference Sans Serif" panose="020B0604030504040204" pitchFamily="34" charset="0"/>
                  <a:ea typeface="+mn-ea"/>
                  <a:cs typeface="+mn-cs"/>
                </a:defRPr>
              </a:pPr>
              <a:endParaRPr lang="es-CO"/>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S Reference Sans Serif" panose="020B0604030504040204" pitchFamily="34" charset="0"/>
                <a:ea typeface="+mn-ea"/>
                <a:cs typeface="+mn-cs"/>
              </a:defRPr>
            </a:pPr>
            <a:endParaRPr lang="es-CO"/>
          </a:p>
        </c:txPr>
        <c:crossAx val="1335199279"/>
        <c:crosses val="autoZero"/>
        <c:crossBetween val="between"/>
      </c:valAx>
      <c:spPr>
        <a:noFill/>
        <a:ln>
          <a:noFill/>
        </a:ln>
        <a:effectLst/>
      </c:spPr>
    </c:plotArea>
    <c:plotVisOnly val="1"/>
    <c:dispBlanksAs val="gap"/>
    <c:showDLblsOverMax val="0"/>
    <c:extLst/>
  </c:chart>
  <c:spPr>
    <a:solidFill>
      <a:schemeClr val="bg1"/>
    </a:solidFill>
    <a:ln w="9525" cap="flat" cmpd="sng" algn="ctr">
      <a:solidFill>
        <a:srgbClr val="156082"/>
      </a:solidFill>
      <a:round/>
    </a:ln>
    <a:effectLst/>
  </c:spPr>
  <c:txPr>
    <a:bodyPr/>
    <a:lstStyle/>
    <a:p>
      <a:pPr>
        <a:defRPr sz="1200">
          <a:latin typeface="MS Reference Sans Serif" panose="020B0604030504040204" pitchFamily="34" charset="0"/>
        </a:defRPr>
      </a:pPr>
      <a:endParaRPr lang="es-CO"/>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40" b="1" i="0" u="none" strike="noStrike" kern="1200" spc="0" baseline="0">
                <a:solidFill>
                  <a:srgbClr val="86792E"/>
                </a:solidFill>
                <a:latin typeface="MS Reference Sans Serif" panose="020B0604030504040204" pitchFamily="34" charset="0"/>
                <a:ea typeface="+mn-ea"/>
                <a:cs typeface="+mn-cs"/>
              </a:defRPr>
            </a:pPr>
            <a:r>
              <a:rPr lang="es-CO" b="1">
                <a:solidFill>
                  <a:srgbClr val="86792E"/>
                </a:solidFill>
              </a:rPr>
              <a:t>Déficit o superávit presupuestal</a:t>
            </a:r>
          </a:p>
        </c:rich>
      </c:tx>
      <c:overlay val="0"/>
      <c:spPr>
        <a:noFill/>
        <a:ln>
          <a:noFill/>
        </a:ln>
        <a:effectLst/>
      </c:spPr>
      <c:txPr>
        <a:bodyPr rot="0" spcFirstLastPara="1" vertOverflow="ellipsis" vert="horz" wrap="square" anchor="ctr" anchorCtr="1"/>
        <a:lstStyle/>
        <a:p>
          <a:pPr>
            <a:defRPr sz="1440" b="1" i="0" u="none" strike="noStrike" kern="1200" spc="0" baseline="0">
              <a:solidFill>
                <a:srgbClr val="86792E"/>
              </a:solidFill>
              <a:latin typeface="MS Reference Sans Serif" panose="020B0604030504040204" pitchFamily="34" charset="0"/>
              <a:ea typeface="+mn-ea"/>
              <a:cs typeface="+mn-cs"/>
            </a:defRPr>
          </a:pPr>
          <a:endParaRPr lang="es-CO"/>
        </a:p>
      </c:txPr>
    </c:title>
    <c:autoTitleDeleted val="0"/>
    <c:plotArea>
      <c:layout>
        <c:manualLayout>
          <c:layoutTarget val="inner"/>
          <c:xMode val="edge"/>
          <c:yMode val="edge"/>
          <c:x val="0.10831555555555555"/>
          <c:y val="0.23820034722222228"/>
          <c:w val="0.85840796296296296"/>
          <c:h val="0.69461076388888887"/>
        </c:manualLayout>
      </c:layout>
      <c:barChart>
        <c:barDir val="col"/>
        <c:grouping val="clustered"/>
        <c:varyColors val="0"/>
        <c:ser>
          <c:idx val="0"/>
          <c:order val="0"/>
          <c:tx>
            <c:strRef>
              <c:f>Diagnóstico!$D$26</c:f>
              <c:strCache>
                <c:ptCount val="1"/>
                <c:pt idx="0">
                  <c:v>DÉFICIT O SUPERÁVIT PRESUPUESTAL</c:v>
                </c:pt>
              </c:strCache>
            </c:strRef>
          </c:tx>
          <c:spPr>
            <a:solidFill>
              <a:srgbClr val="80808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S Reference Sans Serif" panose="020B0604030504040204" pitchFamily="34" charset="0"/>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Diagnóstico!$E$6:$I$6</c:f>
              <c:numCache>
                <c:formatCode>General</c:formatCode>
                <c:ptCount val="5"/>
                <c:pt idx="0">
                  <c:v>2021</c:v>
                </c:pt>
                <c:pt idx="1">
                  <c:v>2022</c:v>
                </c:pt>
                <c:pt idx="2">
                  <c:v>2023</c:v>
                </c:pt>
                <c:pt idx="3">
                  <c:v>2024</c:v>
                </c:pt>
                <c:pt idx="4">
                  <c:v>2025</c:v>
                </c:pt>
              </c:numCache>
            </c:numRef>
          </c:cat>
          <c:val>
            <c:numRef>
              <c:f>Diagnóstico!$E$26:$I$26</c:f>
              <c:numCache>
                <c:formatCode>#,##0</c:formatCode>
                <c:ptCount val="5"/>
                <c:pt idx="0">
                  <c:v>2773.0186400000239</c:v>
                </c:pt>
                <c:pt idx="1">
                  <c:v>-1420.0781472900126</c:v>
                </c:pt>
                <c:pt idx="2">
                  <c:v>18432.071861000033</c:v>
                </c:pt>
                <c:pt idx="3">
                  <c:v>19645.354753000021</c:v>
                </c:pt>
                <c:pt idx="4">
                  <c:v>16037.424063000071</c:v>
                </c:pt>
              </c:numCache>
            </c:numRef>
          </c:val>
          <c:extLst>
            <c:ext xmlns:c16="http://schemas.microsoft.com/office/drawing/2014/chart" uri="{C3380CC4-5D6E-409C-BE32-E72D297353CC}">
              <c16:uniqueId val="{00000000-7AB5-402A-A2BA-BD86394FC66A}"/>
            </c:ext>
          </c:extLst>
        </c:ser>
        <c:dLbls>
          <c:dLblPos val="outEnd"/>
          <c:showLegendKey val="0"/>
          <c:showVal val="1"/>
          <c:showCatName val="0"/>
          <c:showSerName val="0"/>
          <c:showPercent val="0"/>
          <c:showBubbleSize val="0"/>
        </c:dLbls>
        <c:gapWidth val="50"/>
        <c:overlap val="-27"/>
        <c:axId val="1335199279"/>
        <c:axId val="1335199759"/>
      </c:barChart>
      <c:catAx>
        <c:axId val="1335199279"/>
        <c:scaling>
          <c:orientation val="minMax"/>
        </c:scaling>
        <c:delete val="0"/>
        <c:axPos val="b"/>
        <c:numFmt formatCode="General" sourceLinked="1"/>
        <c:majorTickMark val="none"/>
        <c:minorTickMark val="none"/>
        <c:tickLblPos val="high"/>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S Reference Sans Serif" panose="020B0604030504040204" pitchFamily="34" charset="0"/>
                <a:ea typeface="+mn-ea"/>
                <a:cs typeface="+mn-cs"/>
              </a:defRPr>
            </a:pPr>
            <a:endParaRPr lang="es-CO"/>
          </a:p>
        </c:txPr>
        <c:crossAx val="1335199759"/>
        <c:crosses val="autoZero"/>
        <c:auto val="1"/>
        <c:lblAlgn val="ctr"/>
        <c:lblOffset val="100"/>
        <c:noMultiLvlLbl val="0"/>
      </c:catAx>
      <c:valAx>
        <c:axId val="1335199759"/>
        <c:scaling>
          <c:orientation val="minMax"/>
        </c:scaling>
        <c:delete val="0"/>
        <c:axPos val="l"/>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S Reference Sans Serif" panose="020B0604030504040204" pitchFamily="34" charset="0"/>
                    <a:ea typeface="+mn-ea"/>
                    <a:cs typeface="+mn-cs"/>
                  </a:defRPr>
                </a:pPr>
                <a:r>
                  <a:rPr lang="es-CO"/>
                  <a:t>COP Millones corrientes</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S Reference Sans Serif" panose="020B0604030504040204" pitchFamily="34" charset="0"/>
                  <a:ea typeface="+mn-ea"/>
                  <a:cs typeface="+mn-cs"/>
                </a:defRPr>
              </a:pPr>
              <a:endParaRPr lang="es-CO"/>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S Reference Sans Serif" panose="020B0604030504040204" pitchFamily="34" charset="0"/>
                <a:ea typeface="+mn-ea"/>
                <a:cs typeface="+mn-cs"/>
              </a:defRPr>
            </a:pPr>
            <a:endParaRPr lang="es-CO"/>
          </a:p>
        </c:txPr>
        <c:crossAx val="1335199279"/>
        <c:crosses val="autoZero"/>
        <c:crossBetween val="between"/>
      </c:valAx>
      <c:spPr>
        <a:noFill/>
        <a:ln>
          <a:noFill/>
        </a:ln>
        <a:effectLst/>
      </c:spPr>
    </c:plotArea>
    <c:plotVisOnly val="1"/>
    <c:dispBlanksAs val="gap"/>
    <c:showDLblsOverMax val="0"/>
    <c:extLst/>
  </c:chart>
  <c:spPr>
    <a:solidFill>
      <a:schemeClr val="bg1"/>
    </a:solidFill>
    <a:ln w="9525" cap="flat" cmpd="sng" algn="ctr">
      <a:solidFill>
        <a:srgbClr val="156082"/>
      </a:solidFill>
      <a:round/>
    </a:ln>
    <a:effectLst/>
  </c:spPr>
  <c:txPr>
    <a:bodyPr/>
    <a:lstStyle/>
    <a:p>
      <a:pPr>
        <a:defRPr sz="1200">
          <a:latin typeface="MS Reference Sans Serif" panose="020B0604030504040204" pitchFamily="34" charset="0"/>
        </a:defRPr>
      </a:pPr>
      <a:endParaRPr lang="es-CO"/>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72ECC7-AABA-4BF7-B53C-C86015289A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70</Pages>
  <Words>17632</Words>
  <Characters>96977</Characters>
  <Application>Microsoft Office Word</Application>
  <DocSecurity>0</DocSecurity>
  <Lines>808</Lines>
  <Paragraphs>228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114381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Mateo López</dc:creator>
  <cp:keywords/>
  <dc:description/>
  <cp:lastModifiedBy>Mateo López</cp:lastModifiedBy>
  <cp:revision>10</cp:revision>
  <dcterms:created xsi:type="dcterms:W3CDTF">2026-06-07T21:01:00Z</dcterms:created>
  <dcterms:modified xsi:type="dcterms:W3CDTF">2026-06-07T21:16:00Z</dcterms:modified>
</cp:coreProperties>
</file>