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47480BAB" w:rsidR="00DC70F0" w:rsidRPr="003A72E3" w:rsidRDefault="00F33FEA"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F33FEA">
        <w:rPr>
          <w:rFonts w:ascii="Times New Roman" w:eastAsia="Times New Roman" w:hAnsi="Times New Roman" w:cs="Times New Roman"/>
          <w:b/>
          <w:color w:val="000000" w:themeColor="text1"/>
          <w:sz w:val="24"/>
          <w:szCs w:val="24"/>
        </w:rPr>
        <w:t>La Justicia Transicional frente a la desmovilización armada en Colombia: Un análisis de los casos AUC y FARC-EP</w:t>
      </w:r>
    </w:p>
    <w:p w14:paraId="00000004" w14:textId="77777777" w:rsidR="00DC70F0"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9E591A6" w14:textId="77777777" w:rsidR="00F33FEA" w:rsidRDefault="00F33FEA"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7AC417C6" w14:textId="77777777" w:rsidR="00F33FEA" w:rsidRDefault="00F33FEA"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21F72A7F" w14:textId="77777777" w:rsidR="00F33FEA" w:rsidRPr="003A72E3" w:rsidRDefault="00F33FEA"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05" w14:textId="77777777" w:rsidR="00DC70F0" w:rsidRPr="003A72E3"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ACD7624" w14:textId="77777777" w:rsidR="006A0FA1" w:rsidRDefault="006A0FA1" w:rsidP="00384D8B">
      <w:pPr>
        <w:spacing w:after="0" w:line="480" w:lineRule="auto"/>
        <w:ind w:firstLine="720"/>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Andrea Paola Pulido Vergel </w:t>
      </w:r>
    </w:p>
    <w:p w14:paraId="5ACAF6CF" w14:textId="77777777" w:rsidR="006A0FA1" w:rsidRDefault="006A0FA1" w:rsidP="00384D8B">
      <w:pPr>
        <w:spacing w:after="0" w:line="480" w:lineRule="auto"/>
        <w:ind w:firstLine="720"/>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Eilen Cubides Wellman </w:t>
      </w:r>
    </w:p>
    <w:p w14:paraId="00000009" w14:textId="77777777" w:rsidR="00DC70F0" w:rsidRPr="003A72E3"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0A" w14:textId="77777777" w:rsidR="00DC70F0" w:rsidRPr="003A72E3"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0B" w14:textId="77777777" w:rsidR="00DC70F0" w:rsidRPr="003A72E3"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0C" w14:textId="77777777" w:rsidR="00DC70F0" w:rsidRPr="003A72E3"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5348C559" w14:textId="4EDE5F88" w:rsidR="0089407B" w:rsidRPr="0089407B" w:rsidRDefault="00781AC4" w:rsidP="0089407B">
      <w:pPr>
        <w:spacing w:after="0" w:line="480" w:lineRule="auto"/>
        <w:ind w:firstLine="720"/>
        <w:jc w:val="center"/>
        <w:rPr>
          <w:rFonts w:ascii="Times New Roman" w:eastAsia="Times New Roman" w:hAnsi="Times New Roman" w:cs="Times New Roman"/>
          <w:b/>
          <w:color w:val="000000" w:themeColor="text1"/>
          <w:sz w:val="24"/>
          <w:szCs w:val="24"/>
        </w:rPr>
      </w:pPr>
      <w:r w:rsidRPr="00DF097E">
        <w:rPr>
          <w:rFonts w:ascii="Times New Roman" w:eastAsia="Times New Roman" w:hAnsi="Times New Roman" w:cs="Times New Roman"/>
          <w:b/>
          <w:color w:val="000000" w:themeColor="text1"/>
          <w:sz w:val="24"/>
          <w:szCs w:val="24"/>
        </w:rPr>
        <w:t>Asesor</w:t>
      </w:r>
      <w:r w:rsidR="0089407B">
        <w:rPr>
          <w:rFonts w:ascii="Times New Roman" w:eastAsia="Times New Roman" w:hAnsi="Times New Roman" w:cs="Times New Roman"/>
          <w:b/>
          <w:color w:val="000000" w:themeColor="text1"/>
          <w:sz w:val="24"/>
          <w:szCs w:val="24"/>
        </w:rPr>
        <w:t xml:space="preserve">as: </w:t>
      </w:r>
      <w:r w:rsidR="0057555C" w:rsidRPr="0089407B">
        <w:rPr>
          <w:rFonts w:ascii="Times New Roman" w:eastAsia="Times New Roman" w:hAnsi="Times New Roman" w:cs="Times New Roman"/>
          <w:b/>
          <w:color w:val="000000" w:themeColor="text1"/>
          <w:sz w:val="24"/>
          <w:szCs w:val="24"/>
        </w:rPr>
        <w:t>Dra.</w:t>
      </w:r>
      <w:r w:rsidR="0089407B" w:rsidRPr="0089407B">
        <w:rPr>
          <w:rFonts w:ascii="Times New Roman" w:eastAsia="Times New Roman" w:hAnsi="Times New Roman" w:cs="Times New Roman"/>
          <w:b/>
          <w:color w:val="000000" w:themeColor="text1"/>
          <w:sz w:val="24"/>
          <w:szCs w:val="24"/>
        </w:rPr>
        <w:t xml:space="preserve"> María Angélica Sánchez</w:t>
      </w:r>
    </w:p>
    <w:p w14:paraId="0000000D" w14:textId="29C7C5BE" w:rsidR="00DC70F0" w:rsidRPr="009B10A2" w:rsidRDefault="0089407B"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89407B">
        <w:rPr>
          <w:rFonts w:ascii="Times New Roman" w:eastAsia="Times New Roman" w:hAnsi="Times New Roman" w:cs="Times New Roman"/>
          <w:b/>
          <w:color w:val="000000" w:themeColor="text1"/>
          <w:sz w:val="24"/>
          <w:szCs w:val="24"/>
        </w:rPr>
        <w:t>Dra. Kelly Anaya Cuello</w:t>
      </w:r>
      <w:r w:rsidR="0001553F">
        <w:rPr>
          <w:rFonts w:ascii="Times New Roman" w:eastAsia="Times New Roman" w:hAnsi="Times New Roman" w:cs="Times New Roman"/>
          <w:b/>
          <w:color w:val="000000" w:themeColor="text1"/>
          <w:sz w:val="24"/>
          <w:szCs w:val="24"/>
        </w:rPr>
        <w:t xml:space="preserve"> </w:t>
      </w:r>
    </w:p>
    <w:p w14:paraId="0000000E" w14:textId="6FEA146D" w:rsidR="00DC70F0" w:rsidRPr="009B10A2"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6647D589" w14:textId="77777777" w:rsidR="00B331D8" w:rsidRPr="009B10A2" w:rsidRDefault="00B331D8"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0F" w14:textId="77777777" w:rsidR="00DC70F0" w:rsidRPr="009B10A2"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10" w14:textId="55BF704E" w:rsidR="00DC70F0"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Universidad Popular del Cesar</w:t>
      </w:r>
    </w:p>
    <w:p w14:paraId="00000011" w14:textId="2C4454DA" w:rsidR="00DC70F0"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Facultad de Derecho y Ciencias Políticas</w:t>
      </w:r>
    </w:p>
    <w:p w14:paraId="00000012" w14:textId="5477F3FB" w:rsidR="00DC70F0"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Programa de Derecho</w:t>
      </w:r>
    </w:p>
    <w:p w14:paraId="00000013" w14:textId="18D7B449" w:rsidR="00DC70F0"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Valledupar</w:t>
      </w:r>
    </w:p>
    <w:p w14:paraId="00000014" w14:textId="7369CAB2" w:rsidR="00DC70F0" w:rsidRPr="003A72E3" w:rsidRDefault="00F03A87"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202</w:t>
      </w:r>
      <w:r w:rsidR="009534F8">
        <w:rPr>
          <w:rFonts w:ascii="Times New Roman" w:eastAsia="Times New Roman" w:hAnsi="Times New Roman" w:cs="Times New Roman"/>
          <w:b/>
          <w:color w:val="000000" w:themeColor="text1"/>
          <w:sz w:val="24"/>
          <w:szCs w:val="24"/>
        </w:rPr>
        <w:t>6</w:t>
      </w:r>
    </w:p>
    <w:p w14:paraId="25F2B1C0" w14:textId="08038552" w:rsidR="00B331D8" w:rsidRPr="003A72E3" w:rsidRDefault="00F03A87"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hAnsi="Times New Roman" w:cs="Times New Roman"/>
          <w:color w:val="000000" w:themeColor="text1"/>
          <w:sz w:val="24"/>
          <w:szCs w:val="24"/>
        </w:rPr>
        <w:br w:type="page"/>
      </w:r>
      <w:r w:rsidR="00F33FEA" w:rsidRPr="00F33FEA">
        <w:rPr>
          <w:rFonts w:ascii="Times New Roman" w:eastAsia="Times New Roman" w:hAnsi="Times New Roman" w:cs="Times New Roman"/>
          <w:b/>
          <w:color w:val="000000" w:themeColor="text1"/>
          <w:sz w:val="24"/>
          <w:szCs w:val="24"/>
        </w:rPr>
        <w:lastRenderedPageBreak/>
        <w:t>La Justicia Transicional frente a la desmovilización armada en Colombia: Un análisis de los casos AUC y FARC-EP</w:t>
      </w:r>
    </w:p>
    <w:p w14:paraId="60DA710D" w14:textId="6A99E35F"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44EA9641" w14:textId="77777777"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769327E2" w14:textId="77777777"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5F2F3A18" w14:textId="77777777" w:rsidR="006A0FA1" w:rsidRPr="006A0FA1" w:rsidRDefault="006A0FA1" w:rsidP="006A0FA1">
      <w:pPr>
        <w:spacing w:after="0" w:line="480" w:lineRule="auto"/>
        <w:ind w:firstLine="720"/>
        <w:jc w:val="center"/>
        <w:rPr>
          <w:rFonts w:ascii="Times New Roman" w:eastAsia="Times New Roman" w:hAnsi="Times New Roman" w:cs="Times New Roman"/>
          <w:b/>
          <w:color w:val="000000" w:themeColor="text1"/>
          <w:sz w:val="24"/>
          <w:szCs w:val="24"/>
        </w:rPr>
      </w:pPr>
      <w:r w:rsidRPr="006A0FA1">
        <w:rPr>
          <w:rFonts w:ascii="Times New Roman" w:eastAsia="Times New Roman" w:hAnsi="Times New Roman" w:cs="Times New Roman"/>
          <w:b/>
          <w:color w:val="000000" w:themeColor="text1"/>
          <w:sz w:val="24"/>
          <w:szCs w:val="24"/>
        </w:rPr>
        <w:t xml:space="preserve">Andrea Paola Pulido Vergel </w:t>
      </w:r>
    </w:p>
    <w:p w14:paraId="59C058BF" w14:textId="31D4A321" w:rsidR="002B13D2" w:rsidRDefault="006A0FA1" w:rsidP="006A0FA1">
      <w:pPr>
        <w:spacing w:after="0" w:line="480" w:lineRule="auto"/>
        <w:ind w:firstLine="720"/>
        <w:jc w:val="center"/>
        <w:rPr>
          <w:rFonts w:ascii="Times New Roman" w:eastAsia="Times New Roman" w:hAnsi="Times New Roman" w:cs="Times New Roman"/>
          <w:b/>
          <w:color w:val="000000" w:themeColor="text1"/>
          <w:sz w:val="24"/>
          <w:szCs w:val="24"/>
        </w:rPr>
      </w:pPr>
      <w:r w:rsidRPr="006A0FA1">
        <w:rPr>
          <w:rFonts w:ascii="Times New Roman" w:eastAsia="Times New Roman" w:hAnsi="Times New Roman" w:cs="Times New Roman"/>
          <w:b/>
          <w:color w:val="000000" w:themeColor="text1"/>
          <w:sz w:val="24"/>
          <w:szCs w:val="24"/>
        </w:rPr>
        <w:t>Eilen Cubides Wellman</w:t>
      </w:r>
    </w:p>
    <w:p w14:paraId="4D77F78B" w14:textId="77777777" w:rsidR="006A0FA1" w:rsidRPr="003A72E3" w:rsidRDefault="006A0FA1" w:rsidP="006A0FA1">
      <w:pPr>
        <w:spacing w:after="0" w:line="480" w:lineRule="auto"/>
        <w:ind w:firstLine="720"/>
        <w:jc w:val="center"/>
        <w:rPr>
          <w:rFonts w:ascii="Times New Roman" w:eastAsia="Times New Roman" w:hAnsi="Times New Roman" w:cs="Times New Roman"/>
          <w:b/>
          <w:color w:val="000000" w:themeColor="text1"/>
          <w:sz w:val="24"/>
          <w:szCs w:val="24"/>
        </w:rPr>
      </w:pPr>
    </w:p>
    <w:p w14:paraId="5B936211" w14:textId="36C965BA"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Trabajo monográfico para optar el título de abogadas</w:t>
      </w:r>
    </w:p>
    <w:p w14:paraId="40261D76" w14:textId="77777777"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1145184E" w14:textId="77777777"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22C2130C" w14:textId="77777777"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A617B5E" w14:textId="63AEC6B1"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Asesora</w:t>
      </w:r>
      <w:r w:rsidR="0089407B">
        <w:rPr>
          <w:rFonts w:ascii="Times New Roman" w:eastAsia="Times New Roman" w:hAnsi="Times New Roman" w:cs="Times New Roman"/>
          <w:b/>
          <w:color w:val="000000" w:themeColor="text1"/>
          <w:sz w:val="24"/>
          <w:szCs w:val="24"/>
        </w:rPr>
        <w:t>s</w:t>
      </w:r>
    </w:p>
    <w:p w14:paraId="349D8029" w14:textId="48DBB2C4" w:rsidR="0089407B" w:rsidRPr="0089407B" w:rsidRDefault="009534F8" w:rsidP="009534F8">
      <w:pPr>
        <w:spacing w:after="0" w:line="480" w:lineRule="auto"/>
        <w:jc w:val="center"/>
        <w:rPr>
          <w:rFonts w:ascii="Times New Roman" w:eastAsia="Times New Roman" w:hAnsi="Times New Roman" w:cs="Times New Roman"/>
          <w:b/>
          <w:color w:val="000000" w:themeColor="text1"/>
          <w:sz w:val="24"/>
          <w:szCs w:val="24"/>
        </w:rPr>
      </w:pPr>
      <w:r w:rsidRPr="0089407B">
        <w:rPr>
          <w:rFonts w:ascii="Times New Roman" w:eastAsia="Times New Roman" w:hAnsi="Times New Roman" w:cs="Times New Roman"/>
          <w:b/>
          <w:color w:val="000000" w:themeColor="text1"/>
          <w:sz w:val="24"/>
          <w:szCs w:val="24"/>
        </w:rPr>
        <w:t>Dra.</w:t>
      </w:r>
      <w:r w:rsidR="0089407B" w:rsidRPr="0089407B">
        <w:rPr>
          <w:rFonts w:ascii="Times New Roman" w:eastAsia="Times New Roman" w:hAnsi="Times New Roman" w:cs="Times New Roman"/>
          <w:b/>
          <w:color w:val="000000" w:themeColor="text1"/>
          <w:sz w:val="24"/>
          <w:szCs w:val="24"/>
        </w:rPr>
        <w:t xml:space="preserve"> María Angélica Sánchez</w:t>
      </w:r>
    </w:p>
    <w:p w14:paraId="708BBAEC" w14:textId="194A7F43" w:rsidR="002B13D2" w:rsidRDefault="0089407B" w:rsidP="009534F8">
      <w:pPr>
        <w:spacing w:after="0" w:line="480" w:lineRule="auto"/>
        <w:jc w:val="center"/>
        <w:rPr>
          <w:rFonts w:ascii="Times New Roman" w:eastAsia="Times New Roman" w:hAnsi="Times New Roman" w:cs="Times New Roman"/>
          <w:b/>
          <w:color w:val="000000" w:themeColor="text1"/>
          <w:sz w:val="24"/>
          <w:szCs w:val="24"/>
        </w:rPr>
      </w:pPr>
      <w:r w:rsidRPr="0089407B">
        <w:rPr>
          <w:rFonts w:ascii="Times New Roman" w:eastAsia="Times New Roman" w:hAnsi="Times New Roman" w:cs="Times New Roman"/>
          <w:b/>
          <w:color w:val="000000" w:themeColor="text1"/>
          <w:sz w:val="24"/>
          <w:szCs w:val="24"/>
        </w:rPr>
        <w:t>Dra. Kelly Anaya Cuello</w:t>
      </w:r>
    </w:p>
    <w:p w14:paraId="6F13BFB7" w14:textId="77777777" w:rsidR="0089407B" w:rsidRDefault="0089407B" w:rsidP="00384D8B">
      <w:pPr>
        <w:spacing w:after="0" w:line="480" w:lineRule="auto"/>
        <w:jc w:val="center"/>
        <w:rPr>
          <w:rFonts w:ascii="Times New Roman" w:eastAsia="Times New Roman" w:hAnsi="Times New Roman" w:cs="Times New Roman"/>
          <w:b/>
          <w:color w:val="000000" w:themeColor="text1"/>
          <w:sz w:val="24"/>
          <w:szCs w:val="24"/>
        </w:rPr>
      </w:pPr>
    </w:p>
    <w:p w14:paraId="74E2A17D" w14:textId="77777777" w:rsidR="0089407B" w:rsidRPr="003A72E3" w:rsidRDefault="0089407B" w:rsidP="00384D8B">
      <w:pPr>
        <w:spacing w:after="0" w:line="480" w:lineRule="auto"/>
        <w:jc w:val="center"/>
        <w:rPr>
          <w:rFonts w:ascii="Times New Roman" w:eastAsia="Times New Roman" w:hAnsi="Times New Roman" w:cs="Times New Roman"/>
          <w:b/>
          <w:color w:val="000000" w:themeColor="text1"/>
          <w:sz w:val="24"/>
          <w:szCs w:val="24"/>
        </w:rPr>
      </w:pPr>
    </w:p>
    <w:p w14:paraId="3B8EED2A" w14:textId="10C1CA55"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Universidad Popular del Cesar</w:t>
      </w:r>
    </w:p>
    <w:p w14:paraId="752D40CB" w14:textId="757BD2BA"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Facultad de Derecho y Ciencias Políticas</w:t>
      </w:r>
    </w:p>
    <w:p w14:paraId="641B9219" w14:textId="2A501E16"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Programa de Derecho</w:t>
      </w:r>
    </w:p>
    <w:p w14:paraId="10C0A7B8" w14:textId="5E9EF6DA" w:rsidR="002B13D2" w:rsidRPr="003A72E3"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Valledupar</w:t>
      </w:r>
    </w:p>
    <w:p w14:paraId="49EF0121" w14:textId="4831E4EA" w:rsidR="002B13D2" w:rsidRDefault="002B13D2"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202</w:t>
      </w:r>
      <w:r w:rsidR="009534F8">
        <w:rPr>
          <w:rFonts w:ascii="Times New Roman" w:eastAsia="Times New Roman" w:hAnsi="Times New Roman" w:cs="Times New Roman"/>
          <w:b/>
          <w:color w:val="000000" w:themeColor="text1"/>
          <w:sz w:val="24"/>
          <w:szCs w:val="24"/>
        </w:rPr>
        <w:t>6</w:t>
      </w:r>
    </w:p>
    <w:p w14:paraId="4662C73F" w14:textId="77777777" w:rsidR="00F33FEA" w:rsidRDefault="00F33FEA"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3A6EA343" w14:textId="77777777" w:rsidR="00003581" w:rsidRDefault="00003581"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5A9D2D07" w14:textId="77777777" w:rsidR="00003581" w:rsidRDefault="00003581"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4285BD6B" w14:textId="77777777" w:rsidR="00003581" w:rsidRPr="003A72E3" w:rsidRDefault="00003581"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2A" w14:textId="7EEC8774" w:rsidR="00DC70F0" w:rsidRDefault="003413FE" w:rsidP="00384D8B">
      <w:pPr>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t>Dedicatoria</w:t>
      </w:r>
    </w:p>
    <w:p w14:paraId="79584BF8" w14:textId="77777777" w:rsidR="003413FE" w:rsidRPr="003A72E3" w:rsidRDefault="003413FE" w:rsidP="00384D8B">
      <w:pPr>
        <w:jc w:val="center"/>
        <w:rPr>
          <w:rFonts w:ascii="Times New Roman" w:eastAsia="Times New Roman" w:hAnsi="Times New Roman" w:cs="Times New Roman"/>
          <w:b/>
          <w:color w:val="000000" w:themeColor="text1"/>
          <w:sz w:val="24"/>
          <w:szCs w:val="24"/>
        </w:rPr>
      </w:pPr>
    </w:p>
    <w:p w14:paraId="2244061E" w14:textId="498DCD93" w:rsidR="003413FE" w:rsidRPr="003413FE" w:rsidRDefault="5E0B2D5F" w:rsidP="066E4FC7">
      <w:pPr>
        <w:rPr>
          <w:rFonts w:ascii="Times New Roman" w:eastAsia="Times New Roman" w:hAnsi="Times New Roman" w:cs="Times New Roman"/>
          <w:i/>
          <w:iCs/>
          <w:color w:val="000000" w:themeColor="text1"/>
          <w:sz w:val="24"/>
          <w:szCs w:val="24"/>
        </w:rPr>
      </w:pPr>
      <w:r w:rsidRPr="066E4FC7">
        <w:rPr>
          <w:rFonts w:ascii="Times New Roman" w:eastAsia="Times New Roman" w:hAnsi="Times New Roman" w:cs="Times New Roman"/>
          <w:i/>
          <w:iCs/>
          <w:color w:val="000000" w:themeColor="text1"/>
          <w:sz w:val="24"/>
          <w:szCs w:val="24"/>
        </w:rPr>
        <w:t>Dedico este trabajo a mi hija Luciana, inspiración y motor de mis logros.</w:t>
      </w:r>
    </w:p>
    <w:p w14:paraId="26AB7CD9" w14:textId="77777777" w:rsidR="003413FE" w:rsidRPr="003413FE" w:rsidRDefault="003413FE" w:rsidP="003413FE">
      <w:pPr>
        <w:rPr>
          <w:rFonts w:ascii="Times New Roman" w:eastAsia="Times New Roman" w:hAnsi="Times New Roman" w:cs="Times New Roman"/>
          <w:bCs/>
          <w:i/>
          <w:iCs/>
          <w:color w:val="000000" w:themeColor="text1"/>
          <w:sz w:val="24"/>
          <w:szCs w:val="24"/>
        </w:rPr>
      </w:pPr>
      <w:r w:rsidRPr="003413FE">
        <w:rPr>
          <w:rFonts w:ascii="Times New Roman" w:eastAsia="Times New Roman" w:hAnsi="Times New Roman" w:cs="Times New Roman"/>
          <w:bCs/>
          <w:i/>
          <w:iCs/>
          <w:color w:val="000000" w:themeColor="text1"/>
          <w:sz w:val="24"/>
          <w:szCs w:val="24"/>
        </w:rPr>
        <w:t>A mi madre, por su amor incondicional, su apoyo emocional y la fortaleza que me ha transmitido en cada etapa de mi vida.</w:t>
      </w:r>
    </w:p>
    <w:p w14:paraId="1BE16368" w14:textId="77777777" w:rsidR="003413FE" w:rsidRPr="003413FE" w:rsidRDefault="003413FE" w:rsidP="003413FE">
      <w:pPr>
        <w:rPr>
          <w:rFonts w:ascii="Times New Roman" w:eastAsia="Times New Roman" w:hAnsi="Times New Roman" w:cs="Times New Roman"/>
          <w:bCs/>
          <w:i/>
          <w:iCs/>
          <w:color w:val="000000" w:themeColor="text1"/>
          <w:sz w:val="24"/>
          <w:szCs w:val="24"/>
        </w:rPr>
      </w:pPr>
      <w:r w:rsidRPr="003413FE">
        <w:rPr>
          <w:rFonts w:ascii="Times New Roman" w:eastAsia="Times New Roman" w:hAnsi="Times New Roman" w:cs="Times New Roman"/>
          <w:bCs/>
          <w:i/>
          <w:iCs/>
          <w:color w:val="000000" w:themeColor="text1"/>
          <w:sz w:val="24"/>
          <w:szCs w:val="24"/>
        </w:rPr>
        <w:t>A mi padre, por su respaldo constante, por creer en mí y acompañarme en este camino.</w:t>
      </w:r>
    </w:p>
    <w:p w14:paraId="30AF46B4" w14:textId="77777777" w:rsidR="003413FE" w:rsidRPr="003413FE" w:rsidRDefault="003413FE" w:rsidP="003413FE">
      <w:pPr>
        <w:rPr>
          <w:rFonts w:ascii="Times New Roman" w:eastAsia="Times New Roman" w:hAnsi="Times New Roman" w:cs="Times New Roman"/>
          <w:bCs/>
          <w:i/>
          <w:iCs/>
          <w:color w:val="000000" w:themeColor="text1"/>
          <w:sz w:val="24"/>
          <w:szCs w:val="24"/>
        </w:rPr>
      </w:pPr>
      <w:r w:rsidRPr="003413FE">
        <w:rPr>
          <w:rFonts w:ascii="Times New Roman" w:eastAsia="Times New Roman" w:hAnsi="Times New Roman" w:cs="Times New Roman"/>
          <w:bCs/>
          <w:i/>
          <w:iCs/>
          <w:color w:val="000000" w:themeColor="text1"/>
          <w:sz w:val="24"/>
          <w:szCs w:val="24"/>
        </w:rPr>
        <w:t>Y a mí misma, por la disciplina y perseverancia que me permitieron llegar hasta aquí.</w:t>
      </w:r>
    </w:p>
    <w:p w14:paraId="4F382A87" w14:textId="77777777" w:rsidR="003413FE" w:rsidRPr="003413FE" w:rsidRDefault="003413FE" w:rsidP="003413FE">
      <w:pPr>
        <w:rPr>
          <w:rFonts w:ascii="Times New Roman" w:eastAsia="Times New Roman" w:hAnsi="Times New Roman" w:cs="Times New Roman"/>
          <w:b/>
          <w:color w:val="000000" w:themeColor="text1"/>
          <w:sz w:val="24"/>
          <w:szCs w:val="24"/>
        </w:rPr>
      </w:pPr>
    </w:p>
    <w:p w14:paraId="55B0E434" w14:textId="77777777" w:rsidR="003413FE" w:rsidRDefault="003413FE" w:rsidP="003413FE">
      <w:pPr>
        <w:spacing w:after="0" w:line="480" w:lineRule="auto"/>
        <w:ind w:firstLine="720"/>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Eilen Cubides Wellman </w:t>
      </w:r>
    </w:p>
    <w:p w14:paraId="0000002C" w14:textId="77777777" w:rsidR="00DC70F0" w:rsidRPr="003A72E3" w:rsidRDefault="00DC70F0" w:rsidP="003413FE">
      <w:pPr>
        <w:spacing w:line="360" w:lineRule="auto"/>
        <w:jc w:val="center"/>
        <w:rPr>
          <w:rFonts w:ascii="Times New Roman" w:eastAsia="Times New Roman" w:hAnsi="Times New Roman" w:cs="Times New Roman"/>
          <w:b/>
          <w:color w:val="000000" w:themeColor="text1"/>
          <w:sz w:val="24"/>
          <w:szCs w:val="24"/>
        </w:rPr>
      </w:pPr>
    </w:p>
    <w:p w14:paraId="0000002D" w14:textId="3436DAD9" w:rsidR="00DC70F0" w:rsidRPr="003413FE" w:rsidRDefault="003413FE" w:rsidP="003413FE">
      <w:pPr>
        <w:spacing w:line="360" w:lineRule="auto"/>
        <w:rPr>
          <w:rFonts w:ascii="Times New Roman" w:eastAsia="Times New Roman" w:hAnsi="Times New Roman" w:cs="Times New Roman"/>
          <w:bCs/>
          <w:i/>
          <w:iCs/>
          <w:color w:val="000000" w:themeColor="text1"/>
          <w:sz w:val="24"/>
          <w:szCs w:val="24"/>
        </w:rPr>
      </w:pPr>
      <w:r w:rsidRPr="003413FE">
        <w:rPr>
          <w:rFonts w:ascii="Times New Roman" w:eastAsia="Times New Roman" w:hAnsi="Times New Roman" w:cs="Times New Roman"/>
          <w:bCs/>
          <w:i/>
          <w:iCs/>
          <w:color w:val="000000" w:themeColor="text1"/>
          <w:sz w:val="24"/>
          <w:szCs w:val="24"/>
        </w:rPr>
        <w:t>A César Calvo Salazar, por ser mi apoyo incondicional y la fuerza que me sostuvo desde el inicio de este camino, acompañándome con amor, motivación y guía en cada etapa. Y a mi hija María Elena Calvo Pulido, quien se convirtió en mi mayor inspiración y el impulso que me llevó a dar lo mejor de mí para culminar este proyecto; este logro es tan suyo como mío.</w:t>
      </w:r>
    </w:p>
    <w:p w14:paraId="0B150256" w14:textId="77777777" w:rsidR="003413FE" w:rsidRPr="003A72E3" w:rsidRDefault="003413FE" w:rsidP="003413FE">
      <w:pPr>
        <w:spacing w:after="0" w:line="480" w:lineRule="auto"/>
        <w:ind w:firstLine="720"/>
        <w:jc w:val="center"/>
        <w:rPr>
          <w:rFonts w:ascii="Times New Roman" w:eastAsia="Times New Roman" w:hAnsi="Times New Roman" w:cs="Times New Roman"/>
          <w:b/>
          <w:color w:val="000000" w:themeColor="text1"/>
          <w:sz w:val="24"/>
          <w:szCs w:val="24"/>
        </w:rPr>
      </w:pPr>
    </w:p>
    <w:p w14:paraId="400757C3" w14:textId="77777777" w:rsidR="003413FE" w:rsidRDefault="003413FE" w:rsidP="003413FE">
      <w:pPr>
        <w:spacing w:after="0" w:line="480" w:lineRule="auto"/>
        <w:ind w:firstLine="720"/>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Andrea Paola Pulido Vergel </w:t>
      </w:r>
    </w:p>
    <w:p w14:paraId="0000002E" w14:textId="77777777" w:rsidR="00DC70F0" w:rsidRPr="003A72E3" w:rsidRDefault="00DC70F0" w:rsidP="00384D8B">
      <w:pPr>
        <w:jc w:val="center"/>
        <w:rPr>
          <w:rFonts w:ascii="Times New Roman" w:eastAsia="Times New Roman" w:hAnsi="Times New Roman" w:cs="Times New Roman"/>
          <w:b/>
          <w:color w:val="000000" w:themeColor="text1"/>
          <w:sz w:val="24"/>
          <w:szCs w:val="24"/>
        </w:rPr>
      </w:pPr>
    </w:p>
    <w:p w14:paraId="0000002F" w14:textId="77777777" w:rsidR="00DC70F0" w:rsidRPr="003A72E3" w:rsidRDefault="00DC70F0" w:rsidP="00384D8B">
      <w:pPr>
        <w:jc w:val="center"/>
        <w:rPr>
          <w:rFonts w:ascii="Times New Roman" w:eastAsia="Times New Roman" w:hAnsi="Times New Roman" w:cs="Times New Roman"/>
          <w:b/>
          <w:color w:val="000000" w:themeColor="text1"/>
          <w:sz w:val="24"/>
          <w:szCs w:val="24"/>
        </w:rPr>
      </w:pPr>
    </w:p>
    <w:p w14:paraId="00000030" w14:textId="77777777" w:rsidR="00DC70F0" w:rsidRPr="003A72E3" w:rsidRDefault="00DC70F0" w:rsidP="00384D8B">
      <w:pPr>
        <w:jc w:val="center"/>
        <w:rPr>
          <w:rFonts w:ascii="Times New Roman" w:eastAsia="Times New Roman" w:hAnsi="Times New Roman" w:cs="Times New Roman"/>
          <w:b/>
          <w:color w:val="000000" w:themeColor="text1"/>
          <w:sz w:val="24"/>
          <w:szCs w:val="24"/>
        </w:rPr>
      </w:pPr>
    </w:p>
    <w:p w14:paraId="00000031" w14:textId="77777777" w:rsidR="00DC70F0" w:rsidRPr="003A72E3" w:rsidRDefault="00DC70F0" w:rsidP="00384D8B">
      <w:pPr>
        <w:jc w:val="center"/>
        <w:rPr>
          <w:rFonts w:ascii="Times New Roman" w:eastAsia="Times New Roman" w:hAnsi="Times New Roman" w:cs="Times New Roman"/>
          <w:b/>
          <w:color w:val="000000" w:themeColor="text1"/>
          <w:sz w:val="24"/>
          <w:szCs w:val="24"/>
        </w:rPr>
      </w:pPr>
    </w:p>
    <w:p w14:paraId="00000032" w14:textId="77777777" w:rsidR="00DC70F0" w:rsidRPr="003A72E3" w:rsidRDefault="00DC70F0" w:rsidP="00384D8B">
      <w:pPr>
        <w:jc w:val="center"/>
        <w:rPr>
          <w:rFonts w:ascii="Times New Roman" w:eastAsia="Times New Roman" w:hAnsi="Times New Roman" w:cs="Times New Roman"/>
          <w:b/>
          <w:color w:val="000000" w:themeColor="text1"/>
          <w:sz w:val="24"/>
          <w:szCs w:val="24"/>
        </w:rPr>
      </w:pPr>
    </w:p>
    <w:p w14:paraId="00000033" w14:textId="77777777" w:rsidR="00DC70F0" w:rsidRPr="003A72E3" w:rsidRDefault="00DC70F0" w:rsidP="00384D8B">
      <w:pPr>
        <w:spacing w:after="0" w:line="480" w:lineRule="auto"/>
        <w:ind w:firstLine="720"/>
        <w:jc w:val="center"/>
        <w:rPr>
          <w:rFonts w:ascii="Times New Roman" w:eastAsia="Times New Roman" w:hAnsi="Times New Roman" w:cs="Times New Roman"/>
          <w:b/>
          <w:color w:val="000000" w:themeColor="text1"/>
          <w:sz w:val="24"/>
          <w:szCs w:val="24"/>
        </w:rPr>
      </w:pPr>
    </w:p>
    <w:p w14:paraId="00000034" w14:textId="77777777" w:rsidR="00DC70F0" w:rsidRPr="003A72E3" w:rsidRDefault="00F03A87" w:rsidP="00384D8B">
      <w:pPr>
        <w:jc w:val="center"/>
        <w:rPr>
          <w:rFonts w:ascii="Times New Roman" w:eastAsia="Times New Roman" w:hAnsi="Times New Roman" w:cs="Times New Roman"/>
          <w:b/>
          <w:color w:val="000000" w:themeColor="text1"/>
          <w:sz w:val="24"/>
          <w:szCs w:val="24"/>
        </w:rPr>
      </w:pPr>
      <w:r w:rsidRPr="003A72E3">
        <w:rPr>
          <w:rFonts w:ascii="Times New Roman" w:hAnsi="Times New Roman" w:cs="Times New Roman"/>
          <w:color w:val="000000" w:themeColor="text1"/>
          <w:sz w:val="24"/>
          <w:szCs w:val="24"/>
        </w:rPr>
        <w:br w:type="page"/>
      </w:r>
    </w:p>
    <w:p w14:paraId="00000035" w14:textId="514DA710" w:rsidR="00DC70F0" w:rsidRPr="003A72E3" w:rsidRDefault="003413FE" w:rsidP="00384D8B">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lastRenderedPageBreak/>
        <w:t>Agradecimiento</w:t>
      </w:r>
    </w:p>
    <w:p w14:paraId="0B5E6D21" w14:textId="77777777" w:rsidR="003413FE" w:rsidRPr="003413FE" w:rsidRDefault="003413FE" w:rsidP="003413FE">
      <w:pPr>
        <w:rPr>
          <w:rFonts w:ascii="Times New Roman" w:eastAsia="Times New Roman" w:hAnsi="Times New Roman" w:cs="Times New Roman"/>
          <w:b/>
          <w:color w:val="000000" w:themeColor="text1"/>
          <w:sz w:val="24"/>
          <w:szCs w:val="24"/>
        </w:rPr>
      </w:pPr>
    </w:p>
    <w:p w14:paraId="408D48E1"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Dios, por darme la vida, la salud y la sabiduría para culminar este proceso académico.</w:t>
      </w:r>
    </w:p>
    <w:p w14:paraId="19DCF21D"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mis padres, quienes con su amor, apoyo emocional y respaldo económico fueron el pilar fundamental para alcanzar este logro.</w:t>
      </w:r>
    </w:p>
    <w:p w14:paraId="737B1F23"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mi hija Luciana, quien ha sido mi mayor motivación y la razón por la que cada esfuerzo ha valido la pena.</w:t>
      </w:r>
    </w:p>
    <w:p w14:paraId="58762769"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mi amiga y compañera, quien me acompañó en el desarrollo de esta monografía, aportando compromiso y dedicación en cada etapa del trabajo.</w:t>
      </w:r>
    </w:p>
    <w:p w14:paraId="7CA9A50D"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mi mejor amiga, por iniciar y culminar juntas este camino académico, demostrando que la constancia y la amistad verdadera son una fuerza invaluable.</w:t>
      </w:r>
    </w:p>
    <w:p w14:paraId="60070A04"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mis docentes y asesores, por su orientación, conocimientos y enseñanzas, que enriquecieron mi formación profesional.</w:t>
      </w:r>
    </w:p>
    <w:p w14:paraId="6C9C2390" w14:textId="77777777" w:rsid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Finalmente, a todos mis compañeros y personas cercanas que, con palabras de ánimo y gestos de apoyo, hicieron de este proceso una experiencia más llevadera y significativa.</w:t>
      </w:r>
    </w:p>
    <w:p w14:paraId="63FAB5B1" w14:textId="77777777" w:rsidR="003413FE" w:rsidRDefault="003413FE" w:rsidP="003413FE">
      <w:pPr>
        <w:rPr>
          <w:rFonts w:ascii="Times New Roman" w:eastAsia="Times New Roman" w:hAnsi="Times New Roman" w:cs="Times New Roman"/>
          <w:bCs/>
          <w:color w:val="000000" w:themeColor="text1"/>
          <w:sz w:val="24"/>
          <w:szCs w:val="24"/>
        </w:rPr>
      </w:pPr>
    </w:p>
    <w:p w14:paraId="79D93178" w14:textId="0F8F167A" w:rsidR="003413FE" w:rsidRDefault="003413FE" w:rsidP="003413FE">
      <w:pPr>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Eilen Cubides Wellman </w:t>
      </w:r>
    </w:p>
    <w:p w14:paraId="7D5894A2" w14:textId="77777777" w:rsidR="003413FE" w:rsidRDefault="003413FE" w:rsidP="003413FE">
      <w:pPr>
        <w:rPr>
          <w:rFonts w:ascii="Times New Roman" w:eastAsia="Times New Roman" w:hAnsi="Times New Roman" w:cs="Times New Roman"/>
          <w:b/>
          <w:color w:val="000000" w:themeColor="text1"/>
          <w:sz w:val="24"/>
          <w:szCs w:val="24"/>
        </w:rPr>
      </w:pPr>
    </w:p>
    <w:p w14:paraId="3D8377EF" w14:textId="77777777" w:rsidR="003413FE" w:rsidRDefault="003413FE" w:rsidP="003413FE">
      <w:pPr>
        <w:rPr>
          <w:rFonts w:ascii="Times New Roman" w:eastAsia="Times New Roman" w:hAnsi="Times New Roman" w:cs="Times New Roman"/>
          <w:b/>
          <w:color w:val="000000" w:themeColor="text1"/>
          <w:sz w:val="24"/>
          <w:szCs w:val="24"/>
        </w:rPr>
      </w:pPr>
    </w:p>
    <w:p w14:paraId="55CDC2D7" w14:textId="77777777" w:rsidR="003413FE" w:rsidRDefault="003413FE" w:rsidP="003413FE">
      <w:pPr>
        <w:rPr>
          <w:rFonts w:ascii="Times New Roman" w:eastAsia="Times New Roman" w:hAnsi="Times New Roman" w:cs="Times New Roman"/>
          <w:b/>
          <w:color w:val="000000" w:themeColor="text1"/>
          <w:sz w:val="24"/>
          <w:szCs w:val="24"/>
        </w:rPr>
      </w:pPr>
    </w:p>
    <w:p w14:paraId="2F425B92" w14:textId="77777777" w:rsidR="003413FE" w:rsidRDefault="003413FE" w:rsidP="003413FE">
      <w:pPr>
        <w:rPr>
          <w:rFonts w:ascii="Times New Roman" w:eastAsia="Times New Roman" w:hAnsi="Times New Roman" w:cs="Times New Roman"/>
          <w:b/>
          <w:color w:val="000000" w:themeColor="text1"/>
          <w:sz w:val="24"/>
          <w:szCs w:val="24"/>
        </w:rPr>
      </w:pPr>
    </w:p>
    <w:p w14:paraId="1A7A1C61" w14:textId="77777777" w:rsidR="003413FE" w:rsidRDefault="003413FE" w:rsidP="003413FE">
      <w:pPr>
        <w:rPr>
          <w:rFonts w:ascii="Times New Roman" w:eastAsia="Times New Roman" w:hAnsi="Times New Roman" w:cs="Times New Roman"/>
          <w:b/>
          <w:color w:val="000000" w:themeColor="text1"/>
          <w:sz w:val="24"/>
          <w:szCs w:val="24"/>
        </w:rPr>
      </w:pPr>
    </w:p>
    <w:p w14:paraId="56E51F18" w14:textId="1624D009" w:rsidR="003413FE" w:rsidRDefault="003413FE" w:rsidP="003413FE">
      <w:pPr>
        <w:rPr>
          <w:rFonts w:ascii="Times New Roman" w:eastAsia="Times New Roman" w:hAnsi="Times New Roman" w:cs="Times New Roman"/>
          <w:b/>
          <w:color w:val="000000" w:themeColor="text1"/>
          <w:sz w:val="24"/>
          <w:szCs w:val="24"/>
        </w:rPr>
      </w:pPr>
    </w:p>
    <w:p w14:paraId="1D4DB540" w14:textId="77777777" w:rsidR="003413FE" w:rsidRDefault="003413FE">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br w:type="page"/>
      </w:r>
    </w:p>
    <w:p w14:paraId="492F12C5" w14:textId="77777777" w:rsidR="003413FE" w:rsidRPr="003A72E3" w:rsidRDefault="003413FE" w:rsidP="003413FE">
      <w:pPr>
        <w:spacing w:after="0" w:line="480" w:lineRule="auto"/>
        <w:ind w:firstLine="72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lastRenderedPageBreak/>
        <w:t>Agradecimiento</w:t>
      </w:r>
    </w:p>
    <w:p w14:paraId="596C34C7"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En primer lugar, agradezco a Dios por brindarme la fortaleza, la sabiduría y la perseverancia necesarias para culminar esta etapa tan importante de mi vida.</w:t>
      </w:r>
    </w:p>
    <w:p w14:paraId="37950A6F"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mis padres, por ser el pilar fundamental de mi formación, por su amor incondicional y por enseñarme con el ejemplo el valor del esfuerzo y la perseverancia.</w:t>
      </w:r>
    </w:p>
    <w:p w14:paraId="7478E6E1"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las asesoras de este trabajo, quienes con su disposición, orientación y aportes fueron guía esencial para el desarrollo adecuado de esta monografía.</w:t>
      </w:r>
    </w:p>
    <w:p w14:paraId="38338A21" w14:textId="77777777" w:rsidR="003413FE" w:rsidRPr="005E4004"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A mi compañera de investigación, Eileen Cubides, por su dedicación, compromiso y colaboración durante t</w:t>
      </w:r>
      <w:r w:rsidRPr="005E4004">
        <w:rPr>
          <w:rFonts w:ascii="Times New Roman" w:eastAsia="Times New Roman" w:hAnsi="Times New Roman" w:cs="Times New Roman"/>
          <w:bCs/>
          <w:color w:val="000000" w:themeColor="text1"/>
          <w:sz w:val="24"/>
          <w:szCs w:val="24"/>
        </w:rPr>
        <w:t>odo el proceso; su apoyo fue fundamental para alcanzar este logro.</w:t>
      </w:r>
    </w:p>
    <w:p w14:paraId="344A7BCA" w14:textId="05839A0F" w:rsidR="003413FE" w:rsidRPr="005E4004" w:rsidRDefault="4C1769A6" w:rsidP="066E4FC7">
      <w:pPr>
        <w:rPr>
          <w:rFonts w:ascii="Times New Roman" w:eastAsia="Times New Roman" w:hAnsi="Times New Roman" w:cs="Times New Roman"/>
          <w:color w:val="000000" w:themeColor="text1"/>
          <w:sz w:val="24"/>
          <w:szCs w:val="24"/>
        </w:rPr>
      </w:pPr>
      <w:r w:rsidRPr="066E4FC7">
        <w:rPr>
          <w:rFonts w:ascii="Times New Roman" w:eastAsia="Times New Roman" w:hAnsi="Times New Roman" w:cs="Times New Roman"/>
          <w:color w:val="000000" w:themeColor="text1"/>
          <w:sz w:val="24"/>
          <w:szCs w:val="24"/>
        </w:rPr>
        <w:t>A Rosa, que también fue clave para el desarrollo de este trabajo, aportando significativamente en diferentes etapas.</w:t>
      </w:r>
    </w:p>
    <w:p w14:paraId="2E72AB99" w14:textId="77777777" w:rsidR="003413FE" w:rsidRPr="003413FE" w:rsidRDefault="003413FE" w:rsidP="003413FE">
      <w:pPr>
        <w:rPr>
          <w:rFonts w:ascii="Times New Roman" w:eastAsia="Times New Roman" w:hAnsi="Times New Roman" w:cs="Times New Roman"/>
          <w:bCs/>
          <w:color w:val="000000" w:themeColor="text1"/>
          <w:sz w:val="24"/>
          <w:szCs w:val="24"/>
        </w:rPr>
      </w:pPr>
      <w:r w:rsidRPr="005E4004">
        <w:rPr>
          <w:rFonts w:ascii="Times New Roman" w:eastAsia="Times New Roman" w:hAnsi="Times New Roman" w:cs="Times New Roman"/>
          <w:bCs/>
          <w:color w:val="000000" w:themeColor="text1"/>
          <w:sz w:val="24"/>
          <w:szCs w:val="24"/>
        </w:rPr>
        <w:t>A mi esposo, César Calvo Salazar, por motivarme constantemente y</w:t>
      </w:r>
      <w:r w:rsidRPr="003413FE">
        <w:rPr>
          <w:rFonts w:ascii="Times New Roman" w:eastAsia="Times New Roman" w:hAnsi="Times New Roman" w:cs="Times New Roman"/>
          <w:bCs/>
          <w:color w:val="000000" w:themeColor="text1"/>
          <w:sz w:val="24"/>
          <w:szCs w:val="24"/>
        </w:rPr>
        <w:t xml:space="preserve"> brindarme su apoyo para que cada objetivo se cumpliera a pesar de los desafíos.</w:t>
      </w:r>
    </w:p>
    <w:p w14:paraId="24F640E8" w14:textId="7B8EB32C" w:rsidR="003413FE" w:rsidRPr="003413FE" w:rsidRDefault="003413FE" w:rsidP="003413FE">
      <w:pPr>
        <w:rPr>
          <w:rFonts w:ascii="Times New Roman" w:eastAsia="Times New Roman" w:hAnsi="Times New Roman" w:cs="Times New Roman"/>
          <w:bCs/>
          <w:color w:val="000000" w:themeColor="text1"/>
          <w:sz w:val="24"/>
          <w:szCs w:val="24"/>
        </w:rPr>
      </w:pPr>
      <w:r w:rsidRPr="003413FE">
        <w:rPr>
          <w:rFonts w:ascii="Times New Roman" w:eastAsia="Times New Roman" w:hAnsi="Times New Roman" w:cs="Times New Roman"/>
          <w:bCs/>
          <w:color w:val="000000" w:themeColor="text1"/>
          <w:sz w:val="24"/>
          <w:szCs w:val="24"/>
        </w:rPr>
        <w:t>Y, de manera muy especial, a mi hija, María Elena Calvo Pulido, cuyo amor y alegría fueron el impulso que me permitió concluir este proyecto con renovada energía y determinación.</w:t>
      </w:r>
    </w:p>
    <w:p w14:paraId="086F04DE" w14:textId="77777777" w:rsidR="003413FE" w:rsidRDefault="003413FE" w:rsidP="003413FE">
      <w:pPr>
        <w:spacing w:after="0" w:line="480" w:lineRule="auto"/>
        <w:ind w:firstLine="720"/>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Andrea Paola Pulido Vergel </w:t>
      </w:r>
    </w:p>
    <w:p w14:paraId="66F4DC68" w14:textId="77777777" w:rsidR="003413FE" w:rsidRPr="003413FE" w:rsidRDefault="003413FE" w:rsidP="003413FE">
      <w:pPr>
        <w:rPr>
          <w:rFonts w:ascii="Times New Roman" w:eastAsia="Times New Roman" w:hAnsi="Times New Roman" w:cs="Times New Roman"/>
          <w:bCs/>
          <w:color w:val="000000" w:themeColor="text1"/>
          <w:sz w:val="24"/>
          <w:szCs w:val="24"/>
        </w:rPr>
      </w:pPr>
    </w:p>
    <w:p w14:paraId="72DB382A" w14:textId="77777777" w:rsidR="003413FE" w:rsidRPr="003413FE" w:rsidRDefault="003413FE" w:rsidP="003413FE">
      <w:pPr>
        <w:rPr>
          <w:rFonts w:ascii="Times New Roman" w:eastAsia="Times New Roman" w:hAnsi="Times New Roman" w:cs="Times New Roman"/>
          <w:bCs/>
          <w:color w:val="000000" w:themeColor="text1"/>
          <w:sz w:val="24"/>
          <w:szCs w:val="24"/>
        </w:rPr>
      </w:pPr>
    </w:p>
    <w:p w14:paraId="1C523C46" w14:textId="77777777" w:rsidR="003413FE" w:rsidRDefault="003413FE" w:rsidP="003413FE">
      <w:pPr>
        <w:rPr>
          <w:rFonts w:ascii="Times New Roman" w:eastAsia="Times New Roman" w:hAnsi="Times New Roman" w:cs="Times New Roman"/>
          <w:b/>
          <w:color w:val="000000" w:themeColor="text1"/>
          <w:sz w:val="24"/>
          <w:szCs w:val="24"/>
        </w:rPr>
      </w:pPr>
    </w:p>
    <w:p w14:paraId="1ACFBF80" w14:textId="77777777" w:rsidR="003413FE" w:rsidRDefault="003413FE" w:rsidP="003413FE">
      <w:pPr>
        <w:rPr>
          <w:rFonts w:ascii="Times New Roman" w:eastAsia="Times New Roman" w:hAnsi="Times New Roman" w:cs="Times New Roman"/>
          <w:b/>
          <w:color w:val="000000" w:themeColor="text1"/>
          <w:sz w:val="24"/>
          <w:szCs w:val="24"/>
        </w:rPr>
      </w:pPr>
    </w:p>
    <w:p w14:paraId="1EFF5FFC" w14:textId="77777777" w:rsidR="003413FE" w:rsidRDefault="003413FE" w:rsidP="003413FE">
      <w:pPr>
        <w:rPr>
          <w:rFonts w:ascii="Times New Roman" w:eastAsia="Times New Roman" w:hAnsi="Times New Roman" w:cs="Times New Roman"/>
          <w:b/>
          <w:color w:val="000000" w:themeColor="text1"/>
          <w:sz w:val="24"/>
          <w:szCs w:val="24"/>
        </w:rPr>
      </w:pPr>
    </w:p>
    <w:p w14:paraId="3FCD6F02" w14:textId="77777777" w:rsidR="003413FE" w:rsidRDefault="003413FE" w:rsidP="003413FE">
      <w:pPr>
        <w:rPr>
          <w:rFonts w:ascii="Times New Roman" w:eastAsia="Times New Roman" w:hAnsi="Times New Roman" w:cs="Times New Roman"/>
          <w:b/>
          <w:color w:val="000000" w:themeColor="text1"/>
          <w:sz w:val="24"/>
          <w:szCs w:val="24"/>
        </w:rPr>
      </w:pPr>
    </w:p>
    <w:p w14:paraId="777059F9" w14:textId="556BA4A6" w:rsidR="003413FE" w:rsidRDefault="003413FE" w:rsidP="003413FE">
      <w:pPr>
        <w:rPr>
          <w:rFonts w:ascii="Times New Roman" w:eastAsia="Times New Roman" w:hAnsi="Times New Roman" w:cs="Times New Roman"/>
          <w:b/>
          <w:color w:val="000000" w:themeColor="text1"/>
          <w:sz w:val="24"/>
          <w:szCs w:val="24"/>
        </w:rPr>
      </w:pPr>
    </w:p>
    <w:p w14:paraId="1D985D0F" w14:textId="77777777" w:rsidR="003413FE" w:rsidRDefault="003413FE">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br w:type="page"/>
      </w:r>
    </w:p>
    <w:p w14:paraId="00000037" w14:textId="77777777" w:rsidR="00DC70F0" w:rsidRPr="003A72E3" w:rsidRDefault="00F03A87" w:rsidP="002764D9">
      <w:pPr>
        <w:keepNext/>
        <w:keepLines/>
        <w:pBdr>
          <w:top w:val="nil"/>
          <w:left w:val="nil"/>
          <w:bottom w:val="nil"/>
          <w:right w:val="nil"/>
          <w:between w:val="nil"/>
        </w:pBdr>
        <w:spacing w:before="240" w:after="0"/>
        <w:jc w:val="center"/>
        <w:rPr>
          <w:rFonts w:ascii="Times New Roman" w:eastAsia="Times New Roman" w:hAnsi="Times New Roman" w:cs="Times New Roman"/>
          <w:b/>
          <w:color w:val="000000" w:themeColor="text1"/>
          <w:sz w:val="24"/>
          <w:szCs w:val="24"/>
        </w:rPr>
      </w:pPr>
      <w:r w:rsidRPr="003A72E3">
        <w:rPr>
          <w:rFonts w:ascii="Times New Roman" w:eastAsia="Times New Roman" w:hAnsi="Times New Roman" w:cs="Times New Roman"/>
          <w:b/>
          <w:color w:val="000000" w:themeColor="text1"/>
          <w:sz w:val="24"/>
          <w:szCs w:val="24"/>
        </w:rPr>
        <w:lastRenderedPageBreak/>
        <w:t>Contenido</w:t>
      </w:r>
    </w:p>
    <w:sdt>
      <w:sdtPr>
        <w:rPr>
          <w:rFonts w:ascii="Times New Roman" w:eastAsia="Aptos" w:hAnsi="Times New Roman" w:cs="Times New Roman"/>
          <w:color w:val="000000" w:themeColor="text1"/>
          <w:sz w:val="24"/>
          <w:szCs w:val="24"/>
        </w:rPr>
        <w:id w:val="1010022816"/>
        <w:docPartObj>
          <w:docPartGallery w:val="Table of Contents"/>
          <w:docPartUnique/>
        </w:docPartObj>
      </w:sdtPr>
      <w:sdtEndPr>
        <w:rPr>
          <w:b/>
          <w:bCs/>
        </w:rPr>
      </w:sdtEndPr>
      <w:sdtContent>
        <w:p w14:paraId="45DE1A1A" w14:textId="5ECEA3A1" w:rsidR="001C5C80" w:rsidRPr="005E4004" w:rsidRDefault="001C5C80" w:rsidP="00554A7E">
          <w:pPr>
            <w:pStyle w:val="TtuloTDC"/>
            <w:spacing w:line="276" w:lineRule="auto"/>
            <w:jc w:val="both"/>
            <w:rPr>
              <w:rFonts w:ascii="Times New Roman" w:hAnsi="Times New Roman" w:cs="Times New Roman"/>
              <w:color w:val="000000" w:themeColor="text1"/>
              <w:sz w:val="24"/>
              <w:szCs w:val="24"/>
            </w:rPr>
          </w:pPr>
        </w:p>
        <w:p w14:paraId="37276FBF" w14:textId="6309AA2C" w:rsidR="00200F44" w:rsidRDefault="001C5C80">
          <w:pPr>
            <w:pStyle w:val="TDC1"/>
            <w:tabs>
              <w:tab w:val="right" w:leader="dot" w:pos="9350"/>
            </w:tabs>
            <w:rPr>
              <w:rFonts w:asciiTheme="minorHAnsi" w:eastAsiaTheme="minorEastAsia" w:hAnsiTheme="minorHAnsi" w:cstheme="minorBidi"/>
              <w:noProof/>
              <w:kern w:val="2"/>
              <w:sz w:val="24"/>
              <w:szCs w:val="24"/>
              <w14:ligatures w14:val="standardContextual"/>
            </w:rPr>
          </w:pPr>
          <w:r w:rsidRPr="005E4004">
            <w:rPr>
              <w:rFonts w:ascii="Times New Roman" w:hAnsi="Times New Roman" w:cs="Times New Roman"/>
              <w:color w:val="000000" w:themeColor="text1"/>
              <w:sz w:val="24"/>
              <w:szCs w:val="24"/>
            </w:rPr>
            <w:fldChar w:fldCharType="begin"/>
          </w:r>
          <w:r w:rsidRPr="005E4004">
            <w:rPr>
              <w:rFonts w:ascii="Times New Roman" w:hAnsi="Times New Roman" w:cs="Times New Roman"/>
              <w:color w:val="000000" w:themeColor="text1"/>
              <w:sz w:val="24"/>
              <w:szCs w:val="24"/>
            </w:rPr>
            <w:instrText xml:space="preserve"> TOC \o "1-3" \h \z \u </w:instrText>
          </w:r>
          <w:r w:rsidRPr="005E4004">
            <w:rPr>
              <w:rFonts w:ascii="Times New Roman" w:hAnsi="Times New Roman" w:cs="Times New Roman"/>
              <w:color w:val="000000" w:themeColor="text1"/>
              <w:sz w:val="24"/>
              <w:szCs w:val="24"/>
            </w:rPr>
            <w:fldChar w:fldCharType="separate"/>
          </w:r>
          <w:hyperlink w:anchor="_Toc232457377" w:history="1">
            <w:r w:rsidR="00200F44" w:rsidRPr="00735B7A">
              <w:rPr>
                <w:rStyle w:val="Hipervnculo"/>
                <w:rFonts w:ascii="Times New Roman" w:eastAsia="Times New Roman" w:hAnsi="Times New Roman" w:cs="Times New Roman"/>
                <w:b/>
                <w:noProof/>
              </w:rPr>
              <w:t>Resumen</w:t>
            </w:r>
            <w:r w:rsidR="00200F44">
              <w:rPr>
                <w:noProof/>
                <w:webHidden/>
              </w:rPr>
              <w:tab/>
            </w:r>
            <w:r w:rsidR="00200F44">
              <w:rPr>
                <w:noProof/>
                <w:webHidden/>
              </w:rPr>
              <w:fldChar w:fldCharType="begin"/>
            </w:r>
            <w:r w:rsidR="00200F44">
              <w:rPr>
                <w:noProof/>
                <w:webHidden/>
              </w:rPr>
              <w:instrText xml:space="preserve"> PAGEREF _Toc232457377 \h </w:instrText>
            </w:r>
            <w:r w:rsidR="00200F44">
              <w:rPr>
                <w:noProof/>
                <w:webHidden/>
              </w:rPr>
            </w:r>
            <w:r w:rsidR="00200F44">
              <w:rPr>
                <w:noProof/>
                <w:webHidden/>
              </w:rPr>
              <w:fldChar w:fldCharType="separate"/>
            </w:r>
            <w:r w:rsidR="00200F44">
              <w:rPr>
                <w:noProof/>
                <w:webHidden/>
              </w:rPr>
              <w:t>8</w:t>
            </w:r>
            <w:r w:rsidR="00200F44">
              <w:rPr>
                <w:noProof/>
                <w:webHidden/>
              </w:rPr>
              <w:fldChar w:fldCharType="end"/>
            </w:r>
          </w:hyperlink>
        </w:p>
        <w:p w14:paraId="7EF6C302" w14:textId="12D82C43" w:rsidR="00200F44" w:rsidRDefault="00200F44">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32457378" w:history="1">
            <w:r w:rsidRPr="00735B7A">
              <w:rPr>
                <w:rStyle w:val="Hipervnculo"/>
                <w:rFonts w:ascii="Times New Roman" w:eastAsia="Times New Roman" w:hAnsi="Times New Roman" w:cs="Times New Roman"/>
                <w:b/>
                <w:bCs/>
                <w:noProof/>
                <w:lang w:val="en-US"/>
              </w:rPr>
              <w:t>Abstract</w:t>
            </w:r>
            <w:r>
              <w:rPr>
                <w:noProof/>
                <w:webHidden/>
              </w:rPr>
              <w:tab/>
            </w:r>
            <w:r>
              <w:rPr>
                <w:noProof/>
                <w:webHidden/>
              </w:rPr>
              <w:fldChar w:fldCharType="begin"/>
            </w:r>
            <w:r>
              <w:rPr>
                <w:noProof/>
                <w:webHidden/>
              </w:rPr>
              <w:instrText xml:space="preserve"> PAGEREF _Toc232457378 \h </w:instrText>
            </w:r>
            <w:r>
              <w:rPr>
                <w:noProof/>
                <w:webHidden/>
              </w:rPr>
            </w:r>
            <w:r>
              <w:rPr>
                <w:noProof/>
                <w:webHidden/>
              </w:rPr>
              <w:fldChar w:fldCharType="separate"/>
            </w:r>
            <w:r>
              <w:rPr>
                <w:noProof/>
                <w:webHidden/>
              </w:rPr>
              <w:t>9</w:t>
            </w:r>
            <w:r>
              <w:rPr>
                <w:noProof/>
                <w:webHidden/>
              </w:rPr>
              <w:fldChar w:fldCharType="end"/>
            </w:r>
          </w:hyperlink>
        </w:p>
        <w:p w14:paraId="5BA40EA6" w14:textId="0BF26A3F" w:rsidR="00200F44" w:rsidRDefault="00200F44">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32457379" w:history="1">
            <w:r w:rsidRPr="00735B7A">
              <w:rPr>
                <w:rStyle w:val="Hipervnculo"/>
                <w:rFonts w:ascii="Times New Roman" w:eastAsia="Times New Roman" w:hAnsi="Times New Roman" w:cs="Times New Roman"/>
                <w:b/>
                <w:noProof/>
              </w:rPr>
              <w:t>Introducción</w:t>
            </w:r>
            <w:r>
              <w:rPr>
                <w:noProof/>
                <w:webHidden/>
              </w:rPr>
              <w:tab/>
            </w:r>
            <w:r>
              <w:rPr>
                <w:noProof/>
                <w:webHidden/>
              </w:rPr>
              <w:fldChar w:fldCharType="begin"/>
            </w:r>
            <w:r>
              <w:rPr>
                <w:noProof/>
                <w:webHidden/>
              </w:rPr>
              <w:instrText xml:space="preserve"> PAGEREF _Toc232457379 \h </w:instrText>
            </w:r>
            <w:r>
              <w:rPr>
                <w:noProof/>
                <w:webHidden/>
              </w:rPr>
            </w:r>
            <w:r>
              <w:rPr>
                <w:noProof/>
                <w:webHidden/>
              </w:rPr>
              <w:fldChar w:fldCharType="separate"/>
            </w:r>
            <w:r>
              <w:rPr>
                <w:noProof/>
                <w:webHidden/>
              </w:rPr>
              <w:t>10</w:t>
            </w:r>
            <w:r>
              <w:rPr>
                <w:noProof/>
                <w:webHidden/>
              </w:rPr>
              <w:fldChar w:fldCharType="end"/>
            </w:r>
          </w:hyperlink>
        </w:p>
        <w:p w14:paraId="3FD2D7F0" w14:textId="2B73EB31" w:rsidR="00200F44" w:rsidRDefault="00200F44">
          <w:pPr>
            <w:pStyle w:val="TDC1"/>
            <w:tabs>
              <w:tab w:val="left" w:pos="440"/>
              <w:tab w:val="right" w:leader="dot" w:pos="9350"/>
            </w:tabs>
            <w:rPr>
              <w:rFonts w:asciiTheme="minorHAnsi" w:eastAsiaTheme="minorEastAsia" w:hAnsiTheme="minorHAnsi" w:cstheme="minorBidi"/>
              <w:noProof/>
              <w:kern w:val="2"/>
              <w:sz w:val="24"/>
              <w:szCs w:val="24"/>
              <w14:ligatures w14:val="standardContextual"/>
            </w:rPr>
          </w:pPr>
          <w:hyperlink w:anchor="_Toc232457380" w:history="1">
            <w:r w:rsidRPr="00735B7A">
              <w:rPr>
                <w:rStyle w:val="Hipervnculo"/>
                <w:rFonts w:ascii="Times New Roman" w:eastAsia="Times New Roman" w:hAnsi="Times New Roman" w:cs="Times New Roman"/>
                <w:b/>
                <w:noProof/>
              </w:rPr>
              <w:t>1.</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eastAsia="Times New Roman" w:hAnsi="Times New Roman" w:cs="Times New Roman"/>
                <w:b/>
                <w:noProof/>
              </w:rPr>
              <w:t>La Justicia Transicional frente a la desmovilización armada en Colombia: Un análisis de los casos AUC y FARC-EP</w:t>
            </w:r>
            <w:r>
              <w:rPr>
                <w:noProof/>
                <w:webHidden/>
              </w:rPr>
              <w:tab/>
            </w:r>
            <w:r>
              <w:rPr>
                <w:noProof/>
                <w:webHidden/>
              </w:rPr>
              <w:fldChar w:fldCharType="begin"/>
            </w:r>
            <w:r>
              <w:rPr>
                <w:noProof/>
                <w:webHidden/>
              </w:rPr>
              <w:instrText xml:space="preserve"> PAGEREF _Toc232457380 \h </w:instrText>
            </w:r>
            <w:r>
              <w:rPr>
                <w:noProof/>
                <w:webHidden/>
              </w:rPr>
            </w:r>
            <w:r>
              <w:rPr>
                <w:noProof/>
                <w:webHidden/>
              </w:rPr>
              <w:fldChar w:fldCharType="separate"/>
            </w:r>
            <w:r>
              <w:rPr>
                <w:noProof/>
                <w:webHidden/>
              </w:rPr>
              <w:t>14</w:t>
            </w:r>
            <w:r>
              <w:rPr>
                <w:noProof/>
                <w:webHidden/>
              </w:rPr>
              <w:fldChar w:fldCharType="end"/>
            </w:r>
          </w:hyperlink>
        </w:p>
        <w:p w14:paraId="16B2DFAB" w14:textId="751359FA"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81" w:history="1">
            <w:r w:rsidRPr="00735B7A">
              <w:rPr>
                <w:rStyle w:val="Hipervnculo"/>
                <w:rFonts w:ascii="Times New Roman" w:hAnsi="Times New Roman" w:cs="Times New Roman"/>
                <w:b/>
                <w:bCs/>
                <w:noProof/>
              </w:rPr>
              <w:t>1.1.</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Línea de investigación</w:t>
            </w:r>
            <w:r>
              <w:rPr>
                <w:noProof/>
                <w:webHidden/>
              </w:rPr>
              <w:tab/>
            </w:r>
            <w:r>
              <w:rPr>
                <w:noProof/>
                <w:webHidden/>
              </w:rPr>
              <w:fldChar w:fldCharType="begin"/>
            </w:r>
            <w:r>
              <w:rPr>
                <w:noProof/>
                <w:webHidden/>
              </w:rPr>
              <w:instrText xml:space="preserve"> PAGEREF _Toc232457381 \h </w:instrText>
            </w:r>
            <w:r>
              <w:rPr>
                <w:noProof/>
                <w:webHidden/>
              </w:rPr>
            </w:r>
            <w:r>
              <w:rPr>
                <w:noProof/>
                <w:webHidden/>
              </w:rPr>
              <w:fldChar w:fldCharType="separate"/>
            </w:r>
            <w:r>
              <w:rPr>
                <w:noProof/>
                <w:webHidden/>
              </w:rPr>
              <w:t>14</w:t>
            </w:r>
            <w:r>
              <w:rPr>
                <w:noProof/>
                <w:webHidden/>
              </w:rPr>
              <w:fldChar w:fldCharType="end"/>
            </w:r>
          </w:hyperlink>
        </w:p>
        <w:p w14:paraId="673B4F8D" w14:textId="130D354C"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82" w:history="1">
            <w:r w:rsidRPr="00735B7A">
              <w:rPr>
                <w:rStyle w:val="Hipervnculo"/>
                <w:rFonts w:ascii="Times New Roman" w:hAnsi="Times New Roman" w:cs="Times New Roman"/>
                <w:b/>
                <w:bCs/>
                <w:noProof/>
              </w:rPr>
              <w:t>1.2.</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Planteamiento del problema</w:t>
            </w:r>
            <w:r>
              <w:rPr>
                <w:noProof/>
                <w:webHidden/>
              </w:rPr>
              <w:tab/>
            </w:r>
            <w:r>
              <w:rPr>
                <w:noProof/>
                <w:webHidden/>
              </w:rPr>
              <w:fldChar w:fldCharType="begin"/>
            </w:r>
            <w:r>
              <w:rPr>
                <w:noProof/>
                <w:webHidden/>
              </w:rPr>
              <w:instrText xml:space="preserve"> PAGEREF _Toc232457382 \h </w:instrText>
            </w:r>
            <w:r>
              <w:rPr>
                <w:noProof/>
                <w:webHidden/>
              </w:rPr>
            </w:r>
            <w:r>
              <w:rPr>
                <w:noProof/>
                <w:webHidden/>
              </w:rPr>
              <w:fldChar w:fldCharType="separate"/>
            </w:r>
            <w:r>
              <w:rPr>
                <w:noProof/>
                <w:webHidden/>
              </w:rPr>
              <w:t>14</w:t>
            </w:r>
            <w:r>
              <w:rPr>
                <w:noProof/>
                <w:webHidden/>
              </w:rPr>
              <w:fldChar w:fldCharType="end"/>
            </w:r>
          </w:hyperlink>
        </w:p>
        <w:p w14:paraId="6967C969" w14:textId="4610944C" w:rsidR="00200F44" w:rsidRDefault="00200F44">
          <w:pPr>
            <w:pStyle w:val="TD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2457383" w:history="1">
            <w:r w:rsidRPr="00735B7A">
              <w:rPr>
                <w:rStyle w:val="Hipervnculo"/>
                <w:rFonts w:ascii="Times New Roman" w:hAnsi="Times New Roman" w:cs="Times New Roman"/>
                <w:b/>
                <w:bCs/>
                <w:noProof/>
              </w:rPr>
              <w:t>1.2.1.</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Pregunta de investigación</w:t>
            </w:r>
            <w:r>
              <w:rPr>
                <w:noProof/>
                <w:webHidden/>
              </w:rPr>
              <w:tab/>
            </w:r>
            <w:r>
              <w:rPr>
                <w:noProof/>
                <w:webHidden/>
              </w:rPr>
              <w:fldChar w:fldCharType="begin"/>
            </w:r>
            <w:r>
              <w:rPr>
                <w:noProof/>
                <w:webHidden/>
              </w:rPr>
              <w:instrText xml:space="preserve"> PAGEREF _Toc232457383 \h </w:instrText>
            </w:r>
            <w:r>
              <w:rPr>
                <w:noProof/>
                <w:webHidden/>
              </w:rPr>
            </w:r>
            <w:r>
              <w:rPr>
                <w:noProof/>
                <w:webHidden/>
              </w:rPr>
              <w:fldChar w:fldCharType="separate"/>
            </w:r>
            <w:r>
              <w:rPr>
                <w:noProof/>
                <w:webHidden/>
              </w:rPr>
              <w:t>18</w:t>
            </w:r>
            <w:r>
              <w:rPr>
                <w:noProof/>
                <w:webHidden/>
              </w:rPr>
              <w:fldChar w:fldCharType="end"/>
            </w:r>
          </w:hyperlink>
        </w:p>
        <w:p w14:paraId="4DA69E48" w14:textId="38CC643E"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84" w:history="1">
            <w:r w:rsidRPr="00735B7A">
              <w:rPr>
                <w:rStyle w:val="Hipervnculo"/>
                <w:rFonts w:ascii="Times New Roman" w:hAnsi="Times New Roman" w:cs="Times New Roman"/>
                <w:b/>
                <w:bCs/>
                <w:noProof/>
              </w:rPr>
              <w:t>1.3.</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Objetivos</w:t>
            </w:r>
            <w:r>
              <w:rPr>
                <w:noProof/>
                <w:webHidden/>
              </w:rPr>
              <w:tab/>
            </w:r>
            <w:r>
              <w:rPr>
                <w:noProof/>
                <w:webHidden/>
              </w:rPr>
              <w:fldChar w:fldCharType="begin"/>
            </w:r>
            <w:r>
              <w:rPr>
                <w:noProof/>
                <w:webHidden/>
              </w:rPr>
              <w:instrText xml:space="preserve"> PAGEREF _Toc232457384 \h </w:instrText>
            </w:r>
            <w:r>
              <w:rPr>
                <w:noProof/>
                <w:webHidden/>
              </w:rPr>
            </w:r>
            <w:r>
              <w:rPr>
                <w:noProof/>
                <w:webHidden/>
              </w:rPr>
              <w:fldChar w:fldCharType="separate"/>
            </w:r>
            <w:r>
              <w:rPr>
                <w:noProof/>
                <w:webHidden/>
              </w:rPr>
              <w:t>18</w:t>
            </w:r>
            <w:r>
              <w:rPr>
                <w:noProof/>
                <w:webHidden/>
              </w:rPr>
              <w:fldChar w:fldCharType="end"/>
            </w:r>
          </w:hyperlink>
        </w:p>
        <w:p w14:paraId="0C130188" w14:textId="54D52494" w:rsidR="00200F44" w:rsidRDefault="00200F44">
          <w:pPr>
            <w:pStyle w:val="TD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2457385" w:history="1">
            <w:r w:rsidRPr="00735B7A">
              <w:rPr>
                <w:rStyle w:val="Hipervnculo"/>
                <w:rFonts w:ascii="Times New Roman" w:hAnsi="Times New Roman" w:cs="Times New Roman"/>
                <w:b/>
                <w:bCs/>
                <w:noProof/>
              </w:rPr>
              <w:t>1.3.1.</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Objetivo General</w:t>
            </w:r>
            <w:r>
              <w:rPr>
                <w:noProof/>
                <w:webHidden/>
              </w:rPr>
              <w:tab/>
            </w:r>
            <w:r>
              <w:rPr>
                <w:noProof/>
                <w:webHidden/>
              </w:rPr>
              <w:fldChar w:fldCharType="begin"/>
            </w:r>
            <w:r>
              <w:rPr>
                <w:noProof/>
                <w:webHidden/>
              </w:rPr>
              <w:instrText xml:space="preserve"> PAGEREF _Toc232457385 \h </w:instrText>
            </w:r>
            <w:r>
              <w:rPr>
                <w:noProof/>
                <w:webHidden/>
              </w:rPr>
            </w:r>
            <w:r>
              <w:rPr>
                <w:noProof/>
                <w:webHidden/>
              </w:rPr>
              <w:fldChar w:fldCharType="separate"/>
            </w:r>
            <w:r>
              <w:rPr>
                <w:noProof/>
                <w:webHidden/>
              </w:rPr>
              <w:t>18</w:t>
            </w:r>
            <w:r>
              <w:rPr>
                <w:noProof/>
                <w:webHidden/>
              </w:rPr>
              <w:fldChar w:fldCharType="end"/>
            </w:r>
          </w:hyperlink>
        </w:p>
        <w:p w14:paraId="502E7BEC" w14:textId="7E224BFA" w:rsidR="00200F44" w:rsidRDefault="00200F44">
          <w:pPr>
            <w:pStyle w:val="TD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2457386" w:history="1">
            <w:r w:rsidRPr="00735B7A">
              <w:rPr>
                <w:rStyle w:val="Hipervnculo"/>
                <w:rFonts w:ascii="Times New Roman" w:hAnsi="Times New Roman" w:cs="Times New Roman"/>
                <w:b/>
                <w:bCs/>
                <w:noProof/>
              </w:rPr>
              <w:t>1.3.2.</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Objetivos específicos</w:t>
            </w:r>
            <w:r>
              <w:rPr>
                <w:noProof/>
                <w:webHidden/>
              </w:rPr>
              <w:tab/>
            </w:r>
            <w:r>
              <w:rPr>
                <w:noProof/>
                <w:webHidden/>
              </w:rPr>
              <w:fldChar w:fldCharType="begin"/>
            </w:r>
            <w:r>
              <w:rPr>
                <w:noProof/>
                <w:webHidden/>
              </w:rPr>
              <w:instrText xml:space="preserve"> PAGEREF _Toc232457386 \h </w:instrText>
            </w:r>
            <w:r>
              <w:rPr>
                <w:noProof/>
                <w:webHidden/>
              </w:rPr>
            </w:r>
            <w:r>
              <w:rPr>
                <w:noProof/>
                <w:webHidden/>
              </w:rPr>
              <w:fldChar w:fldCharType="separate"/>
            </w:r>
            <w:r>
              <w:rPr>
                <w:noProof/>
                <w:webHidden/>
              </w:rPr>
              <w:t>18</w:t>
            </w:r>
            <w:r>
              <w:rPr>
                <w:noProof/>
                <w:webHidden/>
              </w:rPr>
              <w:fldChar w:fldCharType="end"/>
            </w:r>
          </w:hyperlink>
        </w:p>
        <w:p w14:paraId="2254EB72" w14:textId="46A13539"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87" w:history="1">
            <w:r w:rsidRPr="00735B7A">
              <w:rPr>
                <w:rStyle w:val="Hipervnculo"/>
                <w:rFonts w:ascii="Times New Roman" w:hAnsi="Times New Roman" w:cs="Times New Roman"/>
                <w:b/>
                <w:bCs/>
                <w:noProof/>
              </w:rPr>
              <w:t>1.4.</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Justificación</w:t>
            </w:r>
            <w:r>
              <w:rPr>
                <w:noProof/>
                <w:webHidden/>
              </w:rPr>
              <w:tab/>
            </w:r>
            <w:r>
              <w:rPr>
                <w:noProof/>
                <w:webHidden/>
              </w:rPr>
              <w:fldChar w:fldCharType="begin"/>
            </w:r>
            <w:r>
              <w:rPr>
                <w:noProof/>
                <w:webHidden/>
              </w:rPr>
              <w:instrText xml:space="preserve"> PAGEREF _Toc232457387 \h </w:instrText>
            </w:r>
            <w:r>
              <w:rPr>
                <w:noProof/>
                <w:webHidden/>
              </w:rPr>
            </w:r>
            <w:r>
              <w:rPr>
                <w:noProof/>
                <w:webHidden/>
              </w:rPr>
              <w:fldChar w:fldCharType="separate"/>
            </w:r>
            <w:r>
              <w:rPr>
                <w:noProof/>
                <w:webHidden/>
              </w:rPr>
              <w:t>18</w:t>
            </w:r>
            <w:r>
              <w:rPr>
                <w:noProof/>
                <w:webHidden/>
              </w:rPr>
              <w:fldChar w:fldCharType="end"/>
            </w:r>
          </w:hyperlink>
        </w:p>
        <w:p w14:paraId="2ED93EAB" w14:textId="2367128A"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88" w:history="1">
            <w:r w:rsidRPr="00735B7A">
              <w:rPr>
                <w:rStyle w:val="Hipervnculo"/>
                <w:rFonts w:ascii="Times New Roman" w:hAnsi="Times New Roman" w:cs="Times New Roman"/>
                <w:b/>
                <w:bCs/>
                <w:noProof/>
              </w:rPr>
              <w:t>1.5.</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Delimitación</w:t>
            </w:r>
            <w:r>
              <w:rPr>
                <w:noProof/>
                <w:webHidden/>
              </w:rPr>
              <w:tab/>
            </w:r>
            <w:r>
              <w:rPr>
                <w:noProof/>
                <w:webHidden/>
              </w:rPr>
              <w:fldChar w:fldCharType="begin"/>
            </w:r>
            <w:r>
              <w:rPr>
                <w:noProof/>
                <w:webHidden/>
              </w:rPr>
              <w:instrText xml:space="preserve"> PAGEREF _Toc232457388 \h </w:instrText>
            </w:r>
            <w:r>
              <w:rPr>
                <w:noProof/>
                <w:webHidden/>
              </w:rPr>
            </w:r>
            <w:r>
              <w:rPr>
                <w:noProof/>
                <w:webHidden/>
              </w:rPr>
              <w:fldChar w:fldCharType="separate"/>
            </w:r>
            <w:r>
              <w:rPr>
                <w:noProof/>
                <w:webHidden/>
              </w:rPr>
              <w:t>21</w:t>
            </w:r>
            <w:r>
              <w:rPr>
                <w:noProof/>
                <w:webHidden/>
              </w:rPr>
              <w:fldChar w:fldCharType="end"/>
            </w:r>
          </w:hyperlink>
        </w:p>
        <w:p w14:paraId="5F46002F" w14:textId="41CF7892" w:rsidR="00200F44" w:rsidRDefault="00200F44">
          <w:pPr>
            <w:pStyle w:val="TD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2457389" w:history="1">
            <w:r w:rsidRPr="00735B7A">
              <w:rPr>
                <w:rStyle w:val="Hipervnculo"/>
                <w:rFonts w:ascii="Times New Roman" w:hAnsi="Times New Roman" w:cs="Times New Roman"/>
                <w:b/>
                <w:bCs/>
                <w:noProof/>
              </w:rPr>
              <w:t>1.5.1.</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Delimitación conceptual</w:t>
            </w:r>
            <w:r>
              <w:rPr>
                <w:noProof/>
                <w:webHidden/>
              </w:rPr>
              <w:tab/>
            </w:r>
            <w:r>
              <w:rPr>
                <w:noProof/>
                <w:webHidden/>
              </w:rPr>
              <w:fldChar w:fldCharType="begin"/>
            </w:r>
            <w:r>
              <w:rPr>
                <w:noProof/>
                <w:webHidden/>
              </w:rPr>
              <w:instrText xml:space="preserve"> PAGEREF _Toc232457389 \h </w:instrText>
            </w:r>
            <w:r>
              <w:rPr>
                <w:noProof/>
                <w:webHidden/>
              </w:rPr>
            </w:r>
            <w:r>
              <w:rPr>
                <w:noProof/>
                <w:webHidden/>
              </w:rPr>
              <w:fldChar w:fldCharType="separate"/>
            </w:r>
            <w:r>
              <w:rPr>
                <w:noProof/>
                <w:webHidden/>
              </w:rPr>
              <w:t>21</w:t>
            </w:r>
            <w:r>
              <w:rPr>
                <w:noProof/>
                <w:webHidden/>
              </w:rPr>
              <w:fldChar w:fldCharType="end"/>
            </w:r>
          </w:hyperlink>
        </w:p>
        <w:p w14:paraId="1B81F1A7" w14:textId="7CEB3EA8" w:rsidR="00200F44" w:rsidRDefault="00200F44">
          <w:pPr>
            <w:pStyle w:val="TD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2457390" w:history="1">
            <w:r w:rsidRPr="00735B7A">
              <w:rPr>
                <w:rStyle w:val="Hipervnculo"/>
                <w:rFonts w:ascii="Times New Roman" w:hAnsi="Times New Roman" w:cs="Times New Roman"/>
                <w:b/>
                <w:bCs/>
                <w:noProof/>
              </w:rPr>
              <w:t>1.5.2.</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Delimitación temporal</w:t>
            </w:r>
            <w:r>
              <w:rPr>
                <w:noProof/>
                <w:webHidden/>
              </w:rPr>
              <w:tab/>
            </w:r>
            <w:r>
              <w:rPr>
                <w:noProof/>
                <w:webHidden/>
              </w:rPr>
              <w:fldChar w:fldCharType="begin"/>
            </w:r>
            <w:r>
              <w:rPr>
                <w:noProof/>
                <w:webHidden/>
              </w:rPr>
              <w:instrText xml:space="preserve"> PAGEREF _Toc232457390 \h </w:instrText>
            </w:r>
            <w:r>
              <w:rPr>
                <w:noProof/>
                <w:webHidden/>
              </w:rPr>
            </w:r>
            <w:r>
              <w:rPr>
                <w:noProof/>
                <w:webHidden/>
              </w:rPr>
              <w:fldChar w:fldCharType="separate"/>
            </w:r>
            <w:r>
              <w:rPr>
                <w:noProof/>
                <w:webHidden/>
              </w:rPr>
              <w:t>21</w:t>
            </w:r>
            <w:r>
              <w:rPr>
                <w:noProof/>
                <w:webHidden/>
              </w:rPr>
              <w:fldChar w:fldCharType="end"/>
            </w:r>
          </w:hyperlink>
        </w:p>
        <w:p w14:paraId="632060B1" w14:textId="28076081" w:rsidR="00200F44" w:rsidRDefault="00200F44">
          <w:pPr>
            <w:pStyle w:val="TD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2457391" w:history="1">
            <w:r w:rsidRPr="00735B7A">
              <w:rPr>
                <w:rStyle w:val="Hipervnculo"/>
                <w:rFonts w:ascii="Times New Roman" w:hAnsi="Times New Roman" w:cs="Times New Roman"/>
                <w:b/>
                <w:bCs/>
                <w:noProof/>
              </w:rPr>
              <w:t>1.5.3.</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Delimitación espacial</w:t>
            </w:r>
            <w:r>
              <w:rPr>
                <w:noProof/>
                <w:webHidden/>
              </w:rPr>
              <w:tab/>
            </w:r>
            <w:r>
              <w:rPr>
                <w:noProof/>
                <w:webHidden/>
              </w:rPr>
              <w:fldChar w:fldCharType="begin"/>
            </w:r>
            <w:r>
              <w:rPr>
                <w:noProof/>
                <w:webHidden/>
              </w:rPr>
              <w:instrText xml:space="preserve"> PAGEREF _Toc232457391 \h </w:instrText>
            </w:r>
            <w:r>
              <w:rPr>
                <w:noProof/>
                <w:webHidden/>
              </w:rPr>
            </w:r>
            <w:r>
              <w:rPr>
                <w:noProof/>
                <w:webHidden/>
              </w:rPr>
              <w:fldChar w:fldCharType="separate"/>
            </w:r>
            <w:r>
              <w:rPr>
                <w:noProof/>
                <w:webHidden/>
              </w:rPr>
              <w:t>21</w:t>
            </w:r>
            <w:r>
              <w:rPr>
                <w:noProof/>
                <w:webHidden/>
              </w:rPr>
              <w:fldChar w:fldCharType="end"/>
            </w:r>
          </w:hyperlink>
        </w:p>
        <w:p w14:paraId="6C2A5C03" w14:textId="3C3D023A" w:rsidR="00200F44" w:rsidRDefault="00200F44">
          <w:pPr>
            <w:pStyle w:val="TDC1"/>
            <w:tabs>
              <w:tab w:val="left" w:pos="440"/>
              <w:tab w:val="right" w:leader="dot" w:pos="9350"/>
            </w:tabs>
            <w:rPr>
              <w:rFonts w:asciiTheme="minorHAnsi" w:eastAsiaTheme="minorEastAsia" w:hAnsiTheme="minorHAnsi" w:cstheme="minorBidi"/>
              <w:noProof/>
              <w:kern w:val="2"/>
              <w:sz w:val="24"/>
              <w:szCs w:val="24"/>
              <w14:ligatures w14:val="standardContextual"/>
            </w:rPr>
          </w:pPr>
          <w:hyperlink w:anchor="_Toc232457392" w:history="1">
            <w:r w:rsidRPr="00735B7A">
              <w:rPr>
                <w:rStyle w:val="Hipervnculo"/>
                <w:rFonts w:ascii="Times New Roman" w:eastAsia="Times New Roman" w:hAnsi="Times New Roman" w:cs="Times New Roman"/>
                <w:b/>
                <w:noProof/>
              </w:rPr>
              <w:t>2.</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eastAsia="Times New Roman" w:hAnsi="Times New Roman" w:cs="Times New Roman"/>
                <w:b/>
                <w:noProof/>
              </w:rPr>
              <w:t>Desarrollo Teórico</w:t>
            </w:r>
            <w:r>
              <w:rPr>
                <w:noProof/>
                <w:webHidden/>
              </w:rPr>
              <w:tab/>
            </w:r>
            <w:r>
              <w:rPr>
                <w:noProof/>
                <w:webHidden/>
              </w:rPr>
              <w:fldChar w:fldCharType="begin"/>
            </w:r>
            <w:r>
              <w:rPr>
                <w:noProof/>
                <w:webHidden/>
              </w:rPr>
              <w:instrText xml:space="preserve"> PAGEREF _Toc232457392 \h </w:instrText>
            </w:r>
            <w:r>
              <w:rPr>
                <w:noProof/>
                <w:webHidden/>
              </w:rPr>
            </w:r>
            <w:r>
              <w:rPr>
                <w:noProof/>
                <w:webHidden/>
              </w:rPr>
              <w:fldChar w:fldCharType="separate"/>
            </w:r>
            <w:r>
              <w:rPr>
                <w:noProof/>
                <w:webHidden/>
              </w:rPr>
              <w:t>23</w:t>
            </w:r>
            <w:r>
              <w:rPr>
                <w:noProof/>
                <w:webHidden/>
              </w:rPr>
              <w:fldChar w:fldCharType="end"/>
            </w:r>
          </w:hyperlink>
        </w:p>
        <w:p w14:paraId="3018C6A4" w14:textId="789D534A"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93" w:history="1">
            <w:r w:rsidRPr="00735B7A">
              <w:rPr>
                <w:rStyle w:val="Hipervnculo"/>
                <w:rFonts w:ascii="Times New Roman" w:eastAsia="Times New Roman" w:hAnsi="Times New Roman" w:cs="Times New Roman"/>
                <w:b/>
                <w:bCs/>
                <w:noProof/>
              </w:rPr>
              <w:t>2.1.</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eastAsia="Times New Roman" w:hAnsi="Times New Roman" w:cs="Times New Roman"/>
                <w:b/>
                <w:bCs/>
                <w:noProof/>
              </w:rPr>
              <w:t>Conceptos o particularidades entre las AUC y las FACR-EP</w:t>
            </w:r>
            <w:r>
              <w:rPr>
                <w:noProof/>
                <w:webHidden/>
              </w:rPr>
              <w:tab/>
            </w:r>
            <w:r>
              <w:rPr>
                <w:noProof/>
                <w:webHidden/>
              </w:rPr>
              <w:fldChar w:fldCharType="begin"/>
            </w:r>
            <w:r>
              <w:rPr>
                <w:noProof/>
                <w:webHidden/>
              </w:rPr>
              <w:instrText xml:space="preserve"> PAGEREF _Toc232457393 \h </w:instrText>
            </w:r>
            <w:r>
              <w:rPr>
                <w:noProof/>
                <w:webHidden/>
              </w:rPr>
            </w:r>
            <w:r>
              <w:rPr>
                <w:noProof/>
                <w:webHidden/>
              </w:rPr>
              <w:fldChar w:fldCharType="separate"/>
            </w:r>
            <w:r>
              <w:rPr>
                <w:noProof/>
                <w:webHidden/>
              </w:rPr>
              <w:t>23</w:t>
            </w:r>
            <w:r>
              <w:rPr>
                <w:noProof/>
                <w:webHidden/>
              </w:rPr>
              <w:fldChar w:fldCharType="end"/>
            </w:r>
          </w:hyperlink>
        </w:p>
        <w:p w14:paraId="41895C9E" w14:textId="49EB67A3"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94" w:history="1">
            <w:r w:rsidRPr="00735B7A">
              <w:rPr>
                <w:rStyle w:val="Hipervnculo"/>
                <w:rFonts w:ascii="Times New Roman" w:hAnsi="Times New Roman" w:cs="Times New Roman"/>
                <w:b/>
                <w:bCs/>
                <w:i/>
                <w:iCs/>
                <w:noProof/>
              </w:rPr>
              <w:t>2.2.</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i/>
                <w:iCs/>
                <w:noProof/>
              </w:rPr>
              <w:t>Marco Normativo de la Justicia Transicional Contemplado en la Ley 975 de 2005 En Colombia.</w:t>
            </w:r>
            <w:r>
              <w:rPr>
                <w:noProof/>
                <w:webHidden/>
              </w:rPr>
              <w:tab/>
            </w:r>
            <w:r>
              <w:rPr>
                <w:noProof/>
                <w:webHidden/>
              </w:rPr>
              <w:fldChar w:fldCharType="begin"/>
            </w:r>
            <w:r>
              <w:rPr>
                <w:noProof/>
                <w:webHidden/>
              </w:rPr>
              <w:instrText xml:space="preserve"> PAGEREF _Toc232457394 \h </w:instrText>
            </w:r>
            <w:r>
              <w:rPr>
                <w:noProof/>
                <w:webHidden/>
              </w:rPr>
            </w:r>
            <w:r>
              <w:rPr>
                <w:noProof/>
                <w:webHidden/>
              </w:rPr>
              <w:fldChar w:fldCharType="separate"/>
            </w:r>
            <w:r>
              <w:rPr>
                <w:noProof/>
                <w:webHidden/>
              </w:rPr>
              <w:t>27</w:t>
            </w:r>
            <w:r>
              <w:rPr>
                <w:noProof/>
                <w:webHidden/>
              </w:rPr>
              <w:fldChar w:fldCharType="end"/>
            </w:r>
          </w:hyperlink>
        </w:p>
        <w:p w14:paraId="4DB2E779" w14:textId="2EA0ADA5"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95" w:history="1">
            <w:r w:rsidRPr="00735B7A">
              <w:rPr>
                <w:rStyle w:val="Hipervnculo"/>
                <w:rFonts w:ascii="Times New Roman" w:hAnsi="Times New Roman" w:cs="Times New Roman"/>
                <w:b/>
                <w:bCs/>
                <w:i/>
                <w:iCs/>
                <w:noProof/>
              </w:rPr>
              <w:t>2.3.</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i/>
                <w:iCs/>
                <w:noProof/>
              </w:rPr>
              <w:t>Marco Normativo de la Justicia Transicional contemplada en la Ley 1592 del 2012 en Colombia.</w:t>
            </w:r>
            <w:r>
              <w:rPr>
                <w:noProof/>
                <w:webHidden/>
              </w:rPr>
              <w:tab/>
            </w:r>
            <w:r>
              <w:rPr>
                <w:noProof/>
                <w:webHidden/>
              </w:rPr>
              <w:fldChar w:fldCharType="begin"/>
            </w:r>
            <w:r>
              <w:rPr>
                <w:noProof/>
                <w:webHidden/>
              </w:rPr>
              <w:instrText xml:space="preserve"> PAGEREF _Toc232457395 \h </w:instrText>
            </w:r>
            <w:r>
              <w:rPr>
                <w:noProof/>
                <w:webHidden/>
              </w:rPr>
            </w:r>
            <w:r>
              <w:rPr>
                <w:noProof/>
                <w:webHidden/>
              </w:rPr>
              <w:fldChar w:fldCharType="separate"/>
            </w:r>
            <w:r>
              <w:rPr>
                <w:noProof/>
                <w:webHidden/>
              </w:rPr>
              <w:t>31</w:t>
            </w:r>
            <w:r>
              <w:rPr>
                <w:noProof/>
                <w:webHidden/>
              </w:rPr>
              <w:fldChar w:fldCharType="end"/>
            </w:r>
          </w:hyperlink>
        </w:p>
        <w:p w14:paraId="6366F122" w14:textId="5AF9E106"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96" w:history="1">
            <w:r w:rsidRPr="00735B7A">
              <w:rPr>
                <w:rStyle w:val="Hipervnculo"/>
                <w:rFonts w:ascii="Times New Roman" w:hAnsi="Times New Roman" w:cs="Times New Roman"/>
                <w:i/>
                <w:iCs/>
                <w:noProof/>
              </w:rPr>
              <w:t>2.4.</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i/>
                <w:iCs/>
                <w:noProof/>
              </w:rPr>
              <w:t>Modelos de Justicia Restaurativa contemplados en la Ley 975 del año 2005 y La Ley 1957</w:t>
            </w:r>
            <w:r w:rsidRPr="00735B7A">
              <w:rPr>
                <w:rStyle w:val="Hipervnculo"/>
                <w:rFonts w:ascii="Times New Roman" w:hAnsi="Times New Roman" w:cs="Times New Roman"/>
                <w:noProof/>
              </w:rPr>
              <w:t xml:space="preserve"> </w:t>
            </w:r>
            <w:r w:rsidRPr="00735B7A">
              <w:rPr>
                <w:rStyle w:val="Hipervnculo"/>
                <w:rFonts w:ascii="Times New Roman" w:hAnsi="Times New Roman" w:cs="Times New Roman"/>
                <w:b/>
                <w:bCs/>
                <w:i/>
                <w:iCs/>
                <w:noProof/>
              </w:rPr>
              <w:t>del año 2019 en Colombia.</w:t>
            </w:r>
            <w:r>
              <w:rPr>
                <w:noProof/>
                <w:webHidden/>
              </w:rPr>
              <w:tab/>
            </w:r>
            <w:r>
              <w:rPr>
                <w:noProof/>
                <w:webHidden/>
              </w:rPr>
              <w:fldChar w:fldCharType="begin"/>
            </w:r>
            <w:r>
              <w:rPr>
                <w:noProof/>
                <w:webHidden/>
              </w:rPr>
              <w:instrText xml:space="preserve"> PAGEREF _Toc232457396 \h </w:instrText>
            </w:r>
            <w:r>
              <w:rPr>
                <w:noProof/>
                <w:webHidden/>
              </w:rPr>
            </w:r>
            <w:r>
              <w:rPr>
                <w:noProof/>
                <w:webHidden/>
              </w:rPr>
              <w:fldChar w:fldCharType="separate"/>
            </w:r>
            <w:r>
              <w:rPr>
                <w:noProof/>
                <w:webHidden/>
              </w:rPr>
              <w:t>35</w:t>
            </w:r>
            <w:r>
              <w:rPr>
                <w:noProof/>
                <w:webHidden/>
              </w:rPr>
              <w:fldChar w:fldCharType="end"/>
            </w:r>
          </w:hyperlink>
        </w:p>
        <w:p w14:paraId="7F3D9FEE" w14:textId="453673D2"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97" w:history="1">
            <w:r w:rsidRPr="00735B7A">
              <w:rPr>
                <w:rStyle w:val="Hipervnculo"/>
                <w:rFonts w:ascii="Times New Roman" w:eastAsia="Times New Roman" w:hAnsi="Times New Roman" w:cs="Times New Roman"/>
                <w:b/>
                <w:i/>
                <w:iCs/>
                <w:noProof/>
              </w:rPr>
              <w:t>2.5.</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eastAsia="Times New Roman" w:hAnsi="Times New Roman" w:cs="Times New Roman"/>
                <w:b/>
                <w:i/>
                <w:iCs/>
                <w:noProof/>
              </w:rPr>
              <w:t>Impulsar el Cambio en el Mundo: la Justicia Transicional y la Interfaz entre Investigación, Políticas y Prácticas</w:t>
            </w:r>
            <w:r>
              <w:rPr>
                <w:noProof/>
                <w:webHidden/>
              </w:rPr>
              <w:tab/>
            </w:r>
            <w:r>
              <w:rPr>
                <w:noProof/>
                <w:webHidden/>
              </w:rPr>
              <w:fldChar w:fldCharType="begin"/>
            </w:r>
            <w:r>
              <w:rPr>
                <w:noProof/>
                <w:webHidden/>
              </w:rPr>
              <w:instrText xml:space="preserve"> PAGEREF _Toc232457397 \h </w:instrText>
            </w:r>
            <w:r>
              <w:rPr>
                <w:noProof/>
                <w:webHidden/>
              </w:rPr>
            </w:r>
            <w:r>
              <w:rPr>
                <w:noProof/>
                <w:webHidden/>
              </w:rPr>
              <w:fldChar w:fldCharType="separate"/>
            </w:r>
            <w:r>
              <w:rPr>
                <w:noProof/>
                <w:webHidden/>
              </w:rPr>
              <w:t>39</w:t>
            </w:r>
            <w:r>
              <w:rPr>
                <w:noProof/>
                <w:webHidden/>
              </w:rPr>
              <w:fldChar w:fldCharType="end"/>
            </w:r>
          </w:hyperlink>
        </w:p>
        <w:p w14:paraId="7A2D73F4" w14:textId="653E4153"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398" w:history="1">
            <w:r w:rsidRPr="00735B7A">
              <w:rPr>
                <w:rStyle w:val="Hipervnculo"/>
                <w:rFonts w:ascii="Times New Roman" w:hAnsi="Times New Roman" w:cs="Times New Roman"/>
                <w:b/>
                <w:bCs/>
                <w:noProof/>
              </w:rPr>
              <w:t>2.6.</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b/>
                <w:bCs/>
                <w:noProof/>
              </w:rPr>
              <w:t>Abreviaturas</w:t>
            </w:r>
            <w:r>
              <w:rPr>
                <w:noProof/>
                <w:webHidden/>
              </w:rPr>
              <w:tab/>
            </w:r>
            <w:r>
              <w:rPr>
                <w:noProof/>
                <w:webHidden/>
              </w:rPr>
              <w:fldChar w:fldCharType="begin"/>
            </w:r>
            <w:r>
              <w:rPr>
                <w:noProof/>
                <w:webHidden/>
              </w:rPr>
              <w:instrText xml:space="preserve"> PAGEREF _Toc232457398 \h </w:instrText>
            </w:r>
            <w:r>
              <w:rPr>
                <w:noProof/>
                <w:webHidden/>
              </w:rPr>
            </w:r>
            <w:r>
              <w:rPr>
                <w:noProof/>
                <w:webHidden/>
              </w:rPr>
              <w:fldChar w:fldCharType="separate"/>
            </w:r>
            <w:r>
              <w:rPr>
                <w:noProof/>
                <w:webHidden/>
              </w:rPr>
              <w:t>42</w:t>
            </w:r>
            <w:r>
              <w:rPr>
                <w:noProof/>
                <w:webHidden/>
              </w:rPr>
              <w:fldChar w:fldCharType="end"/>
            </w:r>
          </w:hyperlink>
        </w:p>
        <w:p w14:paraId="3CC659A4" w14:textId="282783A9" w:rsidR="00200F44" w:rsidRDefault="00200F44">
          <w:pPr>
            <w:pStyle w:val="TDC1"/>
            <w:tabs>
              <w:tab w:val="left" w:pos="440"/>
              <w:tab w:val="right" w:leader="dot" w:pos="9350"/>
            </w:tabs>
            <w:rPr>
              <w:rFonts w:asciiTheme="minorHAnsi" w:eastAsiaTheme="minorEastAsia" w:hAnsiTheme="minorHAnsi" w:cstheme="minorBidi"/>
              <w:noProof/>
              <w:kern w:val="2"/>
              <w:sz w:val="24"/>
              <w:szCs w:val="24"/>
              <w14:ligatures w14:val="standardContextual"/>
            </w:rPr>
          </w:pPr>
          <w:hyperlink w:anchor="_Toc232457399" w:history="1">
            <w:r w:rsidRPr="00735B7A">
              <w:rPr>
                <w:rStyle w:val="Hipervnculo"/>
                <w:rFonts w:ascii="Times New Roman" w:eastAsia="Times New Roman" w:hAnsi="Times New Roman" w:cs="Times New Roman"/>
                <w:b/>
                <w:noProof/>
              </w:rPr>
              <w:t>3.</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eastAsia="Times New Roman" w:hAnsi="Times New Roman" w:cs="Times New Roman"/>
                <w:b/>
                <w:noProof/>
              </w:rPr>
              <w:t>Metodología</w:t>
            </w:r>
            <w:r>
              <w:rPr>
                <w:noProof/>
                <w:webHidden/>
              </w:rPr>
              <w:tab/>
            </w:r>
            <w:r>
              <w:rPr>
                <w:noProof/>
                <w:webHidden/>
              </w:rPr>
              <w:fldChar w:fldCharType="begin"/>
            </w:r>
            <w:r>
              <w:rPr>
                <w:noProof/>
                <w:webHidden/>
              </w:rPr>
              <w:instrText xml:space="preserve"> PAGEREF _Toc232457399 \h </w:instrText>
            </w:r>
            <w:r>
              <w:rPr>
                <w:noProof/>
                <w:webHidden/>
              </w:rPr>
            </w:r>
            <w:r>
              <w:rPr>
                <w:noProof/>
                <w:webHidden/>
              </w:rPr>
              <w:fldChar w:fldCharType="separate"/>
            </w:r>
            <w:r>
              <w:rPr>
                <w:noProof/>
                <w:webHidden/>
              </w:rPr>
              <w:t>44</w:t>
            </w:r>
            <w:r>
              <w:rPr>
                <w:noProof/>
                <w:webHidden/>
              </w:rPr>
              <w:fldChar w:fldCharType="end"/>
            </w:r>
          </w:hyperlink>
        </w:p>
        <w:p w14:paraId="2069C81D" w14:textId="111FF1D4" w:rsidR="00200F44" w:rsidRDefault="00200F44">
          <w:pPr>
            <w:pStyle w:val="TD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2457400" w:history="1">
            <w:r w:rsidRPr="00735B7A">
              <w:rPr>
                <w:rStyle w:val="Hipervnculo"/>
                <w:rFonts w:ascii="Times New Roman" w:hAnsi="Times New Roman" w:cs="Times New Roman"/>
                <w:i/>
                <w:iCs/>
                <w:noProof/>
              </w:rPr>
              <w:t>3.7.</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hAnsi="Times New Roman" w:cs="Times New Roman"/>
                <w:i/>
                <w:iCs/>
                <w:noProof/>
              </w:rPr>
              <w:t>Técnicas de recolección de información</w:t>
            </w:r>
            <w:r>
              <w:rPr>
                <w:noProof/>
                <w:webHidden/>
              </w:rPr>
              <w:tab/>
            </w:r>
            <w:r>
              <w:rPr>
                <w:noProof/>
                <w:webHidden/>
              </w:rPr>
              <w:fldChar w:fldCharType="begin"/>
            </w:r>
            <w:r>
              <w:rPr>
                <w:noProof/>
                <w:webHidden/>
              </w:rPr>
              <w:instrText xml:space="preserve"> PAGEREF _Toc232457400 \h </w:instrText>
            </w:r>
            <w:r>
              <w:rPr>
                <w:noProof/>
                <w:webHidden/>
              </w:rPr>
            </w:r>
            <w:r>
              <w:rPr>
                <w:noProof/>
                <w:webHidden/>
              </w:rPr>
              <w:fldChar w:fldCharType="separate"/>
            </w:r>
            <w:r>
              <w:rPr>
                <w:noProof/>
                <w:webHidden/>
              </w:rPr>
              <w:t>46</w:t>
            </w:r>
            <w:r>
              <w:rPr>
                <w:noProof/>
                <w:webHidden/>
              </w:rPr>
              <w:fldChar w:fldCharType="end"/>
            </w:r>
          </w:hyperlink>
        </w:p>
        <w:p w14:paraId="152ECAB8" w14:textId="69972A43" w:rsidR="00200F44" w:rsidRDefault="00200F44">
          <w:pPr>
            <w:pStyle w:val="TDC1"/>
            <w:tabs>
              <w:tab w:val="left" w:pos="440"/>
              <w:tab w:val="right" w:leader="dot" w:pos="9350"/>
            </w:tabs>
            <w:rPr>
              <w:rFonts w:asciiTheme="minorHAnsi" w:eastAsiaTheme="minorEastAsia" w:hAnsiTheme="minorHAnsi" w:cstheme="minorBidi"/>
              <w:noProof/>
              <w:kern w:val="2"/>
              <w:sz w:val="24"/>
              <w:szCs w:val="24"/>
              <w14:ligatures w14:val="standardContextual"/>
            </w:rPr>
          </w:pPr>
          <w:hyperlink w:anchor="_Toc232457401" w:history="1">
            <w:r w:rsidRPr="00735B7A">
              <w:rPr>
                <w:rStyle w:val="Hipervnculo"/>
                <w:rFonts w:ascii="Times New Roman" w:eastAsia="Times New Roman" w:hAnsi="Times New Roman" w:cs="Times New Roman"/>
                <w:b/>
                <w:noProof/>
              </w:rPr>
              <w:t>4.</w:t>
            </w:r>
            <w:r>
              <w:rPr>
                <w:rFonts w:asciiTheme="minorHAnsi" w:eastAsiaTheme="minorEastAsia" w:hAnsiTheme="minorHAnsi" w:cstheme="minorBidi"/>
                <w:noProof/>
                <w:kern w:val="2"/>
                <w:sz w:val="24"/>
                <w:szCs w:val="24"/>
                <w14:ligatures w14:val="standardContextual"/>
              </w:rPr>
              <w:tab/>
            </w:r>
            <w:r w:rsidRPr="00735B7A">
              <w:rPr>
                <w:rStyle w:val="Hipervnculo"/>
                <w:rFonts w:ascii="Times New Roman" w:eastAsia="Times New Roman" w:hAnsi="Times New Roman" w:cs="Times New Roman"/>
                <w:b/>
                <w:noProof/>
              </w:rPr>
              <w:t>Discusión</w:t>
            </w:r>
            <w:r>
              <w:rPr>
                <w:noProof/>
                <w:webHidden/>
              </w:rPr>
              <w:tab/>
            </w:r>
            <w:r>
              <w:rPr>
                <w:noProof/>
                <w:webHidden/>
              </w:rPr>
              <w:fldChar w:fldCharType="begin"/>
            </w:r>
            <w:r>
              <w:rPr>
                <w:noProof/>
                <w:webHidden/>
              </w:rPr>
              <w:instrText xml:space="preserve"> PAGEREF _Toc232457401 \h </w:instrText>
            </w:r>
            <w:r>
              <w:rPr>
                <w:noProof/>
                <w:webHidden/>
              </w:rPr>
            </w:r>
            <w:r>
              <w:rPr>
                <w:noProof/>
                <w:webHidden/>
              </w:rPr>
              <w:fldChar w:fldCharType="separate"/>
            </w:r>
            <w:r>
              <w:rPr>
                <w:noProof/>
                <w:webHidden/>
              </w:rPr>
              <w:t>48</w:t>
            </w:r>
            <w:r>
              <w:rPr>
                <w:noProof/>
                <w:webHidden/>
              </w:rPr>
              <w:fldChar w:fldCharType="end"/>
            </w:r>
          </w:hyperlink>
        </w:p>
        <w:p w14:paraId="3F23A194" w14:textId="34A8ADF0" w:rsidR="00200F44" w:rsidRDefault="00200F44">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32457402" w:history="1">
            <w:r w:rsidRPr="00735B7A">
              <w:rPr>
                <w:rStyle w:val="Hipervnculo"/>
                <w:rFonts w:ascii="Times New Roman" w:eastAsia="Times New Roman" w:hAnsi="Times New Roman" w:cs="Times New Roman"/>
                <w:b/>
                <w:noProof/>
              </w:rPr>
              <w:t>Conclusiones</w:t>
            </w:r>
            <w:r>
              <w:rPr>
                <w:noProof/>
                <w:webHidden/>
              </w:rPr>
              <w:tab/>
            </w:r>
            <w:r>
              <w:rPr>
                <w:noProof/>
                <w:webHidden/>
              </w:rPr>
              <w:fldChar w:fldCharType="begin"/>
            </w:r>
            <w:r>
              <w:rPr>
                <w:noProof/>
                <w:webHidden/>
              </w:rPr>
              <w:instrText xml:space="preserve"> PAGEREF _Toc232457402 \h </w:instrText>
            </w:r>
            <w:r>
              <w:rPr>
                <w:noProof/>
                <w:webHidden/>
              </w:rPr>
            </w:r>
            <w:r>
              <w:rPr>
                <w:noProof/>
                <w:webHidden/>
              </w:rPr>
              <w:fldChar w:fldCharType="separate"/>
            </w:r>
            <w:r>
              <w:rPr>
                <w:noProof/>
                <w:webHidden/>
              </w:rPr>
              <w:t>55</w:t>
            </w:r>
            <w:r>
              <w:rPr>
                <w:noProof/>
                <w:webHidden/>
              </w:rPr>
              <w:fldChar w:fldCharType="end"/>
            </w:r>
          </w:hyperlink>
        </w:p>
        <w:p w14:paraId="54FA6F19" w14:textId="2C9CCFDD" w:rsidR="00200F44" w:rsidRDefault="00200F44">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32457403" w:history="1">
            <w:r w:rsidRPr="00735B7A">
              <w:rPr>
                <w:rStyle w:val="Hipervnculo"/>
                <w:rFonts w:ascii="Times New Roman" w:eastAsia="Times New Roman" w:hAnsi="Times New Roman" w:cs="Times New Roman"/>
                <w:b/>
                <w:bCs/>
                <w:noProof/>
              </w:rPr>
              <w:t>Recomendaciones</w:t>
            </w:r>
            <w:r>
              <w:rPr>
                <w:noProof/>
                <w:webHidden/>
              </w:rPr>
              <w:tab/>
            </w:r>
            <w:r>
              <w:rPr>
                <w:noProof/>
                <w:webHidden/>
              </w:rPr>
              <w:fldChar w:fldCharType="begin"/>
            </w:r>
            <w:r>
              <w:rPr>
                <w:noProof/>
                <w:webHidden/>
              </w:rPr>
              <w:instrText xml:space="preserve"> PAGEREF _Toc232457403 \h </w:instrText>
            </w:r>
            <w:r>
              <w:rPr>
                <w:noProof/>
                <w:webHidden/>
              </w:rPr>
            </w:r>
            <w:r>
              <w:rPr>
                <w:noProof/>
                <w:webHidden/>
              </w:rPr>
              <w:fldChar w:fldCharType="separate"/>
            </w:r>
            <w:r>
              <w:rPr>
                <w:noProof/>
                <w:webHidden/>
              </w:rPr>
              <w:t>57</w:t>
            </w:r>
            <w:r>
              <w:rPr>
                <w:noProof/>
                <w:webHidden/>
              </w:rPr>
              <w:fldChar w:fldCharType="end"/>
            </w:r>
          </w:hyperlink>
        </w:p>
        <w:p w14:paraId="26850519" w14:textId="0A721D35" w:rsidR="00200F44" w:rsidRDefault="00200F44">
          <w:pPr>
            <w:pStyle w:val="TDC1"/>
            <w:tabs>
              <w:tab w:val="right" w:leader="dot" w:pos="9350"/>
            </w:tabs>
            <w:rPr>
              <w:rFonts w:asciiTheme="minorHAnsi" w:eastAsiaTheme="minorEastAsia" w:hAnsiTheme="minorHAnsi" w:cstheme="minorBidi"/>
              <w:noProof/>
              <w:kern w:val="2"/>
              <w:sz w:val="24"/>
              <w:szCs w:val="24"/>
              <w14:ligatures w14:val="standardContextual"/>
            </w:rPr>
          </w:pPr>
          <w:hyperlink w:anchor="_Toc232457404" w:history="1">
            <w:r w:rsidRPr="00735B7A">
              <w:rPr>
                <w:rStyle w:val="Hipervnculo"/>
                <w:rFonts w:ascii="Times New Roman" w:eastAsia="Times New Roman" w:hAnsi="Times New Roman" w:cs="Times New Roman"/>
                <w:b/>
                <w:noProof/>
              </w:rPr>
              <w:t>Referencias</w:t>
            </w:r>
            <w:r>
              <w:rPr>
                <w:noProof/>
                <w:webHidden/>
              </w:rPr>
              <w:tab/>
            </w:r>
            <w:r>
              <w:rPr>
                <w:noProof/>
                <w:webHidden/>
              </w:rPr>
              <w:fldChar w:fldCharType="begin"/>
            </w:r>
            <w:r>
              <w:rPr>
                <w:noProof/>
                <w:webHidden/>
              </w:rPr>
              <w:instrText xml:space="preserve"> PAGEREF _Toc232457404 \h </w:instrText>
            </w:r>
            <w:r>
              <w:rPr>
                <w:noProof/>
                <w:webHidden/>
              </w:rPr>
            </w:r>
            <w:r>
              <w:rPr>
                <w:noProof/>
                <w:webHidden/>
              </w:rPr>
              <w:fldChar w:fldCharType="separate"/>
            </w:r>
            <w:r>
              <w:rPr>
                <w:noProof/>
                <w:webHidden/>
              </w:rPr>
              <w:t>58</w:t>
            </w:r>
            <w:r>
              <w:rPr>
                <w:noProof/>
                <w:webHidden/>
              </w:rPr>
              <w:fldChar w:fldCharType="end"/>
            </w:r>
          </w:hyperlink>
        </w:p>
        <w:p w14:paraId="749C3CE5" w14:textId="582162F4" w:rsidR="001C5C80" w:rsidRPr="003A72E3" w:rsidRDefault="001C5C80" w:rsidP="00554A7E">
          <w:pPr>
            <w:spacing w:line="276" w:lineRule="auto"/>
            <w:jc w:val="both"/>
            <w:rPr>
              <w:rFonts w:ascii="Times New Roman" w:hAnsi="Times New Roman" w:cs="Times New Roman"/>
              <w:color w:val="000000" w:themeColor="text1"/>
              <w:sz w:val="24"/>
              <w:szCs w:val="24"/>
            </w:rPr>
          </w:pPr>
          <w:r w:rsidRPr="005E4004">
            <w:rPr>
              <w:rFonts w:ascii="Times New Roman" w:hAnsi="Times New Roman" w:cs="Times New Roman"/>
              <w:color w:val="000000" w:themeColor="text1"/>
              <w:sz w:val="24"/>
              <w:szCs w:val="24"/>
            </w:rPr>
            <w:fldChar w:fldCharType="end"/>
          </w:r>
        </w:p>
      </w:sdtContent>
    </w:sdt>
    <w:p w14:paraId="00000048" w14:textId="686F9751" w:rsidR="00DC70F0" w:rsidRPr="003A72E3" w:rsidRDefault="00DC70F0" w:rsidP="00384D8B">
      <w:pPr>
        <w:jc w:val="both"/>
        <w:rPr>
          <w:rFonts w:ascii="Times New Roman" w:hAnsi="Times New Roman" w:cs="Times New Roman"/>
          <w:color w:val="000000" w:themeColor="text1"/>
          <w:sz w:val="24"/>
          <w:szCs w:val="24"/>
        </w:rPr>
      </w:pPr>
    </w:p>
    <w:p w14:paraId="43BDFB12" w14:textId="77777777" w:rsidR="002764D9" w:rsidRDefault="002764D9"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78247156"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53D43318"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6B6FBBEB"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7D8EAA1E"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485DEDAC"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2FDE9F3B"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3C41550B"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0A0A7DEE" w14:textId="77777777" w:rsidR="001544C3" w:rsidRDefault="001544C3"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5F40371F"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29C70DB4"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5FD096ED"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2D71E0C2"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254A04CB"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24458A8E"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1FECAD43"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7313089A"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62E1EC3B"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5A82C93B"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051B5AF8"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659CD07D" w14:textId="77777777" w:rsidR="005E4004" w:rsidRDefault="005E4004" w:rsidP="00384D8B">
      <w:pPr>
        <w:spacing w:after="0" w:line="480" w:lineRule="auto"/>
        <w:ind w:firstLine="720"/>
        <w:jc w:val="both"/>
        <w:rPr>
          <w:rFonts w:ascii="Times New Roman" w:eastAsia="Times New Roman" w:hAnsi="Times New Roman" w:cs="Times New Roman"/>
          <w:b/>
          <w:color w:val="000000" w:themeColor="text1"/>
          <w:sz w:val="24"/>
          <w:szCs w:val="24"/>
        </w:rPr>
      </w:pPr>
    </w:p>
    <w:p w14:paraId="7DB4157A" w14:textId="0D63EEDB" w:rsidR="001544C3" w:rsidRDefault="001544C3" w:rsidP="00346936">
      <w:pPr>
        <w:pStyle w:val="Ttulo1"/>
        <w:jc w:val="center"/>
        <w:rPr>
          <w:rFonts w:ascii="Times New Roman" w:eastAsia="Times New Roman" w:hAnsi="Times New Roman" w:cs="Times New Roman"/>
          <w:b/>
          <w:color w:val="000000" w:themeColor="text1"/>
          <w:sz w:val="24"/>
          <w:szCs w:val="24"/>
        </w:rPr>
      </w:pPr>
      <w:bookmarkStart w:id="0" w:name="_Toc232457377"/>
      <w:r>
        <w:rPr>
          <w:rFonts w:ascii="Times New Roman" w:eastAsia="Times New Roman" w:hAnsi="Times New Roman" w:cs="Times New Roman"/>
          <w:b/>
          <w:color w:val="000000" w:themeColor="text1"/>
          <w:sz w:val="24"/>
          <w:szCs w:val="24"/>
        </w:rPr>
        <w:lastRenderedPageBreak/>
        <w:t>Resumen</w:t>
      </w:r>
      <w:bookmarkEnd w:id="0"/>
    </w:p>
    <w:p w14:paraId="3F68FA2C" w14:textId="1A42DA13" w:rsidR="00346936" w:rsidRPr="00346936" w:rsidRDefault="00346936" w:rsidP="066E4FC7">
      <w:pPr>
        <w:spacing w:after="0" w:line="360" w:lineRule="auto"/>
        <w:jc w:val="both"/>
        <w:rPr>
          <w:rFonts w:ascii="Times New Roman" w:eastAsia="Times New Roman" w:hAnsi="Times New Roman" w:cs="Times New Roman"/>
          <w:color w:val="000000" w:themeColor="text1"/>
          <w:sz w:val="24"/>
          <w:szCs w:val="24"/>
        </w:rPr>
      </w:pPr>
      <w:r w:rsidRPr="066E4FC7">
        <w:rPr>
          <w:rFonts w:ascii="Times New Roman" w:eastAsia="Times New Roman" w:hAnsi="Times New Roman" w:cs="Times New Roman"/>
          <w:color w:val="000000" w:themeColor="text1"/>
          <w:sz w:val="24"/>
          <w:szCs w:val="24"/>
        </w:rPr>
        <w:t xml:space="preserve">El conflicto armado colombiano, con más de cinco décadas de duración, ha involucrado diversos actores armados al margen de la ley, entre ellos las guerrillas y los grupos paramilitares, cuya actuación dejó profundas secuelas sociales, económicas y políticas. Las Autodefensas Unidas de Colombia (AUC) surgieron como estructuras de carácter contrainsurgente, pero rápidamente se consolidaron como organizaciones criminales vinculadas con el narcotráfico y la violencia sistemática contra la población civil. Por otro lado, las Fuerzas Armadas Revolucionarias de Colombia – Ejército del Pueblo (FARC-EP) se constituyeron bajo una ideología </w:t>
      </w:r>
      <w:r w:rsidR="4AB54486" w:rsidRPr="066E4FC7">
        <w:rPr>
          <w:rFonts w:ascii="Times New Roman" w:eastAsia="Times New Roman" w:hAnsi="Times New Roman" w:cs="Times New Roman"/>
          <w:color w:val="000000" w:themeColor="text1"/>
          <w:sz w:val="24"/>
          <w:szCs w:val="24"/>
        </w:rPr>
        <w:t>marxistaleninista</w:t>
      </w:r>
      <w:r w:rsidRPr="066E4FC7">
        <w:rPr>
          <w:rFonts w:ascii="Times New Roman" w:eastAsia="Times New Roman" w:hAnsi="Times New Roman" w:cs="Times New Roman"/>
          <w:color w:val="000000" w:themeColor="text1"/>
          <w:sz w:val="24"/>
          <w:szCs w:val="24"/>
        </w:rPr>
        <w:t xml:space="preserve"> y un discurso de justicia social, aunque con el tiempo se involucraron en prácticas como el secuestro, el reclutamiento forzado y el narcotráfico. Ambos actores usaron el terror como herramienta de dominación, configurando patrones de victimización que se reflejan en más de 9,1 millones de personas registradas como víctimas. Frente a esta realidad, el Estado colombiano, como miembro de las Naciones Unidas y en el marco de un Estado social de derecho, adoptó medidas de justicia transicional, entre ellas la Ley 975 de 2005 (Justicia y Paz) para la desmovilización de las AUC y la Ley 1957 de 2019 en el marco del Acuerdo de Paz con las FARC-EP. Estas experiencias evidencian la necesidad de un análisis comparativo que permita comprender la diferencia en los enfoques, logros y limitaciones de ambos procesos, y cómo los marcos normativos nacionales e internacionales han incidido en la búsqueda de verdad, justicia, reparación y no repetición en Colombia.</w:t>
      </w:r>
    </w:p>
    <w:p w14:paraId="013F695E" w14:textId="66881557" w:rsidR="00346936" w:rsidRDefault="00346936" w:rsidP="00346936">
      <w:pPr>
        <w:spacing w:after="0" w:line="480" w:lineRule="auto"/>
        <w:jc w:val="both"/>
        <w:rPr>
          <w:rFonts w:ascii="Times New Roman" w:eastAsia="Times New Roman" w:hAnsi="Times New Roman" w:cs="Times New Roman"/>
          <w:bCs/>
          <w:color w:val="000000" w:themeColor="text1"/>
          <w:sz w:val="24"/>
          <w:szCs w:val="24"/>
        </w:rPr>
      </w:pPr>
      <w:r w:rsidRPr="00346936">
        <w:rPr>
          <w:rFonts w:ascii="Times New Roman" w:eastAsia="Times New Roman" w:hAnsi="Times New Roman" w:cs="Times New Roman"/>
          <w:b/>
          <w:color w:val="000000" w:themeColor="text1"/>
          <w:sz w:val="24"/>
          <w:szCs w:val="24"/>
        </w:rPr>
        <w:t>Palabras claves:</w:t>
      </w:r>
      <w:r w:rsidRPr="00346936">
        <w:rPr>
          <w:rFonts w:ascii="Times New Roman" w:eastAsia="Times New Roman" w:hAnsi="Times New Roman" w:cs="Times New Roman"/>
          <w:bCs/>
          <w:color w:val="000000" w:themeColor="text1"/>
          <w:sz w:val="24"/>
          <w:szCs w:val="24"/>
        </w:rPr>
        <w:t xml:space="preserve"> Conflicto armado, paramilitares, guerrillas, justicia transicional, AUC, FARC-EP.</w:t>
      </w:r>
    </w:p>
    <w:p w14:paraId="7A85A37A" w14:textId="77777777" w:rsidR="00346936" w:rsidRPr="0001553F" w:rsidRDefault="00346936" w:rsidP="00346936">
      <w:pPr>
        <w:spacing w:after="0" w:line="480" w:lineRule="auto"/>
        <w:jc w:val="both"/>
        <w:rPr>
          <w:rFonts w:ascii="Times New Roman" w:eastAsia="Times New Roman" w:hAnsi="Times New Roman" w:cs="Times New Roman"/>
          <w:b/>
          <w:bCs/>
          <w:color w:val="000000" w:themeColor="text1"/>
          <w:sz w:val="24"/>
          <w:szCs w:val="24"/>
        </w:rPr>
      </w:pPr>
    </w:p>
    <w:p w14:paraId="0FC333D9" w14:textId="77777777" w:rsidR="00346936" w:rsidRPr="0001553F" w:rsidRDefault="00346936" w:rsidP="00346936">
      <w:pPr>
        <w:spacing w:after="0" w:line="480" w:lineRule="auto"/>
        <w:jc w:val="both"/>
        <w:rPr>
          <w:rFonts w:ascii="Times New Roman" w:eastAsia="Times New Roman" w:hAnsi="Times New Roman" w:cs="Times New Roman"/>
          <w:b/>
          <w:bCs/>
          <w:color w:val="000000" w:themeColor="text1"/>
          <w:sz w:val="24"/>
          <w:szCs w:val="24"/>
        </w:rPr>
      </w:pPr>
    </w:p>
    <w:p w14:paraId="3D15F079" w14:textId="77777777" w:rsidR="00346936" w:rsidRPr="0001553F" w:rsidRDefault="00346936" w:rsidP="00346936">
      <w:pPr>
        <w:spacing w:after="0" w:line="480" w:lineRule="auto"/>
        <w:jc w:val="both"/>
        <w:rPr>
          <w:rFonts w:ascii="Times New Roman" w:eastAsia="Times New Roman" w:hAnsi="Times New Roman" w:cs="Times New Roman"/>
          <w:b/>
          <w:bCs/>
          <w:color w:val="000000" w:themeColor="text1"/>
          <w:sz w:val="24"/>
          <w:szCs w:val="24"/>
        </w:rPr>
      </w:pPr>
    </w:p>
    <w:p w14:paraId="450CDA52" w14:textId="77777777" w:rsidR="00346936" w:rsidRPr="0001553F" w:rsidRDefault="00346936" w:rsidP="00346936">
      <w:pPr>
        <w:spacing w:after="0" w:line="480" w:lineRule="auto"/>
        <w:jc w:val="both"/>
        <w:rPr>
          <w:rFonts w:ascii="Times New Roman" w:eastAsia="Times New Roman" w:hAnsi="Times New Roman" w:cs="Times New Roman"/>
          <w:b/>
          <w:bCs/>
          <w:color w:val="000000" w:themeColor="text1"/>
          <w:sz w:val="24"/>
          <w:szCs w:val="24"/>
        </w:rPr>
      </w:pPr>
    </w:p>
    <w:p w14:paraId="05DB71AF" w14:textId="77777777" w:rsidR="00346936" w:rsidRPr="0001553F" w:rsidRDefault="00346936" w:rsidP="00346936">
      <w:pPr>
        <w:spacing w:after="0" w:line="480" w:lineRule="auto"/>
        <w:jc w:val="both"/>
        <w:rPr>
          <w:rFonts w:ascii="Times New Roman" w:eastAsia="Times New Roman" w:hAnsi="Times New Roman" w:cs="Times New Roman"/>
          <w:b/>
          <w:bCs/>
          <w:color w:val="000000" w:themeColor="text1"/>
          <w:sz w:val="24"/>
          <w:szCs w:val="24"/>
        </w:rPr>
      </w:pPr>
    </w:p>
    <w:p w14:paraId="2C0DBFE5" w14:textId="77777777" w:rsidR="00346936" w:rsidRPr="0001553F" w:rsidRDefault="00346936" w:rsidP="00346936">
      <w:pPr>
        <w:spacing w:after="0" w:line="480" w:lineRule="auto"/>
        <w:jc w:val="both"/>
        <w:rPr>
          <w:rFonts w:ascii="Times New Roman" w:eastAsia="Times New Roman" w:hAnsi="Times New Roman" w:cs="Times New Roman"/>
          <w:b/>
          <w:bCs/>
          <w:color w:val="000000" w:themeColor="text1"/>
          <w:sz w:val="24"/>
          <w:szCs w:val="24"/>
        </w:rPr>
      </w:pPr>
    </w:p>
    <w:p w14:paraId="3555C923" w14:textId="77777777" w:rsidR="00346936" w:rsidRPr="0001553F" w:rsidRDefault="00346936" w:rsidP="00346936">
      <w:pPr>
        <w:spacing w:after="0" w:line="480" w:lineRule="auto"/>
        <w:jc w:val="both"/>
        <w:rPr>
          <w:rFonts w:ascii="Times New Roman" w:eastAsia="Times New Roman" w:hAnsi="Times New Roman" w:cs="Times New Roman"/>
          <w:b/>
          <w:bCs/>
          <w:color w:val="000000" w:themeColor="text1"/>
          <w:sz w:val="24"/>
          <w:szCs w:val="24"/>
        </w:rPr>
      </w:pPr>
    </w:p>
    <w:p w14:paraId="0344818B" w14:textId="2687730F" w:rsidR="00346936" w:rsidRPr="00346936" w:rsidRDefault="00346936" w:rsidP="00346936">
      <w:pPr>
        <w:pStyle w:val="Ttulo1"/>
        <w:jc w:val="center"/>
        <w:rPr>
          <w:rFonts w:ascii="Times New Roman" w:eastAsia="Times New Roman" w:hAnsi="Times New Roman" w:cs="Times New Roman"/>
          <w:b/>
          <w:bCs/>
          <w:color w:val="000000" w:themeColor="text1"/>
          <w:sz w:val="24"/>
          <w:szCs w:val="24"/>
          <w:lang w:val="en-US"/>
        </w:rPr>
      </w:pPr>
      <w:bookmarkStart w:id="1" w:name="_Toc232457378"/>
      <w:r w:rsidRPr="00346936">
        <w:rPr>
          <w:rFonts w:ascii="Times New Roman" w:eastAsia="Times New Roman" w:hAnsi="Times New Roman" w:cs="Times New Roman"/>
          <w:b/>
          <w:bCs/>
          <w:color w:val="000000" w:themeColor="text1"/>
          <w:sz w:val="24"/>
          <w:szCs w:val="24"/>
          <w:lang w:val="en-US"/>
        </w:rPr>
        <w:lastRenderedPageBreak/>
        <w:t>Abstract</w:t>
      </w:r>
      <w:bookmarkEnd w:id="1"/>
    </w:p>
    <w:p w14:paraId="762A72D5" w14:textId="73A5CF57" w:rsidR="00346936" w:rsidRPr="00346936" w:rsidRDefault="00346936" w:rsidP="066E4FC7">
      <w:pPr>
        <w:spacing w:after="0" w:line="360" w:lineRule="auto"/>
        <w:jc w:val="both"/>
        <w:rPr>
          <w:rFonts w:ascii="Times New Roman" w:eastAsia="Times New Roman" w:hAnsi="Times New Roman" w:cs="Times New Roman"/>
          <w:color w:val="000000" w:themeColor="text1"/>
          <w:sz w:val="24"/>
          <w:szCs w:val="24"/>
          <w:lang w:val="en-US"/>
        </w:rPr>
      </w:pPr>
      <w:r w:rsidRPr="066E4FC7">
        <w:rPr>
          <w:rFonts w:ascii="Times New Roman" w:eastAsia="Times New Roman" w:hAnsi="Times New Roman" w:cs="Times New Roman"/>
          <w:color w:val="000000" w:themeColor="text1"/>
          <w:sz w:val="24"/>
          <w:szCs w:val="24"/>
          <w:lang w:val="en-US"/>
        </w:rPr>
        <w:t xml:space="preserve">The Colombian armed conflict, which lasted for more than five decades, involved various illegal armed groups, </w:t>
      </w:r>
      <w:r w:rsidR="775892B9" w:rsidRPr="066E4FC7">
        <w:rPr>
          <w:rFonts w:ascii="Times New Roman" w:eastAsia="Times New Roman" w:hAnsi="Times New Roman" w:cs="Times New Roman"/>
          <w:color w:val="000000" w:themeColor="text1"/>
          <w:sz w:val="24"/>
          <w:szCs w:val="24"/>
          <w:lang w:val="en-US"/>
        </w:rPr>
        <w:t>guerrillas</w:t>
      </w:r>
      <w:r w:rsidRPr="066E4FC7">
        <w:rPr>
          <w:rFonts w:ascii="Times New Roman" w:eastAsia="Times New Roman" w:hAnsi="Times New Roman" w:cs="Times New Roman"/>
          <w:color w:val="000000" w:themeColor="text1"/>
          <w:sz w:val="24"/>
          <w:szCs w:val="24"/>
          <w:lang w:val="en-US"/>
        </w:rPr>
        <w:t xml:space="preserve"> and paramilitaries, whose actions left deep social, economic, and political scars. The United Self-Defense Forces of Colombia (AUC) emerged as counterinsurgency groups but quickly consolidated as criminal organizations linked to drug trafficking and systematic violence against civilians. On the other hand, the Revolutionary Armed Forces of Colombia – People’s Army (FARC-EP) was founded under a Marxist-Leninist ideology and discourse of social justice but later engaged in practices such as kidnapping, forced recruitment, and drug trafficking. Both actors used terror as a mechanism of domination, creating victimization patterns that have resulted in more than 9.1 million registered victims. In response, the Colombian State, as a United Nations member and within its framework as a social rule of law, adopted transitional justice measures, including Law 975 of 2005 (Justice and Peace) for the AUC demobilization and Law 1957 of 2019 within the Peace Agreement with the FARC-EP. These experiences highlight the need for a comparative analysis to understand the differences in approaches, achievements, and limitations of both processes, and how national and international legal frameworks have influenced Colombia’s pursuit of truth, justice, reparation, and non-repetition.</w:t>
      </w:r>
    </w:p>
    <w:p w14:paraId="55843E34" w14:textId="77777777" w:rsidR="00346936" w:rsidRPr="00346936" w:rsidRDefault="00346936" w:rsidP="00346936">
      <w:pPr>
        <w:spacing w:after="0" w:line="480" w:lineRule="auto"/>
        <w:jc w:val="both"/>
        <w:rPr>
          <w:rFonts w:ascii="Times New Roman" w:eastAsia="Times New Roman" w:hAnsi="Times New Roman" w:cs="Times New Roman"/>
          <w:bCs/>
          <w:color w:val="000000" w:themeColor="text1"/>
          <w:sz w:val="24"/>
          <w:szCs w:val="24"/>
          <w:lang w:val="en-US"/>
        </w:rPr>
      </w:pPr>
      <w:r w:rsidRPr="00346936">
        <w:rPr>
          <w:rFonts w:ascii="Times New Roman" w:eastAsia="Times New Roman" w:hAnsi="Times New Roman" w:cs="Times New Roman"/>
          <w:b/>
          <w:bCs/>
          <w:color w:val="000000" w:themeColor="text1"/>
          <w:sz w:val="24"/>
          <w:szCs w:val="24"/>
          <w:lang w:val="en-US"/>
        </w:rPr>
        <w:t>Keywords:</w:t>
      </w:r>
      <w:r w:rsidRPr="00346936">
        <w:rPr>
          <w:rFonts w:ascii="Times New Roman" w:eastAsia="Times New Roman" w:hAnsi="Times New Roman" w:cs="Times New Roman"/>
          <w:bCs/>
          <w:color w:val="000000" w:themeColor="text1"/>
          <w:sz w:val="24"/>
          <w:szCs w:val="24"/>
          <w:lang w:val="en-US"/>
        </w:rPr>
        <w:t xml:space="preserve"> Armed conflict, paramilitaries, guerrillas, transitional justice, AUC, FARC-EP.</w:t>
      </w:r>
    </w:p>
    <w:p w14:paraId="73DD9904" w14:textId="77777777" w:rsidR="00346936" w:rsidRPr="00346936" w:rsidRDefault="00346936" w:rsidP="00346936">
      <w:pPr>
        <w:spacing w:after="0" w:line="480" w:lineRule="auto"/>
        <w:jc w:val="both"/>
        <w:rPr>
          <w:rFonts w:ascii="Times New Roman" w:eastAsia="Times New Roman" w:hAnsi="Times New Roman" w:cs="Times New Roman"/>
          <w:bCs/>
          <w:color w:val="000000" w:themeColor="text1"/>
          <w:sz w:val="24"/>
          <w:szCs w:val="24"/>
          <w:lang w:val="en-US"/>
        </w:rPr>
      </w:pPr>
    </w:p>
    <w:p w14:paraId="1DDBD8C8" w14:textId="6FD88C57" w:rsidR="001544C3" w:rsidRPr="00346936" w:rsidRDefault="00346936" w:rsidP="00384D8B">
      <w:pPr>
        <w:spacing w:after="0" w:line="480" w:lineRule="auto"/>
        <w:ind w:firstLine="720"/>
        <w:jc w:val="both"/>
        <w:rPr>
          <w:rFonts w:ascii="Times New Roman" w:eastAsia="Times New Roman" w:hAnsi="Times New Roman" w:cs="Times New Roman"/>
          <w:b/>
          <w:color w:val="000000" w:themeColor="text1"/>
          <w:sz w:val="24"/>
          <w:szCs w:val="24"/>
          <w:lang w:val="en-US"/>
        </w:rPr>
      </w:pPr>
      <w:r w:rsidRPr="00346936">
        <w:rPr>
          <w:rFonts w:ascii="Times New Roman" w:eastAsia="Times New Roman" w:hAnsi="Times New Roman" w:cs="Times New Roman"/>
          <w:b/>
          <w:color w:val="000000" w:themeColor="text1"/>
          <w:sz w:val="24"/>
          <w:szCs w:val="24"/>
          <w:lang w:val="en-US"/>
        </w:rPr>
        <w:t xml:space="preserve"> </w:t>
      </w:r>
    </w:p>
    <w:p w14:paraId="3BEEE752" w14:textId="77777777" w:rsidR="001544C3" w:rsidRPr="00346936" w:rsidRDefault="001544C3" w:rsidP="00384D8B">
      <w:pPr>
        <w:spacing w:after="0" w:line="480" w:lineRule="auto"/>
        <w:ind w:firstLine="720"/>
        <w:jc w:val="both"/>
        <w:rPr>
          <w:rFonts w:ascii="Times New Roman" w:eastAsia="Times New Roman" w:hAnsi="Times New Roman" w:cs="Times New Roman"/>
          <w:b/>
          <w:color w:val="000000" w:themeColor="text1"/>
          <w:sz w:val="24"/>
          <w:szCs w:val="24"/>
          <w:lang w:val="en-US"/>
        </w:rPr>
      </w:pPr>
    </w:p>
    <w:p w14:paraId="73FF0608" w14:textId="46FDAF92" w:rsidR="00EC0DBD" w:rsidRPr="00346936" w:rsidRDefault="00EC0DBD" w:rsidP="00384D8B">
      <w:pPr>
        <w:spacing w:after="0" w:line="480" w:lineRule="auto"/>
        <w:ind w:firstLine="720"/>
        <w:jc w:val="both"/>
        <w:rPr>
          <w:rFonts w:ascii="Times New Roman" w:eastAsia="Times New Roman" w:hAnsi="Times New Roman" w:cs="Times New Roman"/>
          <w:b/>
          <w:color w:val="000000" w:themeColor="text1"/>
          <w:sz w:val="24"/>
          <w:szCs w:val="24"/>
          <w:lang w:val="en-US"/>
        </w:rPr>
      </w:pPr>
    </w:p>
    <w:p w14:paraId="0D4542DE" w14:textId="77777777" w:rsidR="00EC0DBD" w:rsidRPr="00346936" w:rsidRDefault="00EC0DBD">
      <w:pPr>
        <w:rPr>
          <w:rFonts w:ascii="Times New Roman" w:eastAsia="Times New Roman" w:hAnsi="Times New Roman" w:cs="Times New Roman"/>
          <w:b/>
          <w:color w:val="000000" w:themeColor="text1"/>
          <w:sz w:val="24"/>
          <w:szCs w:val="24"/>
          <w:lang w:val="en-US"/>
        </w:rPr>
      </w:pPr>
      <w:r w:rsidRPr="00346936">
        <w:rPr>
          <w:rFonts w:ascii="Times New Roman" w:eastAsia="Times New Roman" w:hAnsi="Times New Roman" w:cs="Times New Roman"/>
          <w:b/>
          <w:color w:val="000000" w:themeColor="text1"/>
          <w:sz w:val="24"/>
          <w:szCs w:val="24"/>
          <w:lang w:val="en-US"/>
        </w:rPr>
        <w:br w:type="page"/>
      </w:r>
    </w:p>
    <w:p w14:paraId="2FFA8741" w14:textId="26B32BF0" w:rsidR="001544C3" w:rsidRDefault="001544C3" w:rsidP="00346936">
      <w:pPr>
        <w:pStyle w:val="Ttulo1"/>
        <w:jc w:val="center"/>
        <w:rPr>
          <w:rFonts w:ascii="Times New Roman" w:eastAsia="Times New Roman" w:hAnsi="Times New Roman" w:cs="Times New Roman"/>
          <w:b/>
          <w:color w:val="000000" w:themeColor="text1"/>
          <w:sz w:val="24"/>
          <w:szCs w:val="24"/>
        </w:rPr>
      </w:pPr>
      <w:bookmarkStart w:id="2" w:name="_Toc232457379"/>
      <w:r>
        <w:rPr>
          <w:rFonts w:ascii="Times New Roman" w:eastAsia="Times New Roman" w:hAnsi="Times New Roman" w:cs="Times New Roman"/>
          <w:b/>
          <w:color w:val="000000" w:themeColor="text1"/>
          <w:sz w:val="24"/>
          <w:szCs w:val="24"/>
        </w:rPr>
        <w:lastRenderedPageBreak/>
        <w:t>Introducción</w:t>
      </w:r>
      <w:bookmarkEnd w:id="2"/>
    </w:p>
    <w:p w14:paraId="1DA4BC18" w14:textId="77777777" w:rsidR="00F64540" w:rsidRDefault="00F64540" w:rsidP="001544C3">
      <w:pPr>
        <w:spacing w:after="0" w:line="480" w:lineRule="auto"/>
        <w:ind w:firstLine="720"/>
        <w:rPr>
          <w:rFonts w:ascii="Times New Roman" w:hAnsi="Times New Roman" w:cs="Times New Roman"/>
          <w:color w:val="000000" w:themeColor="text1"/>
          <w:sz w:val="24"/>
          <w:szCs w:val="24"/>
        </w:rPr>
      </w:pPr>
    </w:p>
    <w:p w14:paraId="3A056295" w14:textId="35003B82" w:rsidR="001544C3" w:rsidRDefault="00947974" w:rsidP="009659B4">
      <w:pPr>
        <w:spacing w:after="0" w:line="480" w:lineRule="auto"/>
        <w:ind w:firstLine="720"/>
        <w:rPr>
          <w:rFonts w:ascii="Times New Roman" w:hAnsi="Times New Roman" w:cs="Times New Roman"/>
          <w:color w:val="000000" w:themeColor="text1"/>
          <w:sz w:val="24"/>
          <w:szCs w:val="24"/>
        </w:rPr>
      </w:pPr>
      <w:r w:rsidRPr="6DAF6575">
        <w:rPr>
          <w:rFonts w:ascii="Times New Roman" w:hAnsi="Times New Roman" w:cs="Times New Roman"/>
          <w:color w:val="000000" w:themeColor="text1"/>
          <w:sz w:val="24"/>
          <w:szCs w:val="24"/>
        </w:rPr>
        <w:t>El territorio colombiano ha presenciado la existencia de un conflicto armado durante más de medio siglo entre el Estado y grupos insurgentes que han quebrado la regularidad estatal, la presencia de Paz y la protección de la nación</w:t>
      </w:r>
      <w:r w:rsidR="009659B4" w:rsidRPr="6DAF6575">
        <w:rPr>
          <w:rFonts w:ascii="Times New Roman" w:hAnsi="Times New Roman" w:cs="Times New Roman"/>
          <w:color w:val="000000" w:themeColor="text1"/>
          <w:sz w:val="24"/>
          <w:szCs w:val="24"/>
        </w:rPr>
        <w:t xml:space="preserve">, esto ha generado la afectación de diversos derechos fundamentales, tanto individuales como colectivos teniendo un registro alto de cifras de  </w:t>
      </w:r>
      <w:r w:rsidR="54F146A8" w:rsidRPr="6DAF6575">
        <w:rPr>
          <w:rFonts w:ascii="Times New Roman" w:hAnsi="Times New Roman" w:cs="Times New Roman"/>
          <w:color w:val="000000" w:themeColor="text1"/>
          <w:sz w:val="24"/>
          <w:szCs w:val="24"/>
        </w:rPr>
        <w:t>víctimas</w:t>
      </w:r>
      <w:r w:rsidR="009659B4" w:rsidRPr="6DAF6575">
        <w:rPr>
          <w:rFonts w:ascii="Times New Roman" w:hAnsi="Times New Roman" w:cs="Times New Roman"/>
          <w:color w:val="000000" w:themeColor="text1"/>
          <w:sz w:val="24"/>
          <w:szCs w:val="24"/>
        </w:rPr>
        <w:t xml:space="preserve"> en la población nacional afectando </w:t>
      </w:r>
      <w:r w:rsidR="001544C3" w:rsidRPr="6DAF6575">
        <w:rPr>
          <w:rFonts w:ascii="Times New Roman" w:hAnsi="Times New Roman" w:cs="Times New Roman"/>
          <w:color w:val="000000" w:themeColor="text1"/>
          <w:sz w:val="24"/>
          <w:szCs w:val="24"/>
        </w:rPr>
        <w:t>todos los sectores sociales del país, especialmente aquellos más vulnerables, en regiones de  poca presencia institucional, lo que ha permitido un alto grado de operatividad</w:t>
      </w:r>
      <w:r w:rsidR="009659B4" w:rsidRPr="6DAF6575">
        <w:rPr>
          <w:rFonts w:ascii="Times New Roman" w:hAnsi="Times New Roman" w:cs="Times New Roman"/>
          <w:color w:val="000000" w:themeColor="text1"/>
          <w:sz w:val="24"/>
          <w:szCs w:val="24"/>
        </w:rPr>
        <w:t xml:space="preserve"> de la ilegalidad. </w:t>
      </w:r>
    </w:p>
    <w:p w14:paraId="1C497A48" w14:textId="77777777" w:rsidR="009659B4" w:rsidRPr="009659B4" w:rsidRDefault="009659B4" w:rsidP="009659B4">
      <w:pPr>
        <w:spacing w:after="0" w:line="480" w:lineRule="auto"/>
        <w:ind w:firstLine="720"/>
        <w:rPr>
          <w:rFonts w:ascii="Times New Roman" w:hAnsi="Times New Roman" w:cs="Times New Roman"/>
          <w:color w:val="000000" w:themeColor="text1"/>
          <w:sz w:val="24"/>
          <w:szCs w:val="24"/>
        </w:rPr>
      </w:pPr>
      <w:r w:rsidRPr="009659B4">
        <w:rPr>
          <w:rFonts w:ascii="Times New Roman" w:hAnsi="Times New Roman" w:cs="Times New Roman"/>
          <w:color w:val="000000" w:themeColor="text1"/>
          <w:sz w:val="24"/>
          <w:szCs w:val="24"/>
        </w:rPr>
        <w:t>Al abordar el fenómeno de los grupos armados en Colombia, resulta imprescindible delimitar con precisión su naturaleza, objetivos y diferencias, en particular entre las guerrillas y los grupos paramilitares. Los paramilitares, como las Autodefensas Unidas de Colombia (AUC), surgieron bajo el argumento de enfrentar a las guerrillas; sin embargo, con el tiempo se consolidaron como estructuras criminales estrechamente vinculadas al narcotráfico, a diversas economías ilegales y a sectores del poder político y económico, actuando bajo una lógica contrainsurgente marcada por la represión y el control territorial.</w:t>
      </w:r>
    </w:p>
    <w:p w14:paraId="387433A0" w14:textId="047315D9" w:rsidR="009659B4" w:rsidRDefault="009659B4" w:rsidP="009659B4">
      <w:pPr>
        <w:spacing w:after="0" w:line="480" w:lineRule="auto"/>
        <w:ind w:firstLine="720"/>
        <w:rPr>
          <w:rFonts w:ascii="Times New Roman" w:hAnsi="Times New Roman" w:cs="Times New Roman"/>
          <w:color w:val="000000" w:themeColor="text1"/>
          <w:sz w:val="24"/>
          <w:szCs w:val="24"/>
        </w:rPr>
      </w:pPr>
      <w:r w:rsidRPr="6DAF6575">
        <w:rPr>
          <w:rFonts w:ascii="Times New Roman" w:hAnsi="Times New Roman" w:cs="Times New Roman"/>
          <w:color w:val="000000" w:themeColor="text1"/>
          <w:sz w:val="24"/>
          <w:szCs w:val="24"/>
        </w:rPr>
        <w:t xml:space="preserve">Por su parte, las guerrillas, como las Fuerzas Armadas Revolucionarias de Colombia – Ejército del Pueblo (FARC-EP), tuvieron su origen en una ideología </w:t>
      </w:r>
      <w:r w:rsidR="1C2F7131" w:rsidRPr="6DAF6575">
        <w:rPr>
          <w:rFonts w:ascii="Times New Roman" w:hAnsi="Times New Roman" w:cs="Times New Roman"/>
          <w:color w:val="000000" w:themeColor="text1"/>
          <w:sz w:val="24"/>
          <w:szCs w:val="24"/>
        </w:rPr>
        <w:t>marxistaleninista</w:t>
      </w:r>
      <w:r w:rsidRPr="6DAF6575">
        <w:rPr>
          <w:rFonts w:ascii="Times New Roman" w:hAnsi="Times New Roman" w:cs="Times New Roman"/>
          <w:color w:val="000000" w:themeColor="text1"/>
          <w:sz w:val="24"/>
          <w:szCs w:val="24"/>
        </w:rPr>
        <w:t xml:space="preserve"> y en un discurso centrado en la lucha por la justicia social y la transformación del orden político. No obstante, a lo largo del conflicto, muchas de sus prácticas se alejaron de esos postulados iniciales, incurriendo también en acciones como el secuestro, el reclutamiento forzado y su vinculación con el narcotráfico. Ambos actores han tenido un impacto profundo en la vida social, política y económica del país; sin embargo, sus motivaciones, estructuras organizativas y formas de legitimación han sido distintas. </w:t>
      </w:r>
      <w:r w:rsidR="4CD2FB56" w:rsidRPr="6DAF6575">
        <w:rPr>
          <w:rFonts w:ascii="Times New Roman" w:hAnsi="Times New Roman" w:cs="Times New Roman"/>
          <w:color w:val="000000" w:themeColor="text1"/>
          <w:sz w:val="24"/>
          <w:szCs w:val="24"/>
        </w:rPr>
        <w:t xml:space="preserve">Estas diferencias deben reconocerse en cualquier análisis </w:t>
      </w:r>
      <w:r w:rsidR="4CD2FB56" w:rsidRPr="6DAF6575">
        <w:rPr>
          <w:rFonts w:ascii="Times New Roman" w:hAnsi="Times New Roman" w:cs="Times New Roman"/>
          <w:color w:val="000000" w:themeColor="text1"/>
          <w:sz w:val="24"/>
          <w:szCs w:val="24"/>
        </w:rPr>
        <w:lastRenderedPageBreak/>
        <w:t>riguroso que busque comprender su papel en el conflicto armado colombiano y en los procesos de paz.</w:t>
      </w:r>
    </w:p>
    <w:p w14:paraId="5A510237" w14:textId="794FA52D" w:rsidR="009659B4" w:rsidRPr="009659B4" w:rsidRDefault="009659B4" w:rsidP="009659B4">
      <w:pPr>
        <w:spacing w:after="0" w:line="480" w:lineRule="auto"/>
        <w:ind w:firstLine="720"/>
        <w:rPr>
          <w:rFonts w:ascii="Times New Roman" w:hAnsi="Times New Roman" w:cs="Times New Roman"/>
          <w:color w:val="000000" w:themeColor="text1"/>
          <w:sz w:val="24"/>
          <w:szCs w:val="24"/>
        </w:rPr>
      </w:pPr>
      <w:r w:rsidRPr="6DAF6575">
        <w:rPr>
          <w:rFonts w:ascii="Times New Roman" w:hAnsi="Times New Roman" w:cs="Times New Roman"/>
          <w:color w:val="000000" w:themeColor="text1"/>
          <w:sz w:val="24"/>
          <w:szCs w:val="24"/>
        </w:rPr>
        <w:t xml:space="preserve">Esta situación irregular ha dejado aproximadamente 9,1 millones de colombianos incluidos en el Registro Único de Víctimas, conformando una población en condiciones de alta vulnerabilidad («Víctimas registradas históricamente», 2021). </w:t>
      </w:r>
      <w:r w:rsidR="694A426A" w:rsidRPr="6DAF6575">
        <w:rPr>
          <w:rFonts w:ascii="Times New Roman" w:hAnsi="Times New Roman" w:cs="Times New Roman"/>
          <w:color w:val="000000" w:themeColor="text1"/>
          <w:sz w:val="24"/>
          <w:szCs w:val="24"/>
        </w:rPr>
        <w:t>En este contexto, el Estado colombiano, como miembro de las Naciones Unidas, conforme a los principios constitucionales que lo definen como un Estado social de derecho, está sujeto a las normas del Derecho Internacional.</w:t>
      </w:r>
      <w:r w:rsidRPr="6DAF6575">
        <w:rPr>
          <w:rFonts w:ascii="Times New Roman" w:hAnsi="Times New Roman" w:cs="Times New Roman"/>
          <w:color w:val="000000" w:themeColor="text1"/>
          <w:sz w:val="24"/>
          <w:szCs w:val="24"/>
        </w:rPr>
        <w:t xml:space="preserve"> En consecuencia, está obligado a reparar integralmente a las víctimas, en la medida en que el incumplimiento de uno de sus fines esenciales ha derivado en la afectación de derechos fundamentales reconocidos como derechos humanos.</w:t>
      </w:r>
    </w:p>
    <w:p w14:paraId="48DB7C64" w14:textId="77777777" w:rsidR="009659B4" w:rsidRPr="009659B4" w:rsidRDefault="009659B4" w:rsidP="009659B4">
      <w:pPr>
        <w:spacing w:after="0" w:line="480" w:lineRule="auto"/>
        <w:ind w:firstLine="720"/>
        <w:rPr>
          <w:rFonts w:ascii="Times New Roman" w:hAnsi="Times New Roman" w:cs="Times New Roman"/>
          <w:color w:val="000000" w:themeColor="text1"/>
          <w:sz w:val="24"/>
          <w:szCs w:val="24"/>
        </w:rPr>
      </w:pPr>
      <w:r w:rsidRPr="009659B4">
        <w:rPr>
          <w:rFonts w:ascii="Times New Roman" w:hAnsi="Times New Roman" w:cs="Times New Roman"/>
          <w:color w:val="000000" w:themeColor="text1"/>
          <w:sz w:val="24"/>
          <w:szCs w:val="24"/>
        </w:rPr>
        <w:t>En atención a lo anterior, el Estado colombiano ha desarrollado un amplio cuerpo normativo orientado a la protección, atención y restablecimiento de los derechos de las personas afectadas por el conflicto armado. Entre estas disposiciones se destacan la Ley 1190 de 2008, los Decretos 2007 de 2001, 250 de 2005, 290 de 2008, 0790 de 2012 y, de manera central, la Ley 1448 de 2011, entre otras, que conforman el marco jurídico para la atención y reparación de las víctimas dentro del territorio nacional.</w:t>
      </w:r>
    </w:p>
    <w:p w14:paraId="5BB43C2F" w14:textId="77777777" w:rsidR="009659B4" w:rsidRPr="009659B4" w:rsidRDefault="009659B4" w:rsidP="009659B4">
      <w:pPr>
        <w:spacing w:after="0" w:line="480" w:lineRule="auto"/>
        <w:ind w:firstLine="720"/>
        <w:rPr>
          <w:rFonts w:ascii="Times New Roman" w:hAnsi="Times New Roman" w:cs="Times New Roman"/>
          <w:color w:val="000000" w:themeColor="text1"/>
          <w:sz w:val="24"/>
          <w:szCs w:val="24"/>
        </w:rPr>
      </w:pPr>
      <w:r w:rsidRPr="009659B4">
        <w:rPr>
          <w:rFonts w:ascii="Times New Roman" w:hAnsi="Times New Roman" w:cs="Times New Roman"/>
          <w:color w:val="000000" w:themeColor="text1"/>
          <w:sz w:val="24"/>
          <w:szCs w:val="24"/>
        </w:rPr>
        <w:t>Resulta indispensable, por tanto, el conocimiento articulado de la normatividad nacional e internacional, así como de los aportes jurisprudenciales de las altas cortes, a fin de identificar los lineamientos teóricos, técnicos y conceptuales que permiten analizar la corresponsabilidad del Estado en la garantía y protección de los derechos de los ciudadanos reconocidos como víctimas del conflicto armado. De igual manera, es esencial definir los modus operandi y los hechos victimizantes cometidos por los distintos actores armados, con el propósito de dimensionar la magnitud del daño causado.</w:t>
      </w:r>
    </w:p>
    <w:p w14:paraId="50E5302F" w14:textId="3CDF7259" w:rsidR="009659B4" w:rsidRDefault="009659B4" w:rsidP="009659B4">
      <w:pPr>
        <w:spacing w:after="0" w:line="480" w:lineRule="auto"/>
        <w:ind w:firstLine="720"/>
        <w:rPr>
          <w:rFonts w:ascii="Times New Roman" w:hAnsi="Times New Roman" w:cs="Times New Roman"/>
          <w:color w:val="000000" w:themeColor="text1"/>
          <w:sz w:val="24"/>
          <w:szCs w:val="24"/>
        </w:rPr>
      </w:pPr>
      <w:r w:rsidRPr="009659B4">
        <w:rPr>
          <w:rFonts w:ascii="Times New Roman" w:hAnsi="Times New Roman" w:cs="Times New Roman"/>
          <w:color w:val="000000" w:themeColor="text1"/>
          <w:sz w:val="24"/>
          <w:szCs w:val="24"/>
        </w:rPr>
        <w:lastRenderedPageBreak/>
        <w:t>Las guerrillas, como las FARC-EP, recurrieron a prácticas como el secuestro extorsivo, el reclutamiento forzado —incluidos menores de edad—, atentados con explosivos, emboscadas contra la fuerza pública y la extorsión a civiles, utilizadas tanto como mecanismos de presión política como de financiación. Por su parte, los grupos paramilitares, en especial las Autodefensas Unidas de Colombia (AUC), se caracterizaron por el uso sistemático de masacres, desplazamientos forzados, desapariciones, tortura, amenazas y asesinatos selectivos, orientados al control territorial, la eliminación de opositores y la protección de intereses económicos y políticos de élites locales.</w:t>
      </w:r>
    </w:p>
    <w:p w14:paraId="3FC70D07"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 xml:space="preserve">A pesar de esto la dinámica de la violencia se escaló a otros actores armados dentro del mismo espacio territorial, es así que, en el proceso de retorno mucha población al no tener garantías de seguridad terminan siendo revictimizadas debido a las secuelas o consecuencias del conflicto armado en Colombia, </w:t>
      </w:r>
      <w:r w:rsidRPr="00987961">
        <w:rPr>
          <w:rFonts w:ascii="Times New Roman" w:hAnsi="Times New Roman" w:cs="Times New Roman"/>
          <w:color w:val="000000" w:themeColor="text1"/>
          <w:sz w:val="24"/>
          <w:szCs w:val="24"/>
        </w:rPr>
        <w:t>diferentes autores como Garay et al., (2008) quien afirma que existe aún un rechazo al retorno como estrategia del Estado quien a través de un análisis de los procesos abordados por el autor expone que a pesar de que tienen el interés de retornar la continuidad de la situación que origino las causas del desplazamiento no se han logrado</w:t>
      </w:r>
      <w:r w:rsidRPr="00F71C30">
        <w:rPr>
          <w:rFonts w:ascii="Times New Roman" w:hAnsi="Times New Roman" w:cs="Times New Roman"/>
          <w:color w:val="000000" w:themeColor="text1"/>
          <w:sz w:val="24"/>
          <w:szCs w:val="24"/>
        </w:rPr>
        <w:t xml:space="preserve"> mitigar ejemplo de tales factores son: la inestabilidad económica (16.4 %), inseguridad (6.6 %), motivaciones de orden familiar (5.4 %), sentimiento de discriminación y otros (12.3 %)</w:t>
      </w:r>
      <w:r>
        <w:rPr>
          <w:rFonts w:ascii="Times New Roman" w:hAnsi="Times New Roman" w:cs="Times New Roman"/>
          <w:color w:val="000000" w:themeColor="text1"/>
          <w:sz w:val="24"/>
          <w:szCs w:val="24"/>
        </w:rPr>
        <w:t xml:space="preserve">. </w:t>
      </w:r>
      <w:r w:rsidRPr="00F71C30">
        <w:rPr>
          <w:rFonts w:ascii="Times New Roman" w:hAnsi="Times New Roman" w:cs="Times New Roman"/>
          <w:color w:val="000000" w:themeColor="text1"/>
          <w:sz w:val="24"/>
          <w:szCs w:val="24"/>
        </w:rPr>
        <w:t xml:space="preserve"> </w:t>
      </w:r>
    </w:p>
    <w:p w14:paraId="524BAD9E"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 xml:space="preserve">Las AUC, un grupo paramilitar que operó principalmente en la década de 1990 y principios de 2000, surgieron como una respuesta violenta a la amenaza percibida de las guerrillas, pero pronto se involucraron en actividades delictivas, incluidos asesinatos, desplazamientos forzados y narcotráfico. Para facilitar la desmovilización de estos grupos y garantizar cierto grado de justicia para las víctimas, el gobierno colombiano promulgó la Ley </w:t>
      </w:r>
      <w:r w:rsidRPr="00F71C30">
        <w:rPr>
          <w:rFonts w:ascii="Times New Roman" w:hAnsi="Times New Roman" w:cs="Times New Roman"/>
          <w:color w:val="000000" w:themeColor="text1"/>
          <w:sz w:val="24"/>
          <w:szCs w:val="24"/>
        </w:rPr>
        <w:lastRenderedPageBreak/>
        <w:t>975 de 2005. Esta ley ofrecía beneficios penales a cambio de la entrega de armas, confesión de delitos y colaboración en la reparación de víctimas.</w:t>
      </w:r>
    </w:p>
    <w:p w14:paraId="3C506BB4"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 xml:space="preserve">Por otro lado, las FARC-EP, la guerrilla más antigua y grande de América Latina, también cometió múltiples violaciones de derechos humanos durante el conflicto armado. Tras años de negociación, las FARC-EP firmaron un acuerdo de paz con el gobierno en 2016, que fue seguido por la promulgación de la Ley </w:t>
      </w:r>
      <w:r>
        <w:rPr>
          <w:rFonts w:ascii="Times New Roman" w:hAnsi="Times New Roman" w:cs="Times New Roman"/>
          <w:color w:val="000000" w:themeColor="text1"/>
          <w:sz w:val="24"/>
          <w:szCs w:val="24"/>
        </w:rPr>
        <w:t>1957</w:t>
      </w:r>
      <w:r w:rsidRPr="00A15701">
        <w:rPr>
          <w:rFonts w:ascii="Times New Roman" w:hAnsi="Times New Roman" w:cs="Times New Roman"/>
          <w:color w:val="000000" w:themeColor="text1"/>
          <w:sz w:val="24"/>
          <w:szCs w:val="24"/>
        </w:rPr>
        <w:t xml:space="preserve"> </w:t>
      </w:r>
      <w:r w:rsidRPr="00F71C30">
        <w:rPr>
          <w:rFonts w:ascii="Times New Roman" w:hAnsi="Times New Roman" w:cs="Times New Roman"/>
          <w:color w:val="000000" w:themeColor="text1"/>
          <w:sz w:val="24"/>
          <w:szCs w:val="24"/>
        </w:rPr>
        <w:t>de 2019. Esta ley se diseñó para facilitar la reincorporación de los excombatientes a la vida civil y establecer mecanismos de justicia transicional, como la Jurisdicción Especial para la Paz (JEP), para garantizar la verdad, la justicia, la reparación y la no repetición.</w:t>
      </w:r>
    </w:p>
    <w:p w14:paraId="24B4E97D" w14:textId="77777777" w:rsidR="001544C3" w:rsidRPr="001544C3" w:rsidRDefault="001544C3" w:rsidP="001544C3">
      <w:pPr>
        <w:ind w:firstLine="720"/>
        <w:rPr>
          <w:rFonts w:ascii="Times New Roman" w:eastAsia="Times New Roman" w:hAnsi="Times New Roman" w:cs="Times New Roman"/>
          <w:bCs/>
          <w:color w:val="000000" w:themeColor="text1"/>
          <w:sz w:val="24"/>
          <w:szCs w:val="24"/>
        </w:rPr>
      </w:pPr>
    </w:p>
    <w:p w14:paraId="69389994" w14:textId="77777777" w:rsidR="001544C3" w:rsidRDefault="001544C3" w:rsidP="001544C3">
      <w:pPr>
        <w:rPr>
          <w:rFonts w:ascii="Times New Roman" w:eastAsia="Times New Roman" w:hAnsi="Times New Roman" w:cs="Times New Roman"/>
          <w:b/>
          <w:color w:val="000000" w:themeColor="text1"/>
          <w:sz w:val="24"/>
          <w:szCs w:val="24"/>
        </w:rPr>
      </w:pPr>
    </w:p>
    <w:p w14:paraId="4FB9B6DE" w14:textId="2A788030" w:rsidR="001544C3" w:rsidRPr="001544C3" w:rsidRDefault="001544C3" w:rsidP="001544C3">
      <w:pPr>
        <w:rPr>
          <w:rFonts w:ascii="Times New Roman" w:eastAsia="Times New Roman" w:hAnsi="Times New Roman" w:cs="Times New Roman"/>
          <w:sz w:val="24"/>
          <w:szCs w:val="24"/>
        </w:rPr>
        <w:sectPr w:rsidR="001544C3" w:rsidRPr="001544C3">
          <w:pgSz w:w="12240" w:h="15840"/>
          <w:pgMar w:top="1440" w:right="1440" w:bottom="1440" w:left="1440" w:header="708" w:footer="708" w:gutter="0"/>
          <w:pgNumType w:start="1"/>
          <w:cols w:space="720"/>
        </w:sectPr>
      </w:pPr>
    </w:p>
    <w:p w14:paraId="35A8C7CF" w14:textId="781EC0F1" w:rsidR="001544C3" w:rsidRDefault="009B10A2" w:rsidP="001544C3">
      <w:pPr>
        <w:pStyle w:val="Ttulo1"/>
        <w:numPr>
          <w:ilvl w:val="0"/>
          <w:numId w:val="8"/>
        </w:numPr>
        <w:spacing w:before="0" w:after="0" w:line="480" w:lineRule="auto"/>
        <w:ind w:left="0" w:firstLine="357"/>
        <w:jc w:val="center"/>
        <w:rPr>
          <w:rFonts w:ascii="Times New Roman" w:eastAsia="Times New Roman" w:hAnsi="Times New Roman" w:cs="Times New Roman"/>
          <w:b/>
          <w:color w:val="000000" w:themeColor="text1"/>
          <w:sz w:val="24"/>
          <w:szCs w:val="24"/>
        </w:rPr>
      </w:pPr>
      <w:bookmarkStart w:id="3" w:name="_Toc232457380"/>
      <w:r w:rsidRPr="009B10A2">
        <w:rPr>
          <w:rFonts w:ascii="Times New Roman" w:eastAsia="Times New Roman" w:hAnsi="Times New Roman" w:cs="Times New Roman"/>
          <w:b/>
          <w:color w:val="000000" w:themeColor="text1"/>
          <w:sz w:val="24"/>
          <w:szCs w:val="24"/>
        </w:rPr>
        <w:lastRenderedPageBreak/>
        <w:t>La Justicia Transicional frente a la desmovilización armada en Colombia: Un análisis de los casos AUC y FARC-EP</w:t>
      </w:r>
      <w:bookmarkEnd w:id="3"/>
    </w:p>
    <w:p w14:paraId="3A8555C1" w14:textId="384FD6B0" w:rsidR="001544C3" w:rsidRPr="00346936" w:rsidRDefault="001544C3" w:rsidP="00346936">
      <w:pPr>
        <w:pStyle w:val="Prrafodelista"/>
        <w:numPr>
          <w:ilvl w:val="1"/>
          <w:numId w:val="8"/>
        </w:numPr>
        <w:outlineLvl w:val="1"/>
        <w:rPr>
          <w:rFonts w:ascii="Times New Roman" w:hAnsi="Times New Roman" w:cs="Times New Roman"/>
          <w:b/>
          <w:bCs/>
          <w:sz w:val="24"/>
          <w:szCs w:val="24"/>
        </w:rPr>
      </w:pPr>
      <w:bookmarkStart w:id="4" w:name="_Toc232457381"/>
      <w:r w:rsidRPr="00346936">
        <w:rPr>
          <w:rFonts w:ascii="Times New Roman" w:hAnsi="Times New Roman" w:cs="Times New Roman"/>
          <w:b/>
          <w:bCs/>
          <w:sz w:val="24"/>
          <w:szCs w:val="24"/>
        </w:rPr>
        <w:t>Línea de investigación</w:t>
      </w:r>
      <w:bookmarkEnd w:id="4"/>
      <w:r w:rsidRPr="00346936">
        <w:rPr>
          <w:rFonts w:ascii="Times New Roman" w:hAnsi="Times New Roman" w:cs="Times New Roman"/>
          <w:b/>
          <w:bCs/>
          <w:sz w:val="24"/>
          <w:szCs w:val="24"/>
        </w:rPr>
        <w:t xml:space="preserve"> </w:t>
      </w:r>
    </w:p>
    <w:p w14:paraId="5693E60A" w14:textId="01A21F87" w:rsidR="001544C3" w:rsidRPr="008C188B" w:rsidRDefault="3AB778BC" w:rsidP="008C188B">
      <w:pPr>
        <w:spacing w:after="0" w:line="480" w:lineRule="auto"/>
        <w:ind w:firstLine="720"/>
        <w:rPr>
          <w:rFonts w:ascii="Times New Roman" w:hAnsi="Times New Roman" w:cs="Times New Roman"/>
          <w:sz w:val="24"/>
          <w:szCs w:val="24"/>
        </w:rPr>
      </w:pPr>
      <w:r w:rsidRPr="066E4FC7">
        <w:rPr>
          <w:rFonts w:ascii="Times New Roman" w:hAnsi="Times New Roman" w:cs="Times New Roman"/>
          <w:i/>
          <w:iCs/>
          <w:sz w:val="24"/>
          <w:szCs w:val="24"/>
        </w:rPr>
        <w:t xml:space="preserve">Globalización y Nuevo Derecho, </w:t>
      </w:r>
      <w:r w:rsidRPr="00EB3CA3">
        <w:rPr>
          <w:rFonts w:ascii="Times New Roman" w:hAnsi="Times New Roman" w:cs="Times New Roman"/>
          <w:sz w:val="24"/>
          <w:szCs w:val="24"/>
        </w:rPr>
        <w:t>se enmarcan en esta línea de investigación porque se aborda cómo los procesos de justicia transicional en Colombia responden a dinámicas internas de conflicto y reconciliación, y a exigencias, estándares y presiones internacionales sobre derechos humanos, verdad, justicia, reparación y garantías de no repetición</w:t>
      </w:r>
      <w:r w:rsidRPr="066E4FC7">
        <w:rPr>
          <w:rFonts w:ascii="Times New Roman" w:hAnsi="Times New Roman" w:cs="Times New Roman"/>
          <w:i/>
          <w:iCs/>
          <w:sz w:val="24"/>
          <w:szCs w:val="24"/>
        </w:rPr>
        <w:t>.</w:t>
      </w:r>
      <w:r w:rsidR="008C188B" w:rsidRPr="066E4FC7">
        <w:rPr>
          <w:rFonts w:ascii="Times New Roman" w:hAnsi="Times New Roman" w:cs="Times New Roman"/>
          <w:sz w:val="24"/>
          <w:szCs w:val="24"/>
        </w:rPr>
        <w:t xml:space="preserve"> En este sentido, la desmovilización de grupos armados como las AUC y las FARC-EP se sitúa en un contexto global en el que organismos multilaterales, tribunales internacionales y convenios supranacionales influyen en la manera en que los Estados diseñan mecanismos jurídicos para atender crímenes de lesa humanidad y violaciones masivas de derechos, dando lugar a un nuevo derecho caracterizado por la interacción entre lo nacional y lo internacional en la búsqueda de la paz y la justicia.</w:t>
      </w:r>
    </w:p>
    <w:p w14:paraId="1A62A60F" w14:textId="4E7431E1" w:rsidR="001544C3" w:rsidRPr="00346936" w:rsidRDefault="001544C3" w:rsidP="00346936">
      <w:pPr>
        <w:pStyle w:val="Prrafodelista"/>
        <w:numPr>
          <w:ilvl w:val="1"/>
          <w:numId w:val="8"/>
        </w:numPr>
        <w:outlineLvl w:val="1"/>
        <w:rPr>
          <w:rFonts w:ascii="Times New Roman" w:hAnsi="Times New Roman" w:cs="Times New Roman"/>
          <w:b/>
          <w:bCs/>
          <w:sz w:val="24"/>
          <w:szCs w:val="24"/>
        </w:rPr>
      </w:pPr>
      <w:bookmarkStart w:id="5" w:name="_Toc232457382"/>
      <w:r w:rsidRPr="00346936">
        <w:rPr>
          <w:rFonts w:ascii="Times New Roman" w:hAnsi="Times New Roman" w:cs="Times New Roman"/>
          <w:b/>
          <w:bCs/>
          <w:sz w:val="24"/>
          <w:szCs w:val="24"/>
        </w:rPr>
        <w:t>Planteamiento del problema</w:t>
      </w:r>
      <w:bookmarkEnd w:id="5"/>
      <w:r w:rsidRPr="00346936">
        <w:rPr>
          <w:rFonts w:ascii="Times New Roman" w:hAnsi="Times New Roman" w:cs="Times New Roman"/>
          <w:b/>
          <w:bCs/>
          <w:sz w:val="24"/>
          <w:szCs w:val="24"/>
        </w:rPr>
        <w:t xml:space="preserve"> </w:t>
      </w:r>
      <w:r w:rsidRPr="00346936">
        <w:rPr>
          <w:rFonts w:ascii="Times New Roman" w:hAnsi="Times New Roman" w:cs="Times New Roman"/>
          <w:b/>
          <w:bCs/>
          <w:sz w:val="24"/>
          <w:szCs w:val="24"/>
        </w:rPr>
        <w:br/>
      </w:r>
    </w:p>
    <w:p w14:paraId="05E7962F" w14:textId="2DD35AB8"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 xml:space="preserve">El conflicto armado colombiano, que se extendió por más de cinco décadas, dejó un legado profundo de violencia, violaciones de derechos humanos, desplazamientos forzados y heridas sociales difíciles de sanar. En respuesta a este complejo escenario, el Estado colombiano implementó procesos de justicia transicional con el objetivo de promover la paz, garantizar los derechos de las víctimas y reintegrar a los excombatientes en la sociedad. Dos de estos procesos fueron particularmente significativos: la desmovilización de las Autodefensas Unidas de Colombia (AUC) bajo la Ley 975 de 2005 y la entrega de armas de las Fuerzas Armadas Revolucionarias de Colombia - Ejército del Pueblo (FARC-EP) bajo el marco del Acuerdo Final de Paz, formalizado en la Ley </w:t>
      </w:r>
      <w:r>
        <w:rPr>
          <w:rFonts w:ascii="Times New Roman" w:hAnsi="Times New Roman" w:cs="Times New Roman"/>
          <w:color w:val="000000" w:themeColor="text1"/>
          <w:sz w:val="24"/>
          <w:szCs w:val="24"/>
        </w:rPr>
        <w:t>1957</w:t>
      </w:r>
      <w:r w:rsidRPr="00A15701">
        <w:rPr>
          <w:rFonts w:ascii="Times New Roman" w:hAnsi="Times New Roman" w:cs="Times New Roman"/>
          <w:color w:val="000000" w:themeColor="text1"/>
          <w:sz w:val="24"/>
          <w:szCs w:val="24"/>
        </w:rPr>
        <w:t xml:space="preserve"> </w:t>
      </w:r>
      <w:r w:rsidRPr="00F71C30">
        <w:rPr>
          <w:rFonts w:ascii="Times New Roman" w:hAnsi="Times New Roman" w:cs="Times New Roman"/>
          <w:color w:val="000000" w:themeColor="text1"/>
          <w:sz w:val="24"/>
          <w:szCs w:val="24"/>
        </w:rPr>
        <w:t>de 2019</w:t>
      </w:r>
      <w:r w:rsidR="0057555C">
        <w:rPr>
          <w:rFonts w:ascii="Times New Roman" w:hAnsi="Times New Roman" w:cs="Times New Roman"/>
          <w:color w:val="000000" w:themeColor="text1"/>
          <w:sz w:val="24"/>
          <w:szCs w:val="24"/>
        </w:rPr>
        <w:t xml:space="preserve"> (Barrera, 2020). </w:t>
      </w:r>
    </w:p>
    <w:p w14:paraId="20793536"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lastRenderedPageBreak/>
        <w:t>La justificación para investigar y comparar estos dos procesos radica en la necesidad de comprender las diferencias clave en sus enfoques, implementación y resultados, así como sus impactos en las víctimas y en la sociedad en general. Estos análisis son fundamentales para evaluar la efectividad de las políticas de justicia transicional y para extraer lecciones que puedan aplicarse en futuros esfuerzos de paz y reconciliación, tanto en Colombia como en otros contextos similares.</w:t>
      </w:r>
    </w:p>
    <w:p w14:paraId="64FB0B91" w14:textId="2BE948F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La Ley 975 de 2005, conocida como la Ley de Justicia y Paz, se centró en la desmovilización de los grupos paramilitares y en ofrecer beneficios judiciales a cambio de la confesión de crímenes, la entrega de armas y la participación en procesos de reparación a las víctimas. Sin embargo, este proceso ha sido objeto de críticas por su limitada capacidad para garantizar una justicia efectiva y por permitir que muchos excombatientes continuaran involucrados en actividades ilegales</w:t>
      </w:r>
      <w:r w:rsidR="0057555C">
        <w:rPr>
          <w:rFonts w:ascii="Times New Roman" w:hAnsi="Times New Roman" w:cs="Times New Roman"/>
          <w:color w:val="000000" w:themeColor="text1"/>
          <w:sz w:val="24"/>
          <w:szCs w:val="24"/>
        </w:rPr>
        <w:t xml:space="preserve"> (Barrera, 2020).</w:t>
      </w:r>
    </w:p>
    <w:p w14:paraId="0DF7A74D"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Por otro lado, el proceso de paz con las FARC-EP, que culminó en la entrega de armas bajo la supervisión de la ONU y en la implementación de la Ley </w:t>
      </w:r>
      <w:r>
        <w:rPr>
          <w:rFonts w:ascii="Times New Roman" w:hAnsi="Times New Roman" w:cs="Times New Roman"/>
          <w:color w:val="000000" w:themeColor="text1"/>
          <w:sz w:val="24"/>
          <w:szCs w:val="24"/>
        </w:rPr>
        <w:t>1957</w:t>
      </w:r>
      <w:r w:rsidRPr="00A15701">
        <w:rPr>
          <w:rFonts w:ascii="Times New Roman" w:hAnsi="Times New Roman" w:cs="Times New Roman"/>
          <w:color w:val="000000" w:themeColor="text1"/>
          <w:sz w:val="24"/>
          <w:szCs w:val="24"/>
        </w:rPr>
        <w:t xml:space="preserve"> </w:t>
      </w:r>
      <w:r w:rsidRPr="0C33D2ED">
        <w:rPr>
          <w:rFonts w:ascii="Times New Roman" w:hAnsi="Times New Roman" w:cs="Times New Roman"/>
          <w:color w:val="000000" w:themeColor="text1"/>
          <w:sz w:val="24"/>
          <w:szCs w:val="24"/>
        </w:rPr>
        <w:t>de 2019, adoptó un enfoque más integral. Este proceso no solo abarcó la entrega de armas, sino también la reincorporación de los excombatientes a la vida civil, la reparación integral de las víctimas y la creación de la Jurisdicción Especial para la Paz (JEP). A pesar de sus avances, este proceso también enfrenta desafíos significativos, como la implementación lenta y las críticas de sectores que consideran que no se ha hecho lo suficiente para garantizar la no repetición. En este caso pretende contribuir teóricamente al plantear un trabajo de investigación que puede referirse como antecedente, además de ello se propone un aporte metodológico al crear una hoja de ruta a partir de un instrumento que aborde las categorías de análisis y en un tercer punto un avance práctico al exponer estrategias de intervención sobre el área social de una empresa especifica.</w:t>
      </w:r>
    </w:p>
    <w:p w14:paraId="70D9DE7B"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lastRenderedPageBreak/>
        <w:t>En cuanto al contexto de los antecedentes La justicia transicional ha sido un tema clave en el ámbito jurídico y político, particularmente en contextos postconflicto, como el de Colombia, donde se han implementado diversas medidas para lograr la paz y la reparación de las víctimas del conflicto armado. A continuación, se presentan 15 antecedentes sobre la justicia transicional entre 2020 y 2025, que abordan tanto los desarrollos teóricos como las experiencias prácticas.</w:t>
      </w:r>
    </w:p>
    <w:p w14:paraId="713906A6"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Desde 2020, diversos estudios han reflexionado sobre las lecciones aprendidas de los procesos de justicia transicional previos, en especial sobre el balance entre la paz y la justicia. González (2020) destacó que la justicia transicional no debe ser vista como un modelo único, sino como un proceso que debe adaptarse a las particularidades del contexto sociopolítico y cultural de cada país. En el caso de Colombia, la implementación del Acuerdo de Paz de 2016 con las FARC-EP ha sido un referente clave para estos debates. En este contexto, varias investigaciones han abordado cómo los procesos de reparación y restitución de tierras a las víctimas del conflicto pueden generar tensiones con los intereses de actores poderosos</w:t>
      </w:r>
      <w:r>
        <w:rPr>
          <w:rFonts w:ascii="Times New Roman" w:hAnsi="Times New Roman" w:cs="Times New Roman"/>
          <w:color w:val="000000" w:themeColor="text1"/>
          <w:sz w:val="24"/>
          <w:szCs w:val="24"/>
        </w:rPr>
        <w:t xml:space="preserve">. </w:t>
      </w:r>
    </w:p>
    <w:p w14:paraId="33C0F2C9" w14:textId="77777777" w:rsidR="001544C3" w:rsidRPr="00987961"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 xml:space="preserve">Un estudio realizado por Pérez (2021) exploró las dificultades de la implementación de la Ley 975 de 2005, conocida como la Ley de Justicia y Paz, que estableció mecanismos de justicia transicional para los desmovilizados de las Autodefensas Unidas de Colombia (AUC). Según el autor, aunque la ley ha permitido la desmovilización de miles de combatientes, las víctimas siguen enfrentando desafíos significativos en términos de reparación y acceso a la justicia. Pérez (2021) </w:t>
      </w:r>
      <w:r w:rsidRPr="00987961">
        <w:rPr>
          <w:rFonts w:ascii="Times New Roman" w:hAnsi="Times New Roman" w:cs="Times New Roman"/>
          <w:color w:val="000000" w:themeColor="text1"/>
          <w:sz w:val="24"/>
          <w:szCs w:val="24"/>
        </w:rPr>
        <w:t>sugiere que la ausencia de una memoria histórica consolidada dificulta la construcción de una paz duradera, ya que muchos victimarios siguen gozando de impunidad o privilegios.</w:t>
      </w:r>
    </w:p>
    <w:p w14:paraId="0C2ED2D4" w14:textId="77777777" w:rsidR="001544C3" w:rsidRPr="00987961" w:rsidRDefault="001544C3" w:rsidP="001544C3">
      <w:pPr>
        <w:spacing w:after="0" w:line="480" w:lineRule="auto"/>
        <w:ind w:firstLine="720"/>
        <w:rPr>
          <w:rFonts w:ascii="Times New Roman" w:hAnsi="Times New Roman" w:cs="Times New Roman"/>
          <w:color w:val="000000" w:themeColor="text1"/>
          <w:sz w:val="24"/>
          <w:szCs w:val="24"/>
        </w:rPr>
      </w:pPr>
      <w:r w:rsidRPr="00987961">
        <w:rPr>
          <w:rFonts w:ascii="Times New Roman" w:hAnsi="Times New Roman" w:cs="Times New Roman"/>
          <w:color w:val="000000" w:themeColor="text1"/>
          <w:sz w:val="24"/>
          <w:szCs w:val="24"/>
        </w:rPr>
        <w:t xml:space="preserve">La justicia transicional también ha sido un tema central en los debates sobre el sistema de justicia penal internacional. En este sentido, Ochoa (2022) reflexionó sobre el papel de la Corte </w:t>
      </w:r>
      <w:r w:rsidRPr="00987961">
        <w:rPr>
          <w:rFonts w:ascii="Times New Roman" w:hAnsi="Times New Roman" w:cs="Times New Roman"/>
          <w:color w:val="000000" w:themeColor="text1"/>
          <w:sz w:val="24"/>
          <w:szCs w:val="24"/>
        </w:rPr>
        <w:lastRenderedPageBreak/>
        <w:t xml:space="preserve">Penal Internacional (CPI) en el contexto colombiano, señalando que, aunque la CPI ha sido fundamental en la persecución de crímenes de lesa humanidad, las autoridades colombianas deben asumir un rol más activo en la investigación y sanción de estos delitos. </w:t>
      </w:r>
    </w:p>
    <w:p w14:paraId="7B5ABF44" w14:textId="275146FD" w:rsidR="001544C3" w:rsidRPr="00987961" w:rsidRDefault="001544C3" w:rsidP="001544C3">
      <w:pPr>
        <w:spacing w:after="0" w:line="480" w:lineRule="auto"/>
        <w:ind w:firstLine="720"/>
        <w:rPr>
          <w:rFonts w:ascii="Times New Roman" w:hAnsi="Times New Roman" w:cs="Times New Roman"/>
          <w:color w:val="000000" w:themeColor="text1"/>
          <w:sz w:val="24"/>
          <w:szCs w:val="24"/>
        </w:rPr>
      </w:pPr>
      <w:r w:rsidRPr="00987961">
        <w:rPr>
          <w:rFonts w:ascii="Times New Roman" w:hAnsi="Times New Roman" w:cs="Times New Roman"/>
          <w:color w:val="000000" w:themeColor="text1"/>
          <w:sz w:val="24"/>
          <w:szCs w:val="24"/>
        </w:rPr>
        <w:t>En 202</w:t>
      </w:r>
      <w:r w:rsidR="0057555C">
        <w:rPr>
          <w:rFonts w:ascii="Times New Roman" w:hAnsi="Times New Roman" w:cs="Times New Roman"/>
          <w:color w:val="000000" w:themeColor="text1"/>
          <w:sz w:val="24"/>
          <w:szCs w:val="24"/>
        </w:rPr>
        <w:t>2</w:t>
      </w:r>
      <w:r w:rsidRPr="00987961">
        <w:rPr>
          <w:rFonts w:ascii="Times New Roman" w:hAnsi="Times New Roman" w:cs="Times New Roman"/>
          <w:color w:val="000000" w:themeColor="text1"/>
          <w:sz w:val="24"/>
          <w:szCs w:val="24"/>
        </w:rPr>
        <w:t xml:space="preserve">, </w:t>
      </w:r>
      <w:r w:rsidR="0057555C">
        <w:rPr>
          <w:rFonts w:ascii="Times New Roman" w:hAnsi="Times New Roman" w:cs="Times New Roman"/>
          <w:color w:val="000000" w:themeColor="text1"/>
          <w:sz w:val="24"/>
          <w:szCs w:val="24"/>
        </w:rPr>
        <w:t>Barrera (</w:t>
      </w:r>
      <w:r w:rsidRPr="00987961">
        <w:rPr>
          <w:rFonts w:ascii="Times New Roman" w:hAnsi="Times New Roman" w:cs="Times New Roman"/>
          <w:color w:val="000000" w:themeColor="text1"/>
          <w:sz w:val="24"/>
          <w:szCs w:val="24"/>
        </w:rPr>
        <w:t>202</w:t>
      </w:r>
      <w:r w:rsidR="005F1CD1">
        <w:rPr>
          <w:rFonts w:ascii="Times New Roman" w:hAnsi="Times New Roman" w:cs="Times New Roman"/>
          <w:color w:val="000000" w:themeColor="text1"/>
          <w:sz w:val="24"/>
          <w:szCs w:val="24"/>
        </w:rPr>
        <w:t>2</w:t>
      </w:r>
      <w:r w:rsidRPr="00987961">
        <w:rPr>
          <w:rFonts w:ascii="Times New Roman" w:hAnsi="Times New Roman" w:cs="Times New Roman"/>
          <w:color w:val="000000" w:themeColor="text1"/>
          <w:sz w:val="24"/>
          <w:szCs w:val="24"/>
        </w:rPr>
        <w:t>) analizaron el proceso de reincorporación de los excombatientes de las FARC-EP al ámbito civil y político, destacando el papel que juega la justicia transicional en este proceso. Para los autores, los mecanismos de reintegración no solo deben enfocarse en aspectos materiales, como el acceso a tierras y recursos, sino también en la rehabilitación psicológica y el fortalecimiento de las capacidades políticas de los excombatientes. Sin embargo, señalaron que la reincorporación ha sido un proceso lento y lleno de desafíos, pues muchos excombatientes siguen siendo estigmatizados por la sociedad</w:t>
      </w:r>
      <w:r w:rsidR="00830F6F">
        <w:rPr>
          <w:rFonts w:ascii="Times New Roman" w:hAnsi="Times New Roman" w:cs="Times New Roman"/>
          <w:color w:val="000000" w:themeColor="text1"/>
          <w:sz w:val="24"/>
          <w:szCs w:val="24"/>
        </w:rPr>
        <w:t xml:space="preserve"> (Betancourt, 2020). </w:t>
      </w:r>
    </w:p>
    <w:p w14:paraId="63689301" w14:textId="77777777"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00987961">
        <w:rPr>
          <w:rFonts w:ascii="Times New Roman" w:hAnsi="Times New Roman" w:cs="Times New Roman"/>
          <w:color w:val="000000" w:themeColor="text1"/>
          <w:sz w:val="24"/>
          <w:szCs w:val="24"/>
        </w:rPr>
        <w:t>El año 2023 también fue testigo de un debate sobre la inclusión de otros actores en los procesos de justicia transicional, especialmente en lo que respecta a las víctimas de violencia sexual. Martínez y Torres (2023) destacaron que la justicia transicional ha sido, en muchas ocasiones, deficiente en cuanto a la atención a las víctimas de este tipo de violencia. Las</w:t>
      </w:r>
      <w:r w:rsidRPr="00F71C30">
        <w:rPr>
          <w:rFonts w:ascii="Times New Roman" w:hAnsi="Times New Roman" w:cs="Times New Roman"/>
          <w:color w:val="000000" w:themeColor="text1"/>
          <w:sz w:val="24"/>
          <w:szCs w:val="24"/>
        </w:rPr>
        <w:t xml:space="preserve"> autoras argumentaron que el enfoque de justicia restaurativa, aunque valioso, debe ser complementado con medidas específicas para garantizar que las víctimas de violencia sexual reciban la atención médica, psicológica y jurídica que necesitan para poder reconstruir sus vidas.</w:t>
      </w:r>
    </w:p>
    <w:p w14:paraId="3DDC7E95" w14:textId="373AD623" w:rsidR="001544C3" w:rsidRPr="00F71C30" w:rsidRDefault="001544C3" w:rsidP="001544C3">
      <w:pPr>
        <w:spacing w:after="0" w:line="480" w:lineRule="auto"/>
        <w:ind w:firstLine="720"/>
        <w:rPr>
          <w:rFonts w:ascii="Times New Roman" w:hAnsi="Times New Roman" w:cs="Times New Roman"/>
          <w:color w:val="000000" w:themeColor="text1"/>
          <w:sz w:val="24"/>
          <w:szCs w:val="24"/>
        </w:rPr>
      </w:pPr>
      <w:r w:rsidRPr="6DAF6575">
        <w:rPr>
          <w:rFonts w:ascii="Times New Roman" w:hAnsi="Times New Roman" w:cs="Times New Roman"/>
          <w:color w:val="000000" w:themeColor="text1"/>
          <w:sz w:val="24"/>
          <w:szCs w:val="24"/>
        </w:rPr>
        <w:t xml:space="preserve">En este contexto, </w:t>
      </w:r>
      <w:r w:rsidR="0057555C" w:rsidRPr="6DAF6575">
        <w:rPr>
          <w:rFonts w:ascii="Times New Roman" w:hAnsi="Times New Roman" w:cs="Times New Roman"/>
          <w:color w:val="000000" w:themeColor="text1"/>
          <w:sz w:val="24"/>
          <w:szCs w:val="24"/>
        </w:rPr>
        <w:t>Amado</w:t>
      </w:r>
      <w:r w:rsidRPr="6DAF6575">
        <w:rPr>
          <w:rFonts w:ascii="Times New Roman" w:hAnsi="Times New Roman" w:cs="Times New Roman"/>
          <w:color w:val="000000" w:themeColor="text1"/>
          <w:sz w:val="24"/>
          <w:szCs w:val="24"/>
        </w:rPr>
        <w:t xml:space="preserve"> (202</w:t>
      </w:r>
      <w:r w:rsidR="0057555C" w:rsidRPr="6DAF6575">
        <w:rPr>
          <w:rFonts w:ascii="Times New Roman" w:hAnsi="Times New Roman" w:cs="Times New Roman"/>
          <w:color w:val="000000" w:themeColor="text1"/>
          <w:sz w:val="24"/>
          <w:szCs w:val="24"/>
        </w:rPr>
        <w:t>1</w:t>
      </w:r>
      <w:r w:rsidRPr="6DAF6575">
        <w:rPr>
          <w:rFonts w:ascii="Times New Roman" w:hAnsi="Times New Roman" w:cs="Times New Roman"/>
          <w:color w:val="000000" w:themeColor="text1"/>
          <w:sz w:val="24"/>
          <w:szCs w:val="24"/>
        </w:rPr>
        <w:t xml:space="preserve">) investigó las nuevas políticas públicas que buscan asegurar que las víctimas del conflicto armado tengan acceso a una reparación integral. A pesar de los esfuerzos por mejorar las </w:t>
      </w:r>
      <w:r w:rsidR="02576B53" w:rsidRPr="6DAF6575">
        <w:rPr>
          <w:rFonts w:ascii="Times New Roman" w:hAnsi="Times New Roman" w:cs="Times New Roman"/>
          <w:color w:val="000000" w:themeColor="text1"/>
          <w:sz w:val="24"/>
          <w:szCs w:val="24"/>
        </w:rPr>
        <w:t>políticas, quien</w:t>
      </w:r>
      <w:r w:rsidR="0057555C" w:rsidRPr="6DAF6575">
        <w:rPr>
          <w:rFonts w:ascii="Times New Roman" w:hAnsi="Times New Roman" w:cs="Times New Roman"/>
          <w:color w:val="000000" w:themeColor="text1"/>
          <w:sz w:val="24"/>
          <w:szCs w:val="24"/>
        </w:rPr>
        <w:t xml:space="preserve"> </w:t>
      </w:r>
      <w:r w:rsidRPr="6DAF6575">
        <w:rPr>
          <w:rFonts w:ascii="Times New Roman" w:hAnsi="Times New Roman" w:cs="Times New Roman"/>
          <w:color w:val="000000" w:themeColor="text1"/>
          <w:sz w:val="24"/>
          <w:szCs w:val="24"/>
        </w:rPr>
        <w:t>advirtió que la implementación de estos mecanismos sigue siendo parcial y, en muchos casos, depende de la voluntad política de las autoridades locales.</w:t>
      </w:r>
    </w:p>
    <w:p w14:paraId="59818C83" w14:textId="09E3E1AE" w:rsidR="001544C3" w:rsidRDefault="001544C3" w:rsidP="001544C3">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w:t>
      </w:r>
    </w:p>
    <w:p w14:paraId="2DBC74DB" w14:textId="2FDC81D0" w:rsidR="001544C3" w:rsidRPr="00346936" w:rsidRDefault="001544C3" w:rsidP="00346936">
      <w:pPr>
        <w:pStyle w:val="Prrafodelista"/>
        <w:numPr>
          <w:ilvl w:val="2"/>
          <w:numId w:val="8"/>
        </w:numPr>
        <w:outlineLvl w:val="2"/>
        <w:rPr>
          <w:rFonts w:ascii="Times New Roman" w:hAnsi="Times New Roman" w:cs="Times New Roman"/>
          <w:b/>
          <w:bCs/>
          <w:sz w:val="24"/>
          <w:szCs w:val="24"/>
        </w:rPr>
      </w:pPr>
      <w:bookmarkStart w:id="6" w:name="_Toc232457383"/>
      <w:r w:rsidRPr="00346936">
        <w:rPr>
          <w:rFonts w:ascii="Times New Roman" w:hAnsi="Times New Roman" w:cs="Times New Roman"/>
          <w:b/>
          <w:bCs/>
          <w:sz w:val="24"/>
          <w:szCs w:val="24"/>
        </w:rPr>
        <w:lastRenderedPageBreak/>
        <w:t>Pregunta de investigación</w:t>
      </w:r>
      <w:bookmarkEnd w:id="6"/>
      <w:r w:rsidRPr="00346936">
        <w:rPr>
          <w:rFonts w:ascii="Times New Roman" w:hAnsi="Times New Roman" w:cs="Times New Roman"/>
          <w:b/>
          <w:bCs/>
          <w:sz w:val="24"/>
          <w:szCs w:val="24"/>
        </w:rPr>
        <w:t xml:space="preserve"> </w:t>
      </w:r>
    </w:p>
    <w:p w14:paraId="59F870AE" w14:textId="77777777" w:rsidR="001544C3" w:rsidRPr="00E62A41" w:rsidRDefault="001544C3" w:rsidP="001544C3">
      <w:pPr>
        <w:spacing w:after="0" w:line="480" w:lineRule="auto"/>
        <w:ind w:firstLine="720"/>
        <w:rPr>
          <w:rFonts w:ascii="Times New Roman" w:hAnsi="Times New Roman" w:cs="Times New Roman"/>
          <w:color w:val="000000" w:themeColor="text1"/>
          <w:sz w:val="24"/>
          <w:szCs w:val="24"/>
        </w:rPr>
      </w:pPr>
      <w:r w:rsidRPr="00E62A41">
        <w:rPr>
          <w:rFonts w:ascii="Times New Roman" w:hAnsi="Times New Roman" w:cs="Times New Roman"/>
          <w:color w:val="000000" w:themeColor="text1"/>
          <w:sz w:val="24"/>
          <w:szCs w:val="24"/>
        </w:rPr>
        <w:t>Todo lo anterior permite sustentar como pregunta de investigación: ¿Cuál es la diferencia desde el análisis la Justicia Transicional entre la desmovilización de las Autodefensas Unidas y la entrega de armas de las Fuerzas Armadas Revolucionarias de Colombia?</w:t>
      </w:r>
    </w:p>
    <w:p w14:paraId="1F650654" w14:textId="77777777" w:rsidR="00E61460" w:rsidRDefault="00E61460" w:rsidP="0057555C">
      <w:pPr>
        <w:spacing w:line="480" w:lineRule="auto"/>
        <w:rPr>
          <w:rFonts w:ascii="Times New Roman" w:hAnsi="Times New Roman" w:cs="Times New Roman"/>
          <w:b/>
          <w:bCs/>
          <w:sz w:val="24"/>
          <w:szCs w:val="24"/>
        </w:rPr>
      </w:pPr>
    </w:p>
    <w:p w14:paraId="3258AE27" w14:textId="6CEE18A7" w:rsidR="001544C3" w:rsidRPr="00346936" w:rsidRDefault="001544C3" w:rsidP="0057555C">
      <w:pPr>
        <w:pStyle w:val="Prrafodelista"/>
        <w:numPr>
          <w:ilvl w:val="1"/>
          <w:numId w:val="8"/>
        </w:numPr>
        <w:spacing w:line="480" w:lineRule="auto"/>
        <w:outlineLvl w:val="1"/>
        <w:rPr>
          <w:rFonts w:ascii="Times New Roman" w:hAnsi="Times New Roman" w:cs="Times New Roman"/>
          <w:b/>
          <w:bCs/>
          <w:sz w:val="24"/>
          <w:szCs w:val="24"/>
        </w:rPr>
      </w:pPr>
      <w:bookmarkStart w:id="7" w:name="_Toc232457384"/>
      <w:r w:rsidRPr="00346936">
        <w:rPr>
          <w:rFonts w:ascii="Times New Roman" w:hAnsi="Times New Roman" w:cs="Times New Roman"/>
          <w:b/>
          <w:bCs/>
          <w:sz w:val="24"/>
          <w:szCs w:val="24"/>
        </w:rPr>
        <w:t>Objetivos</w:t>
      </w:r>
      <w:bookmarkEnd w:id="7"/>
      <w:r w:rsidRPr="00346936">
        <w:rPr>
          <w:rFonts w:ascii="Times New Roman" w:hAnsi="Times New Roman" w:cs="Times New Roman"/>
          <w:b/>
          <w:bCs/>
          <w:sz w:val="24"/>
          <w:szCs w:val="24"/>
        </w:rPr>
        <w:t xml:space="preserve"> </w:t>
      </w:r>
    </w:p>
    <w:p w14:paraId="1448D4D7" w14:textId="3CE72B7C" w:rsidR="001544C3" w:rsidRPr="00346936" w:rsidRDefault="001544C3" w:rsidP="0057555C">
      <w:pPr>
        <w:pStyle w:val="Prrafodelista"/>
        <w:numPr>
          <w:ilvl w:val="2"/>
          <w:numId w:val="8"/>
        </w:numPr>
        <w:spacing w:line="480" w:lineRule="auto"/>
        <w:outlineLvl w:val="2"/>
        <w:rPr>
          <w:rFonts w:ascii="Times New Roman" w:hAnsi="Times New Roman" w:cs="Times New Roman"/>
          <w:b/>
          <w:bCs/>
          <w:sz w:val="24"/>
          <w:szCs w:val="24"/>
        </w:rPr>
      </w:pPr>
      <w:bookmarkStart w:id="8" w:name="_Toc232457385"/>
      <w:r w:rsidRPr="00346936">
        <w:rPr>
          <w:rFonts w:ascii="Times New Roman" w:hAnsi="Times New Roman" w:cs="Times New Roman"/>
          <w:b/>
          <w:bCs/>
          <w:sz w:val="24"/>
          <w:szCs w:val="24"/>
        </w:rPr>
        <w:t>Objetivo General</w:t>
      </w:r>
      <w:bookmarkEnd w:id="8"/>
      <w:r w:rsidRPr="00346936">
        <w:rPr>
          <w:rFonts w:ascii="Times New Roman" w:hAnsi="Times New Roman" w:cs="Times New Roman"/>
          <w:b/>
          <w:bCs/>
          <w:sz w:val="24"/>
          <w:szCs w:val="24"/>
        </w:rPr>
        <w:t xml:space="preserve"> </w:t>
      </w:r>
    </w:p>
    <w:p w14:paraId="0BA10B71" w14:textId="793D29EE" w:rsidR="001544C3" w:rsidRDefault="001544C3" w:rsidP="0057555C">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Analizar</w:t>
      </w:r>
      <w:r w:rsidRPr="0C33D2ED">
        <w:rPr>
          <w:rFonts w:ascii="Times New Roman" w:hAnsi="Times New Roman" w:cs="Times New Roman"/>
          <w:color w:val="000000" w:themeColor="text1"/>
          <w:sz w:val="24"/>
          <w:szCs w:val="24"/>
        </w:rPr>
        <w:t xml:space="preserve"> la Justicia Transicional a partir de las diferencias entre la desmovilización de las Autodefensas Unidas y la entrega de armas de las Fuerzas Armadas Revolucionarias de Colombia. </w:t>
      </w:r>
    </w:p>
    <w:p w14:paraId="0E36C7DE" w14:textId="3C1A66BE" w:rsidR="001544C3" w:rsidRPr="00346936" w:rsidRDefault="001544C3" w:rsidP="0057555C">
      <w:pPr>
        <w:pStyle w:val="Prrafodelista"/>
        <w:numPr>
          <w:ilvl w:val="2"/>
          <w:numId w:val="8"/>
        </w:numPr>
        <w:spacing w:after="0" w:line="480" w:lineRule="auto"/>
        <w:outlineLvl w:val="2"/>
        <w:rPr>
          <w:rFonts w:ascii="Times New Roman" w:hAnsi="Times New Roman" w:cs="Times New Roman"/>
          <w:b/>
          <w:bCs/>
          <w:color w:val="000000" w:themeColor="text1"/>
          <w:sz w:val="24"/>
          <w:szCs w:val="24"/>
        </w:rPr>
      </w:pPr>
      <w:bookmarkStart w:id="9" w:name="_Toc232457386"/>
      <w:r w:rsidRPr="00346936">
        <w:rPr>
          <w:rFonts w:ascii="Times New Roman" w:hAnsi="Times New Roman" w:cs="Times New Roman"/>
          <w:b/>
          <w:bCs/>
          <w:color w:val="000000" w:themeColor="text1"/>
          <w:sz w:val="24"/>
          <w:szCs w:val="24"/>
        </w:rPr>
        <w:t>Objetivos específicos</w:t>
      </w:r>
      <w:bookmarkEnd w:id="9"/>
      <w:r w:rsidRPr="00346936">
        <w:rPr>
          <w:rFonts w:ascii="Times New Roman" w:hAnsi="Times New Roman" w:cs="Times New Roman"/>
          <w:b/>
          <w:bCs/>
          <w:color w:val="000000" w:themeColor="text1"/>
          <w:sz w:val="24"/>
          <w:szCs w:val="24"/>
        </w:rPr>
        <w:t xml:space="preserve"> </w:t>
      </w:r>
    </w:p>
    <w:p w14:paraId="57080653" w14:textId="3363335B" w:rsidR="001544C3" w:rsidRPr="001544C3" w:rsidRDefault="001544C3" w:rsidP="0057555C">
      <w:pPr>
        <w:pStyle w:val="Prrafodelista"/>
        <w:numPr>
          <w:ilvl w:val="0"/>
          <w:numId w:val="10"/>
        </w:numPr>
        <w:spacing w:after="0" w:line="480" w:lineRule="auto"/>
        <w:rPr>
          <w:rFonts w:ascii="Times New Roman" w:hAnsi="Times New Roman" w:cs="Times New Roman"/>
          <w:color w:val="000000" w:themeColor="text1"/>
          <w:sz w:val="24"/>
          <w:szCs w:val="24"/>
        </w:rPr>
      </w:pPr>
      <w:r w:rsidRPr="001544C3">
        <w:rPr>
          <w:rFonts w:ascii="Times New Roman" w:hAnsi="Times New Roman" w:cs="Times New Roman"/>
          <w:color w:val="000000" w:themeColor="text1"/>
          <w:sz w:val="24"/>
          <w:szCs w:val="24"/>
        </w:rPr>
        <w:t>Identificar las dinámicas sobre el acuerdo final de paz de Colombia y su régimen sancionador acorde a la realidad del conflicto de las FARC-EP</w:t>
      </w:r>
    </w:p>
    <w:p w14:paraId="2D981BA6" w14:textId="77777777" w:rsidR="001544C3" w:rsidRPr="001544C3" w:rsidRDefault="001544C3" w:rsidP="001544C3">
      <w:pPr>
        <w:pStyle w:val="Prrafodelista"/>
        <w:numPr>
          <w:ilvl w:val="0"/>
          <w:numId w:val="10"/>
        </w:numPr>
        <w:spacing w:after="0" w:line="480" w:lineRule="auto"/>
        <w:rPr>
          <w:rFonts w:ascii="Times New Roman" w:hAnsi="Times New Roman" w:cs="Times New Roman"/>
          <w:color w:val="000000" w:themeColor="text1"/>
          <w:sz w:val="24"/>
          <w:szCs w:val="24"/>
        </w:rPr>
      </w:pPr>
      <w:r w:rsidRPr="001544C3">
        <w:rPr>
          <w:rFonts w:ascii="Times New Roman" w:hAnsi="Times New Roman" w:cs="Times New Roman"/>
          <w:color w:val="000000" w:themeColor="text1"/>
          <w:sz w:val="24"/>
          <w:szCs w:val="24"/>
        </w:rPr>
        <w:t>Determinar el contexto aplicativo de la justicia transicional en Justicia y Paz y la Jurisdicción Especial para la Paz</w:t>
      </w:r>
    </w:p>
    <w:p w14:paraId="3755CD2D" w14:textId="4E4C2749" w:rsidR="001544C3" w:rsidRPr="001544C3" w:rsidRDefault="001544C3" w:rsidP="001544C3">
      <w:pPr>
        <w:pStyle w:val="Prrafodelista"/>
        <w:numPr>
          <w:ilvl w:val="0"/>
          <w:numId w:val="10"/>
        </w:numPr>
        <w:spacing w:after="0" w:line="480" w:lineRule="auto"/>
        <w:rPr>
          <w:rFonts w:ascii="Times New Roman" w:hAnsi="Times New Roman" w:cs="Times New Roman"/>
          <w:color w:val="000000" w:themeColor="text1"/>
          <w:sz w:val="24"/>
          <w:szCs w:val="24"/>
        </w:rPr>
      </w:pPr>
      <w:r w:rsidRPr="001544C3">
        <w:rPr>
          <w:rFonts w:ascii="Times New Roman" w:hAnsi="Times New Roman" w:cs="Times New Roman"/>
          <w:color w:val="000000" w:themeColor="text1"/>
          <w:sz w:val="24"/>
          <w:szCs w:val="24"/>
        </w:rPr>
        <w:t>Contrastar la diferencia de eje de la inclusión de civiles participantes en el conflicto dentro de ambos procesos de Justicia transicional en Colombia.</w:t>
      </w:r>
    </w:p>
    <w:p w14:paraId="42CC6BF1" w14:textId="77777777" w:rsidR="001544C3" w:rsidRPr="001544C3" w:rsidRDefault="001544C3" w:rsidP="001544C3">
      <w:pPr>
        <w:rPr>
          <w:rFonts w:ascii="Times New Roman" w:hAnsi="Times New Roman" w:cs="Times New Roman"/>
          <w:b/>
          <w:bCs/>
          <w:sz w:val="24"/>
          <w:szCs w:val="24"/>
        </w:rPr>
      </w:pPr>
    </w:p>
    <w:p w14:paraId="6FC15266" w14:textId="253ED7CA" w:rsidR="001544C3" w:rsidRPr="00346936" w:rsidRDefault="001544C3" w:rsidP="00346936">
      <w:pPr>
        <w:pStyle w:val="Prrafodelista"/>
        <w:numPr>
          <w:ilvl w:val="1"/>
          <w:numId w:val="8"/>
        </w:numPr>
        <w:outlineLvl w:val="1"/>
        <w:rPr>
          <w:rFonts w:ascii="Times New Roman" w:hAnsi="Times New Roman" w:cs="Times New Roman"/>
          <w:b/>
          <w:bCs/>
          <w:sz w:val="24"/>
          <w:szCs w:val="24"/>
        </w:rPr>
      </w:pPr>
      <w:bookmarkStart w:id="10" w:name="_Toc232457387"/>
      <w:r w:rsidRPr="00346936">
        <w:rPr>
          <w:rFonts w:ascii="Times New Roman" w:hAnsi="Times New Roman" w:cs="Times New Roman"/>
          <w:b/>
          <w:bCs/>
          <w:sz w:val="24"/>
          <w:szCs w:val="24"/>
        </w:rPr>
        <w:t>Justificación</w:t>
      </w:r>
      <w:bookmarkEnd w:id="10"/>
      <w:r w:rsidRPr="00346936">
        <w:rPr>
          <w:rFonts w:ascii="Times New Roman" w:hAnsi="Times New Roman" w:cs="Times New Roman"/>
          <w:b/>
          <w:bCs/>
          <w:sz w:val="24"/>
          <w:szCs w:val="24"/>
        </w:rPr>
        <w:t xml:space="preserve"> </w:t>
      </w:r>
    </w:p>
    <w:p w14:paraId="10476D47" w14:textId="528DDB27" w:rsidR="00E61460" w:rsidRPr="00F71C30" w:rsidRDefault="00E61460" w:rsidP="00E61460">
      <w:pPr>
        <w:spacing w:after="0" w:line="480" w:lineRule="auto"/>
        <w:ind w:firstLine="720"/>
        <w:rPr>
          <w:rFonts w:ascii="Times New Roman" w:hAnsi="Times New Roman" w:cs="Times New Roman"/>
          <w:color w:val="000000" w:themeColor="text1"/>
          <w:sz w:val="24"/>
          <w:szCs w:val="24"/>
        </w:rPr>
      </w:pPr>
      <w:r w:rsidRPr="6DAF6575">
        <w:rPr>
          <w:rFonts w:ascii="Times New Roman" w:hAnsi="Times New Roman" w:cs="Times New Roman"/>
          <w:color w:val="000000" w:themeColor="text1"/>
          <w:sz w:val="24"/>
          <w:szCs w:val="24"/>
        </w:rPr>
        <w:t xml:space="preserve">La justicia transicional también se ha analizado en relación con la memoria histórica. </w:t>
      </w:r>
      <w:r w:rsidR="0057555C" w:rsidRPr="6DAF6575">
        <w:rPr>
          <w:rFonts w:ascii="Times New Roman" w:hAnsi="Times New Roman" w:cs="Times New Roman"/>
          <w:color w:val="000000" w:themeColor="text1"/>
          <w:sz w:val="24"/>
          <w:szCs w:val="24"/>
        </w:rPr>
        <w:t>Moreno et al.</w:t>
      </w:r>
      <w:r w:rsidR="68F55762" w:rsidRPr="6DAF6575">
        <w:rPr>
          <w:rFonts w:ascii="Times New Roman" w:hAnsi="Times New Roman" w:cs="Times New Roman"/>
          <w:color w:val="000000" w:themeColor="text1"/>
          <w:sz w:val="24"/>
          <w:szCs w:val="24"/>
        </w:rPr>
        <w:t>, (</w:t>
      </w:r>
      <w:r w:rsidRPr="6DAF6575">
        <w:rPr>
          <w:rFonts w:ascii="Times New Roman" w:hAnsi="Times New Roman" w:cs="Times New Roman"/>
          <w:color w:val="000000" w:themeColor="text1"/>
          <w:sz w:val="24"/>
          <w:szCs w:val="24"/>
        </w:rPr>
        <w:t>202</w:t>
      </w:r>
      <w:r w:rsidR="0057555C" w:rsidRPr="6DAF6575">
        <w:rPr>
          <w:rFonts w:ascii="Times New Roman" w:hAnsi="Times New Roman" w:cs="Times New Roman"/>
          <w:color w:val="000000" w:themeColor="text1"/>
          <w:sz w:val="24"/>
          <w:szCs w:val="24"/>
        </w:rPr>
        <w:t>1</w:t>
      </w:r>
      <w:r w:rsidRPr="6DAF6575">
        <w:rPr>
          <w:rFonts w:ascii="Times New Roman" w:hAnsi="Times New Roman" w:cs="Times New Roman"/>
          <w:color w:val="000000" w:themeColor="text1"/>
          <w:sz w:val="24"/>
          <w:szCs w:val="24"/>
        </w:rPr>
        <w:t xml:space="preserve">) examinaron el impacto de los procesos de memoria y reconocimiento de las víctimas en el proceso de paz en Colombia. Según los autores, la memoria histórica es crucial en la construcción de una paz sostenible, ya que permite a las víctimas y a la sociedad </w:t>
      </w:r>
      <w:r w:rsidRPr="6DAF6575">
        <w:rPr>
          <w:rFonts w:ascii="Times New Roman" w:hAnsi="Times New Roman" w:cs="Times New Roman"/>
          <w:color w:val="000000" w:themeColor="text1"/>
          <w:sz w:val="24"/>
          <w:szCs w:val="24"/>
        </w:rPr>
        <w:lastRenderedPageBreak/>
        <w:t>comprender el sufrimiento del conflicto armado. Sin embargo, también señalaron que la construcción de una memoria colectiva es un proceso complejo que involucra múltiples actores, incluidos los excombatientes, las víctimas, el Estado y la sociedad civil.</w:t>
      </w:r>
    </w:p>
    <w:p w14:paraId="1F37EAE0" w14:textId="277FF3DB" w:rsidR="00E61460" w:rsidRPr="00F71C30" w:rsidRDefault="00E61460" w:rsidP="00E61460">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 xml:space="preserve">Una de las principales críticas a los procesos de justicia transicional es su capacidad para abordar la impunidad de los actores que han cometido crímenes durante el conflicto armado. Martínez (2024) subrayó que, si bien los mecanismos como la Jurisdicción Especial para la Paz (JEP) han sido fundamentales para esclarecer la verdad, aún persisten cuestionamientos sobre la efectividad de estas instituciones para sancionar adecuadamente a los </w:t>
      </w:r>
      <w:r w:rsidR="0057555C">
        <w:rPr>
          <w:rFonts w:ascii="Times New Roman" w:hAnsi="Times New Roman" w:cs="Times New Roman"/>
          <w:color w:val="000000" w:themeColor="text1"/>
          <w:sz w:val="24"/>
          <w:szCs w:val="24"/>
        </w:rPr>
        <w:t>responsables debido a que</w:t>
      </w:r>
      <w:r w:rsidRPr="00F71C30">
        <w:rPr>
          <w:rFonts w:ascii="Times New Roman" w:hAnsi="Times New Roman" w:cs="Times New Roman"/>
          <w:color w:val="000000" w:themeColor="text1"/>
          <w:sz w:val="24"/>
          <w:szCs w:val="24"/>
        </w:rPr>
        <w:t xml:space="preserve"> existe una tensión entre los beneficios de la desmovilización y la necesidad de castigar a los perpetradores de crímenes graves.</w:t>
      </w:r>
    </w:p>
    <w:p w14:paraId="3F3A620D" w14:textId="77777777" w:rsidR="00E61460" w:rsidRPr="00F71C30" w:rsidRDefault="00E61460" w:rsidP="00E61460">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El debate sobre la justicia transicional también ha abordado la cuestión de la reparación económica a las víctimas del conflicto. Pérez (2025) analizó las medidas adoptadas por el gobierno colombiano para asegurar la restitución de tierras a las víctimas, argumentando que estas políticas han sido insuficientes para garantizar la reparación plena. Pérez (2025) destacó que la falta de recursos y la presencia de grupos armados ilegales en las zonas rurales siguen siendo obstáculos significativos para la implementación efectiva de la reparación.</w:t>
      </w:r>
    </w:p>
    <w:p w14:paraId="3DD05BEC" w14:textId="3ACFA836" w:rsidR="00E61460" w:rsidRPr="00F71C30" w:rsidRDefault="00E61460" w:rsidP="00E61460">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Otro aspecto clave de la justicia transicional es la participación de las mujeres en los procesos de paz. Según López (2025), el enfoque de género ha sido un tema central en los debates sobre justicia transicional en Colombia, pero la implementación de medidas concretas para garantizar los derechos de las mujeres víctimas del conflicto sigue siendo limitada</w:t>
      </w:r>
      <w:r w:rsidR="0057555C">
        <w:rPr>
          <w:rFonts w:ascii="Times New Roman" w:hAnsi="Times New Roman" w:cs="Times New Roman"/>
          <w:color w:val="000000" w:themeColor="text1"/>
          <w:sz w:val="24"/>
          <w:szCs w:val="24"/>
        </w:rPr>
        <w:t xml:space="preserve">, pues, </w:t>
      </w:r>
      <w:r w:rsidRPr="00F71C30">
        <w:rPr>
          <w:rFonts w:ascii="Times New Roman" w:hAnsi="Times New Roman" w:cs="Times New Roman"/>
          <w:color w:val="000000" w:themeColor="text1"/>
          <w:sz w:val="24"/>
          <w:szCs w:val="24"/>
        </w:rPr>
        <w:t>aunque el Acuerdo de Paz incluye disposiciones para promover la igualdad de género, la implementación de estas políticas ha sido desigual y muchas mujeres siguen siendo marginadas en los procesos de justicia y reparación.</w:t>
      </w:r>
    </w:p>
    <w:p w14:paraId="779DF381" w14:textId="0AAADC8A" w:rsidR="00E61460" w:rsidRDefault="00E61460" w:rsidP="00E61460">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lastRenderedPageBreak/>
        <w:t>Por último, la justicia transicional ha sido objeto de análisis en el ámbito de la justicia restaurativa, que busca promover la reconciliación entre víctimas y perpetradores. Gómez (2024) sugirió que los enfoques de justicia restaurativa pueden ser útiles para superar las divisiones sociales y políticas causadas por el conflicto armad</w:t>
      </w:r>
      <w:r w:rsidR="00495DBA">
        <w:rPr>
          <w:rFonts w:ascii="Times New Roman" w:hAnsi="Times New Roman" w:cs="Times New Roman"/>
          <w:color w:val="000000" w:themeColor="text1"/>
          <w:sz w:val="24"/>
          <w:szCs w:val="24"/>
        </w:rPr>
        <w:t>o en el que</w:t>
      </w:r>
      <w:r w:rsidRPr="0C33D2ED">
        <w:rPr>
          <w:rFonts w:ascii="Times New Roman" w:hAnsi="Times New Roman" w:cs="Times New Roman"/>
          <w:color w:val="000000" w:themeColor="text1"/>
          <w:sz w:val="24"/>
          <w:szCs w:val="24"/>
        </w:rPr>
        <w:t xml:space="preserve"> también advirtió que estos enfoques deben diseñarse cuidadosamente para evitar que se minimice el sufrimiento de las víctimas o se perpetúe la impunidad de los autores</w:t>
      </w:r>
      <w:r w:rsidR="00830F6F">
        <w:rPr>
          <w:rFonts w:ascii="Times New Roman" w:hAnsi="Times New Roman" w:cs="Times New Roman"/>
          <w:color w:val="000000" w:themeColor="text1"/>
          <w:sz w:val="24"/>
          <w:szCs w:val="24"/>
        </w:rPr>
        <w:t xml:space="preserve"> (Domingez y Aleán, 2020). </w:t>
      </w:r>
    </w:p>
    <w:p w14:paraId="7DD0A068" w14:textId="2F78DB10" w:rsidR="00E61460" w:rsidRDefault="00830F6F" w:rsidP="00E61460">
      <w:pPr>
        <w:spacing w:after="0" w:line="480" w:lineRule="auto"/>
        <w:ind w:firstLine="720"/>
        <w:rPr>
          <w:rFonts w:ascii="Times New Roman" w:hAnsi="Times New Roman" w:cs="Times New Roman"/>
          <w:b/>
          <w:bCs/>
          <w:sz w:val="24"/>
          <w:szCs w:val="24"/>
        </w:rPr>
      </w:pPr>
      <w:r>
        <w:rPr>
          <w:rFonts w:ascii="Times New Roman" w:hAnsi="Times New Roman" w:cs="Times New Roman"/>
          <w:color w:val="000000" w:themeColor="text1"/>
          <w:sz w:val="24"/>
          <w:szCs w:val="24"/>
        </w:rPr>
        <w:t>Los</w:t>
      </w:r>
      <w:r w:rsidR="00E61460" w:rsidRPr="00F71C30">
        <w:rPr>
          <w:rFonts w:ascii="Times New Roman" w:hAnsi="Times New Roman" w:cs="Times New Roman"/>
          <w:color w:val="000000" w:themeColor="text1"/>
          <w:sz w:val="24"/>
          <w:szCs w:val="24"/>
        </w:rPr>
        <w:t xml:space="preserve"> estudios sobre justicia transicional entre 2020 y 2025 han abordado diversos aspectos, como la reparación integral a las víctimas, la implementación de políticas de memoria histórica, la reincorporación de excombatientes, la inclusión de las víctimas de violencia sexual y la participación de las mujeres en los procesos de paz. Aunque se han logrado avances significativos en algunos de estos temas, persisten importantes desafíos en términos de implementación y efectividad de los mecanismos de justicia transicional</w:t>
      </w:r>
      <w:r w:rsidR="00495DBA">
        <w:rPr>
          <w:rFonts w:ascii="Times New Roman" w:hAnsi="Times New Roman" w:cs="Times New Roman"/>
          <w:color w:val="000000" w:themeColor="text1"/>
          <w:sz w:val="24"/>
          <w:szCs w:val="24"/>
        </w:rPr>
        <w:t xml:space="preserve">. </w:t>
      </w:r>
    </w:p>
    <w:p w14:paraId="602D870D" w14:textId="77777777" w:rsidR="00E61460" w:rsidRDefault="00E61460" w:rsidP="001544C3">
      <w:pPr>
        <w:rPr>
          <w:rFonts w:ascii="Times New Roman" w:hAnsi="Times New Roman" w:cs="Times New Roman"/>
          <w:b/>
          <w:bCs/>
          <w:sz w:val="24"/>
          <w:szCs w:val="24"/>
        </w:rPr>
      </w:pPr>
    </w:p>
    <w:p w14:paraId="7C681325" w14:textId="77777777" w:rsidR="00E61460" w:rsidRDefault="00E61460" w:rsidP="001544C3">
      <w:pPr>
        <w:rPr>
          <w:rFonts w:ascii="Times New Roman" w:hAnsi="Times New Roman" w:cs="Times New Roman"/>
          <w:b/>
          <w:bCs/>
          <w:sz w:val="24"/>
          <w:szCs w:val="24"/>
        </w:rPr>
      </w:pPr>
    </w:p>
    <w:p w14:paraId="5F59771B" w14:textId="77777777" w:rsidR="00E61460" w:rsidRDefault="00E61460" w:rsidP="001544C3">
      <w:pPr>
        <w:rPr>
          <w:rFonts w:ascii="Times New Roman" w:hAnsi="Times New Roman" w:cs="Times New Roman"/>
          <w:b/>
          <w:bCs/>
          <w:sz w:val="24"/>
          <w:szCs w:val="24"/>
        </w:rPr>
      </w:pPr>
    </w:p>
    <w:p w14:paraId="2A093C4F" w14:textId="77777777" w:rsidR="00E61460" w:rsidRDefault="00E61460" w:rsidP="001544C3">
      <w:pPr>
        <w:rPr>
          <w:rFonts w:ascii="Times New Roman" w:hAnsi="Times New Roman" w:cs="Times New Roman"/>
          <w:b/>
          <w:bCs/>
          <w:sz w:val="24"/>
          <w:szCs w:val="24"/>
        </w:rPr>
      </w:pPr>
    </w:p>
    <w:p w14:paraId="305E92FE" w14:textId="77777777" w:rsidR="00E61460" w:rsidRDefault="00E61460" w:rsidP="001544C3">
      <w:pPr>
        <w:rPr>
          <w:rFonts w:ascii="Times New Roman" w:hAnsi="Times New Roman" w:cs="Times New Roman"/>
          <w:b/>
          <w:bCs/>
          <w:sz w:val="24"/>
          <w:szCs w:val="24"/>
        </w:rPr>
      </w:pPr>
    </w:p>
    <w:p w14:paraId="42AD8CDB" w14:textId="77777777" w:rsidR="00E61460" w:rsidRDefault="00E61460" w:rsidP="001544C3">
      <w:pPr>
        <w:rPr>
          <w:rFonts w:ascii="Times New Roman" w:hAnsi="Times New Roman" w:cs="Times New Roman"/>
          <w:b/>
          <w:bCs/>
          <w:sz w:val="24"/>
          <w:szCs w:val="24"/>
        </w:rPr>
      </w:pPr>
    </w:p>
    <w:p w14:paraId="3346681D" w14:textId="77777777" w:rsidR="00E61460" w:rsidRDefault="00E61460" w:rsidP="001544C3">
      <w:pPr>
        <w:rPr>
          <w:rFonts w:ascii="Times New Roman" w:hAnsi="Times New Roman" w:cs="Times New Roman"/>
          <w:b/>
          <w:bCs/>
          <w:sz w:val="24"/>
          <w:szCs w:val="24"/>
        </w:rPr>
      </w:pPr>
    </w:p>
    <w:p w14:paraId="4F524F06" w14:textId="77777777" w:rsidR="00E61460" w:rsidRDefault="00E61460" w:rsidP="001544C3">
      <w:pPr>
        <w:rPr>
          <w:rFonts w:ascii="Times New Roman" w:hAnsi="Times New Roman" w:cs="Times New Roman"/>
          <w:b/>
          <w:bCs/>
          <w:sz w:val="24"/>
          <w:szCs w:val="24"/>
        </w:rPr>
      </w:pPr>
    </w:p>
    <w:p w14:paraId="7A031002" w14:textId="77777777" w:rsidR="00E61460" w:rsidRDefault="00E61460" w:rsidP="001544C3">
      <w:pPr>
        <w:rPr>
          <w:rFonts w:ascii="Times New Roman" w:hAnsi="Times New Roman" w:cs="Times New Roman"/>
          <w:b/>
          <w:bCs/>
          <w:sz w:val="24"/>
          <w:szCs w:val="24"/>
        </w:rPr>
      </w:pPr>
    </w:p>
    <w:p w14:paraId="63DE7250" w14:textId="77777777" w:rsidR="00E61460" w:rsidRDefault="00E61460" w:rsidP="001544C3">
      <w:pPr>
        <w:rPr>
          <w:rFonts w:ascii="Times New Roman" w:hAnsi="Times New Roman" w:cs="Times New Roman"/>
          <w:b/>
          <w:bCs/>
          <w:sz w:val="24"/>
          <w:szCs w:val="24"/>
        </w:rPr>
      </w:pPr>
    </w:p>
    <w:p w14:paraId="564EBE21" w14:textId="77777777" w:rsidR="00E61460" w:rsidRDefault="00E61460" w:rsidP="001544C3">
      <w:pPr>
        <w:rPr>
          <w:rFonts w:ascii="Times New Roman" w:hAnsi="Times New Roman" w:cs="Times New Roman"/>
          <w:b/>
          <w:bCs/>
          <w:sz w:val="24"/>
          <w:szCs w:val="24"/>
        </w:rPr>
      </w:pPr>
    </w:p>
    <w:p w14:paraId="3FAA437C" w14:textId="77777777" w:rsidR="00E61460" w:rsidRDefault="00E61460" w:rsidP="001544C3">
      <w:pPr>
        <w:rPr>
          <w:rFonts w:ascii="Times New Roman" w:hAnsi="Times New Roman" w:cs="Times New Roman"/>
          <w:b/>
          <w:bCs/>
          <w:sz w:val="24"/>
          <w:szCs w:val="24"/>
        </w:rPr>
      </w:pPr>
    </w:p>
    <w:p w14:paraId="4E74F73B" w14:textId="77777777" w:rsidR="00E61460" w:rsidRDefault="00E61460" w:rsidP="001544C3">
      <w:pPr>
        <w:rPr>
          <w:rFonts w:ascii="Times New Roman" w:hAnsi="Times New Roman" w:cs="Times New Roman"/>
          <w:b/>
          <w:bCs/>
          <w:sz w:val="24"/>
          <w:szCs w:val="24"/>
        </w:rPr>
      </w:pPr>
    </w:p>
    <w:p w14:paraId="662510FA" w14:textId="77777777" w:rsidR="00E61460" w:rsidRPr="001544C3" w:rsidRDefault="00E61460" w:rsidP="001544C3">
      <w:pPr>
        <w:rPr>
          <w:rFonts w:ascii="Times New Roman" w:hAnsi="Times New Roman" w:cs="Times New Roman"/>
          <w:b/>
          <w:bCs/>
          <w:sz w:val="24"/>
          <w:szCs w:val="24"/>
        </w:rPr>
      </w:pPr>
    </w:p>
    <w:p w14:paraId="2246BD2D" w14:textId="2580A1C3" w:rsidR="001544C3" w:rsidRPr="00346936" w:rsidRDefault="001544C3" w:rsidP="00495DBA">
      <w:pPr>
        <w:pStyle w:val="Prrafodelista"/>
        <w:numPr>
          <w:ilvl w:val="1"/>
          <w:numId w:val="8"/>
        </w:numPr>
        <w:spacing w:line="480" w:lineRule="auto"/>
        <w:outlineLvl w:val="1"/>
        <w:rPr>
          <w:rFonts w:ascii="Times New Roman" w:hAnsi="Times New Roman" w:cs="Times New Roman"/>
          <w:b/>
          <w:bCs/>
          <w:sz w:val="24"/>
          <w:szCs w:val="24"/>
        </w:rPr>
      </w:pPr>
      <w:bookmarkStart w:id="11" w:name="_Toc232457388"/>
      <w:r w:rsidRPr="00346936">
        <w:rPr>
          <w:rFonts w:ascii="Times New Roman" w:hAnsi="Times New Roman" w:cs="Times New Roman"/>
          <w:b/>
          <w:bCs/>
          <w:sz w:val="24"/>
          <w:szCs w:val="24"/>
        </w:rPr>
        <w:lastRenderedPageBreak/>
        <w:t>Delimitación</w:t>
      </w:r>
      <w:bookmarkEnd w:id="11"/>
      <w:r w:rsidRPr="00346936">
        <w:rPr>
          <w:rFonts w:ascii="Times New Roman" w:hAnsi="Times New Roman" w:cs="Times New Roman"/>
          <w:b/>
          <w:bCs/>
          <w:sz w:val="24"/>
          <w:szCs w:val="24"/>
        </w:rPr>
        <w:t xml:space="preserve"> </w:t>
      </w:r>
    </w:p>
    <w:p w14:paraId="46A249F3" w14:textId="45399479" w:rsidR="001544C3" w:rsidRPr="00346936" w:rsidRDefault="00E61460" w:rsidP="00495DBA">
      <w:pPr>
        <w:pStyle w:val="Prrafodelista"/>
        <w:numPr>
          <w:ilvl w:val="2"/>
          <w:numId w:val="8"/>
        </w:numPr>
        <w:spacing w:after="0" w:line="480" w:lineRule="auto"/>
        <w:outlineLvl w:val="2"/>
        <w:rPr>
          <w:rFonts w:ascii="Times New Roman" w:hAnsi="Times New Roman" w:cs="Times New Roman"/>
          <w:b/>
          <w:bCs/>
          <w:color w:val="000000" w:themeColor="text1"/>
          <w:sz w:val="24"/>
          <w:szCs w:val="24"/>
        </w:rPr>
      </w:pPr>
      <w:bookmarkStart w:id="12" w:name="_Hlk183083165"/>
      <w:bookmarkStart w:id="13" w:name="_Toc232457389"/>
      <w:r w:rsidRPr="00346936">
        <w:rPr>
          <w:rFonts w:ascii="Times New Roman" w:hAnsi="Times New Roman" w:cs="Times New Roman"/>
          <w:b/>
          <w:bCs/>
          <w:color w:val="000000" w:themeColor="text1"/>
          <w:sz w:val="24"/>
          <w:szCs w:val="24"/>
        </w:rPr>
        <w:t>Delimitación conceptual</w:t>
      </w:r>
      <w:bookmarkEnd w:id="13"/>
      <w:r w:rsidRPr="00346936">
        <w:rPr>
          <w:rFonts w:ascii="Times New Roman" w:hAnsi="Times New Roman" w:cs="Times New Roman"/>
          <w:b/>
          <w:bCs/>
          <w:color w:val="000000" w:themeColor="text1"/>
          <w:sz w:val="24"/>
          <w:szCs w:val="24"/>
        </w:rPr>
        <w:t xml:space="preserve"> </w:t>
      </w:r>
    </w:p>
    <w:p w14:paraId="66BC25CB" w14:textId="762F7D2A" w:rsidR="00EC0DBD" w:rsidRDefault="00EC0DBD" w:rsidP="00495DBA">
      <w:pPr>
        <w:spacing w:after="0" w:line="480" w:lineRule="auto"/>
        <w:ind w:firstLine="720"/>
        <w:rPr>
          <w:rFonts w:ascii="Times New Roman" w:hAnsi="Times New Roman" w:cs="Times New Roman"/>
          <w:color w:val="000000" w:themeColor="text1"/>
          <w:sz w:val="24"/>
          <w:szCs w:val="24"/>
        </w:rPr>
      </w:pPr>
      <w:r w:rsidRPr="00EC0DBD">
        <w:rPr>
          <w:rFonts w:ascii="Times New Roman" w:hAnsi="Times New Roman" w:cs="Times New Roman"/>
          <w:color w:val="000000" w:themeColor="text1"/>
          <w:sz w:val="24"/>
          <w:szCs w:val="24"/>
        </w:rPr>
        <w:t>El estudio se centra en la justicia transicional como un conjunto de mecanismos jurídicos, políticos y sociales orientados a gestionar el paso de contextos de violencia armada hacia escenarios de paz, garantizando los derechos de las víctimas a la verdad, justicia, reparación y garantías de no repetición. Para ello, se analizan los marcos normativos y prácticos aplicados en los procesos de desmovilización y reintegración de los grupos paramilitares (AUC) y de la guerrilla de las FARC-EP, reconociendo que esta figura se constituye en una expresión del nuevo derecho, en tanto articula elementos del derecho nacional con estándares internacionales de derechos humanos y derecho penal internacional.</w:t>
      </w:r>
    </w:p>
    <w:p w14:paraId="626AC61A" w14:textId="77777777" w:rsidR="00EC0DBD" w:rsidRPr="00EC0DBD" w:rsidRDefault="00EC0DBD" w:rsidP="00EC0DBD">
      <w:pPr>
        <w:spacing w:after="0" w:line="480" w:lineRule="auto"/>
        <w:ind w:firstLine="720"/>
        <w:rPr>
          <w:rFonts w:ascii="Times New Roman" w:hAnsi="Times New Roman" w:cs="Times New Roman"/>
          <w:color w:val="000000" w:themeColor="text1"/>
          <w:sz w:val="24"/>
          <w:szCs w:val="24"/>
        </w:rPr>
      </w:pPr>
    </w:p>
    <w:p w14:paraId="1ACF5779" w14:textId="2ABCE2BA" w:rsidR="00E61460" w:rsidRPr="00346936" w:rsidRDefault="00E61460" w:rsidP="00346936">
      <w:pPr>
        <w:pStyle w:val="Prrafodelista"/>
        <w:numPr>
          <w:ilvl w:val="2"/>
          <w:numId w:val="8"/>
        </w:numPr>
        <w:spacing w:after="0" w:line="480" w:lineRule="auto"/>
        <w:outlineLvl w:val="2"/>
        <w:rPr>
          <w:rFonts w:ascii="Times New Roman" w:hAnsi="Times New Roman" w:cs="Times New Roman"/>
          <w:b/>
          <w:bCs/>
          <w:color w:val="000000" w:themeColor="text1"/>
          <w:sz w:val="24"/>
          <w:szCs w:val="24"/>
        </w:rPr>
      </w:pPr>
      <w:bookmarkStart w:id="14" w:name="_Toc232457390"/>
      <w:r w:rsidRPr="00346936">
        <w:rPr>
          <w:rFonts w:ascii="Times New Roman" w:hAnsi="Times New Roman" w:cs="Times New Roman"/>
          <w:b/>
          <w:bCs/>
          <w:color w:val="000000" w:themeColor="text1"/>
          <w:sz w:val="24"/>
          <w:szCs w:val="24"/>
        </w:rPr>
        <w:t>Delimitación temporal</w:t>
      </w:r>
      <w:bookmarkEnd w:id="14"/>
      <w:r w:rsidRPr="00346936">
        <w:rPr>
          <w:rFonts w:ascii="Times New Roman" w:hAnsi="Times New Roman" w:cs="Times New Roman"/>
          <w:b/>
          <w:bCs/>
          <w:color w:val="000000" w:themeColor="text1"/>
          <w:sz w:val="24"/>
          <w:szCs w:val="24"/>
        </w:rPr>
        <w:t xml:space="preserve"> </w:t>
      </w:r>
    </w:p>
    <w:p w14:paraId="0976759B" w14:textId="1FB06EC1" w:rsidR="00EC0DBD" w:rsidRPr="00EC0DBD" w:rsidRDefault="4D6BA4C4" w:rsidP="00EC0DBD">
      <w:pPr>
        <w:spacing w:after="0" w:line="480" w:lineRule="auto"/>
        <w:ind w:firstLine="720"/>
        <w:rPr>
          <w:rFonts w:ascii="Times New Roman" w:hAnsi="Times New Roman" w:cs="Times New Roman"/>
          <w:color w:val="000000" w:themeColor="text1"/>
          <w:sz w:val="24"/>
          <w:szCs w:val="24"/>
        </w:rPr>
      </w:pPr>
      <w:r w:rsidRPr="066E4FC7">
        <w:rPr>
          <w:rFonts w:ascii="Times New Roman" w:hAnsi="Times New Roman" w:cs="Times New Roman"/>
          <w:color w:val="000000" w:themeColor="text1"/>
          <w:sz w:val="24"/>
          <w:szCs w:val="24"/>
        </w:rPr>
        <w:t>La investigación se circunscribe principalmente al período entre 2003 y 2022.</w:t>
      </w:r>
      <w:r w:rsidR="00EC0DBD" w:rsidRPr="066E4FC7">
        <w:rPr>
          <w:rFonts w:ascii="Times New Roman" w:hAnsi="Times New Roman" w:cs="Times New Roman"/>
          <w:color w:val="000000" w:themeColor="text1"/>
          <w:sz w:val="24"/>
          <w:szCs w:val="24"/>
        </w:rPr>
        <w:t xml:space="preserve"> Este rango temporal inicia con el proceso de negociación y desmovilización de las Autodefensas Unidas de Colombia (AUC) bajo la Ley de Justicia y Paz (2003-2006) y se extiende hasta la implementación del Acuerdo Final de Paz con las FARC-EP (2016) y los desarrollos normativos e institucionales posteriores hasta 2022, que permiten observar avances, tensiones y resultados en materia de justicia transicional en Colombia.</w:t>
      </w:r>
    </w:p>
    <w:p w14:paraId="1CF88FBE" w14:textId="2A4F1EAF" w:rsidR="00E61460" w:rsidRPr="00346936" w:rsidRDefault="00E61460" w:rsidP="00346936">
      <w:pPr>
        <w:pStyle w:val="Prrafodelista"/>
        <w:numPr>
          <w:ilvl w:val="2"/>
          <w:numId w:val="8"/>
        </w:numPr>
        <w:spacing w:after="0" w:line="480" w:lineRule="auto"/>
        <w:outlineLvl w:val="2"/>
        <w:rPr>
          <w:rFonts w:ascii="Times New Roman" w:hAnsi="Times New Roman" w:cs="Times New Roman"/>
          <w:b/>
          <w:bCs/>
          <w:color w:val="000000" w:themeColor="text1"/>
          <w:sz w:val="24"/>
          <w:szCs w:val="24"/>
        </w:rPr>
      </w:pPr>
      <w:bookmarkStart w:id="15" w:name="_Toc232457391"/>
      <w:r w:rsidRPr="00346936">
        <w:rPr>
          <w:rFonts w:ascii="Times New Roman" w:hAnsi="Times New Roman" w:cs="Times New Roman"/>
          <w:b/>
          <w:bCs/>
          <w:color w:val="000000" w:themeColor="text1"/>
          <w:sz w:val="24"/>
          <w:szCs w:val="24"/>
        </w:rPr>
        <w:t>Delimitación espacial</w:t>
      </w:r>
      <w:bookmarkEnd w:id="15"/>
      <w:r w:rsidRPr="00346936">
        <w:rPr>
          <w:rFonts w:ascii="Times New Roman" w:hAnsi="Times New Roman" w:cs="Times New Roman"/>
          <w:b/>
          <w:bCs/>
          <w:color w:val="000000" w:themeColor="text1"/>
          <w:sz w:val="24"/>
          <w:szCs w:val="24"/>
        </w:rPr>
        <w:t xml:space="preserve"> </w:t>
      </w:r>
    </w:p>
    <w:p w14:paraId="0C989347" w14:textId="77777777" w:rsidR="00EC0DBD" w:rsidRPr="00EC0DBD" w:rsidRDefault="00EC0DBD" w:rsidP="00EC0DBD">
      <w:pPr>
        <w:spacing w:after="0" w:line="480" w:lineRule="auto"/>
        <w:ind w:firstLine="720"/>
        <w:rPr>
          <w:rFonts w:ascii="Times New Roman" w:hAnsi="Times New Roman" w:cs="Times New Roman"/>
          <w:color w:val="000000" w:themeColor="text1"/>
          <w:sz w:val="24"/>
          <w:szCs w:val="24"/>
        </w:rPr>
      </w:pPr>
      <w:r w:rsidRPr="00EC0DBD">
        <w:rPr>
          <w:rFonts w:ascii="Times New Roman" w:hAnsi="Times New Roman" w:cs="Times New Roman"/>
          <w:color w:val="000000" w:themeColor="text1"/>
          <w:sz w:val="24"/>
          <w:szCs w:val="24"/>
        </w:rPr>
        <w:t xml:space="preserve">El análisis se enfoca en el territorio colombiano, entendiendo que los procesos de justicia transicional se implementaron a nivel nacional, pero con impactos diferenciados en regiones específicas afectadas por el conflicto armado, tales como Antioquia, Meta, Cauca, Norte de Santander y Cesar. No obstante, se reconoce que el marco jurídico colombiano está influenciado </w:t>
      </w:r>
      <w:r w:rsidRPr="00EC0DBD">
        <w:rPr>
          <w:rFonts w:ascii="Times New Roman" w:hAnsi="Times New Roman" w:cs="Times New Roman"/>
          <w:color w:val="000000" w:themeColor="text1"/>
          <w:sz w:val="24"/>
          <w:szCs w:val="24"/>
        </w:rPr>
        <w:lastRenderedPageBreak/>
        <w:t>por compromisos internacionales en derechos humanos, lo cual sitúa a Colombia en un escenario comparado y conectado con las dinámicas de la justicia transicional en el ámbito global.</w:t>
      </w:r>
    </w:p>
    <w:p w14:paraId="081778CF" w14:textId="77777777" w:rsidR="001544C3" w:rsidRDefault="001544C3" w:rsidP="00F71C30">
      <w:pPr>
        <w:spacing w:after="0" w:line="480" w:lineRule="auto"/>
        <w:ind w:firstLine="720"/>
        <w:rPr>
          <w:rFonts w:ascii="Times New Roman" w:hAnsi="Times New Roman" w:cs="Times New Roman"/>
          <w:color w:val="000000" w:themeColor="text1"/>
          <w:sz w:val="24"/>
          <w:szCs w:val="24"/>
        </w:rPr>
      </w:pPr>
    </w:p>
    <w:p w14:paraId="2B7DC41E" w14:textId="77777777" w:rsidR="001544C3" w:rsidRDefault="001544C3" w:rsidP="00F71C30">
      <w:pPr>
        <w:spacing w:after="0" w:line="480" w:lineRule="auto"/>
        <w:ind w:firstLine="720"/>
        <w:rPr>
          <w:rFonts w:ascii="Times New Roman" w:hAnsi="Times New Roman" w:cs="Times New Roman"/>
          <w:color w:val="000000" w:themeColor="text1"/>
          <w:sz w:val="24"/>
          <w:szCs w:val="24"/>
        </w:rPr>
      </w:pPr>
    </w:p>
    <w:p w14:paraId="3E8EA51E" w14:textId="77777777" w:rsidR="001544C3" w:rsidRDefault="001544C3" w:rsidP="00F71C30">
      <w:pPr>
        <w:spacing w:after="0" w:line="480" w:lineRule="auto"/>
        <w:ind w:firstLine="720"/>
        <w:rPr>
          <w:rFonts w:ascii="Times New Roman" w:hAnsi="Times New Roman" w:cs="Times New Roman"/>
          <w:color w:val="000000" w:themeColor="text1"/>
          <w:sz w:val="24"/>
          <w:szCs w:val="24"/>
        </w:rPr>
      </w:pPr>
    </w:p>
    <w:p w14:paraId="0C200BCB" w14:textId="77777777" w:rsidR="001544C3" w:rsidRDefault="001544C3" w:rsidP="00F71C30">
      <w:pPr>
        <w:spacing w:after="0" w:line="480" w:lineRule="auto"/>
        <w:ind w:firstLine="720"/>
        <w:rPr>
          <w:rFonts w:ascii="Times New Roman" w:hAnsi="Times New Roman" w:cs="Times New Roman"/>
          <w:color w:val="000000" w:themeColor="text1"/>
          <w:sz w:val="24"/>
          <w:szCs w:val="24"/>
        </w:rPr>
      </w:pPr>
    </w:p>
    <w:p w14:paraId="6C4DDB7B" w14:textId="77777777" w:rsidR="00F71C30" w:rsidRPr="00F71C30" w:rsidRDefault="00F71C30" w:rsidP="00F71C30">
      <w:pPr>
        <w:spacing w:after="0" w:line="480" w:lineRule="auto"/>
        <w:ind w:firstLine="720"/>
        <w:rPr>
          <w:rFonts w:ascii="Times New Roman" w:hAnsi="Times New Roman" w:cs="Times New Roman"/>
          <w:color w:val="000000" w:themeColor="text1"/>
          <w:sz w:val="24"/>
          <w:szCs w:val="24"/>
        </w:rPr>
      </w:pPr>
    </w:p>
    <w:p w14:paraId="01E9F50C" w14:textId="77777777" w:rsidR="00F71C30" w:rsidRPr="00F71C30" w:rsidRDefault="00F71C30" w:rsidP="00F71C30">
      <w:pPr>
        <w:spacing w:after="0" w:line="480" w:lineRule="auto"/>
        <w:ind w:firstLine="720"/>
        <w:rPr>
          <w:rFonts w:ascii="Times New Roman" w:hAnsi="Times New Roman" w:cs="Times New Roman"/>
          <w:color w:val="000000" w:themeColor="text1"/>
          <w:sz w:val="24"/>
          <w:szCs w:val="24"/>
        </w:rPr>
      </w:pPr>
    </w:p>
    <w:p w14:paraId="076A8E7A" w14:textId="77777777" w:rsidR="00F71C30" w:rsidRPr="00F71C30" w:rsidRDefault="00F71C30" w:rsidP="00F71C30">
      <w:pPr>
        <w:spacing w:after="0" w:line="480" w:lineRule="auto"/>
        <w:ind w:firstLine="720"/>
        <w:rPr>
          <w:rFonts w:ascii="Times New Roman" w:hAnsi="Times New Roman" w:cs="Times New Roman"/>
          <w:color w:val="000000" w:themeColor="text1"/>
          <w:sz w:val="24"/>
          <w:szCs w:val="24"/>
        </w:rPr>
      </w:pPr>
      <w:r w:rsidRPr="00F71C30">
        <w:rPr>
          <w:rFonts w:ascii="Times New Roman" w:hAnsi="Times New Roman" w:cs="Times New Roman"/>
          <w:color w:val="000000" w:themeColor="text1"/>
          <w:sz w:val="24"/>
          <w:szCs w:val="24"/>
        </w:rPr>
        <w:t xml:space="preserve"> </w:t>
      </w:r>
    </w:p>
    <w:p w14:paraId="1DE88BE2" w14:textId="77777777" w:rsidR="00F71C30" w:rsidRPr="00F71C30" w:rsidRDefault="00F71C30" w:rsidP="00F71C30">
      <w:pPr>
        <w:spacing w:after="0" w:line="480" w:lineRule="auto"/>
        <w:ind w:firstLine="720"/>
        <w:rPr>
          <w:rFonts w:ascii="Times New Roman" w:hAnsi="Times New Roman" w:cs="Times New Roman"/>
          <w:color w:val="000000" w:themeColor="text1"/>
          <w:sz w:val="24"/>
          <w:szCs w:val="24"/>
        </w:rPr>
      </w:pPr>
    </w:p>
    <w:p w14:paraId="7D4B11FD" w14:textId="77777777" w:rsidR="00F71C30" w:rsidRPr="00F71C30" w:rsidRDefault="00F71C30" w:rsidP="00F71C30">
      <w:pPr>
        <w:spacing w:after="0" w:line="480" w:lineRule="auto"/>
        <w:ind w:firstLine="720"/>
        <w:rPr>
          <w:rFonts w:ascii="Times New Roman" w:hAnsi="Times New Roman" w:cs="Times New Roman"/>
          <w:color w:val="000000" w:themeColor="text1"/>
          <w:sz w:val="24"/>
          <w:szCs w:val="24"/>
        </w:rPr>
      </w:pPr>
    </w:p>
    <w:p w14:paraId="43FE1102" w14:textId="77777777" w:rsidR="00F71C30" w:rsidRPr="00F71C30" w:rsidRDefault="00F71C30" w:rsidP="00F71C30">
      <w:pPr>
        <w:spacing w:after="0" w:line="480" w:lineRule="auto"/>
        <w:ind w:firstLine="720"/>
        <w:rPr>
          <w:rFonts w:ascii="Times New Roman" w:hAnsi="Times New Roman" w:cs="Times New Roman"/>
          <w:color w:val="000000" w:themeColor="text1"/>
          <w:sz w:val="24"/>
          <w:szCs w:val="24"/>
        </w:rPr>
      </w:pPr>
    </w:p>
    <w:p w14:paraId="6EEA87AA"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20A63D80"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264D6B46" w14:textId="366375AD" w:rsidR="00123BC7" w:rsidRDefault="0081704A" w:rsidP="003A72E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32F15367"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7EFA3843"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7F3C4AAE"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13B5EE48"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707270A9"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1564D3C7"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6A1E2EBB"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1202A690" w14:textId="77777777" w:rsidR="00F71C30" w:rsidRDefault="00F71C30" w:rsidP="003A72E3">
      <w:pPr>
        <w:spacing w:after="0" w:line="480" w:lineRule="auto"/>
        <w:ind w:firstLine="720"/>
        <w:rPr>
          <w:rFonts w:ascii="Times New Roman" w:hAnsi="Times New Roman" w:cs="Times New Roman"/>
          <w:color w:val="000000" w:themeColor="text1"/>
          <w:sz w:val="24"/>
          <w:szCs w:val="24"/>
        </w:rPr>
      </w:pPr>
    </w:p>
    <w:p w14:paraId="00000056" w14:textId="2FBB54D0" w:rsidR="00DC70F0" w:rsidRDefault="00F03A87" w:rsidP="00F71C30">
      <w:pPr>
        <w:pStyle w:val="Ttulo1"/>
        <w:numPr>
          <w:ilvl w:val="0"/>
          <w:numId w:val="8"/>
        </w:numPr>
        <w:spacing w:before="0" w:after="0" w:line="480" w:lineRule="auto"/>
        <w:ind w:left="0" w:firstLine="720"/>
        <w:jc w:val="center"/>
        <w:rPr>
          <w:rFonts w:ascii="Times New Roman" w:eastAsia="Times New Roman" w:hAnsi="Times New Roman" w:cs="Times New Roman"/>
          <w:b/>
          <w:color w:val="000000" w:themeColor="text1"/>
          <w:sz w:val="24"/>
          <w:szCs w:val="24"/>
        </w:rPr>
      </w:pPr>
      <w:bookmarkStart w:id="16" w:name="_Toc232457392"/>
      <w:bookmarkEnd w:id="12"/>
      <w:r w:rsidRPr="003A72E3">
        <w:rPr>
          <w:rFonts w:ascii="Times New Roman" w:eastAsia="Times New Roman" w:hAnsi="Times New Roman" w:cs="Times New Roman"/>
          <w:b/>
          <w:color w:val="000000" w:themeColor="text1"/>
          <w:sz w:val="24"/>
          <w:szCs w:val="24"/>
        </w:rPr>
        <w:lastRenderedPageBreak/>
        <w:t>Desarrollo Teórico</w:t>
      </w:r>
      <w:bookmarkEnd w:id="16"/>
    </w:p>
    <w:p w14:paraId="337E2D92" w14:textId="73E782D5" w:rsidR="009B10A2" w:rsidRPr="009B10A2" w:rsidRDefault="009B10A2" w:rsidP="009B10A2">
      <w:pPr>
        <w:pStyle w:val="Prrafodelista"/>
        <w:numPr>
          <w:ilvl w:val="1"/>
          <w:numId w:val="8"/>
        </w:numPr>
        <w:shd w:val="clear" w:color="auto" w:fill="FFFFFF"/>
        <w:spacing w:after="0" w:line="480" w:lineRule="auto"/>
        <w:outlineLvl w:val="1"/>
        <w:rPr>
          <w:rFonts w:ascii="Times New Roman" w:eastAsia="Times New Roman" w:hAnsi="Times New Roman" w:cs="Times New Roman"/>
          <w:b/>
          <w:bCs/>
          <w:color w:val="000000" w:themeColor="text1"/>
          <w:sz w:val="24"/>
          <w:szCs w:val="24"/>
        </w:rPr>
      </w:pPr>
      <w:bookmarkStart w:id="17" w:name="_Toc232457393"/>
      <w:r w:rsidRPr="009B10A2">
        <w:rPr>
          <w:rFonts w:ascii="Times New Roman" w:eastAsia="Times New Roman" w:hAnsi="Times New Roman" w:cs="Times New Roman"/>
          <w:b/>
          <w:bCs/>
          <w:color w:val="000000" w:themeColor="text1"/>
          <w:sz w:val="24"/>
          <w:szCs w:val="24"/>
        </w:rPr>
        <w:t>Conceptos o particularidades entre las AUC y las FACR-EP</w:t>
      </w:r>
      <w:bookmarkEnd w:id="17"/>
    </w:p>
    <w:p w14:paraId="0E6E2197" w14:textId="77777777" w:rsidR="009B10A2" w:rsidRPr="009B10A2" w:rsidRDefault="009B10A2" w:rsidP="009B10A2">
      <w:pPr>
        <w:shd w:val="clear" w:color="auto" w:fill="FFFFFF"/>
        <w:spacing w:after="0" w:line="480" w:lineRule="auto"/>
        <w:ind w:firstLine="360"/>
        <w:rPr>
          <w:rFonts w:ascii="Times New Roman" w:eastAsia="Times New Roman" w:hAnsi="Times New Roman" w:cs="Times New Roman"/>
          <w:color w:val="000000" w:themeColor="text1"/>
          <w:sz w:val="24"/>
          <w:szCs w:val="24"/>
        </w:rPr>
      </w:pPr>
      <w:r w:rsidRPr="009B10A2">
        <w:rPr>
          <w:rFonts w:ascii="Times New Roman" w:eastAsia="Times New Roman" w:hAnsi="Times New Roman" w:cs="Times New Roman"/>
          <w:color w:val="000000" w:themeColor="text1"/>
          <w:sz w:val="24"/>
          <w:szCs w:val="24"/>
        </w:rPr>
        <w:t>Las Autodefensas Unidas de Colombia (AUC) surgieron formalmente en 1997 como una federación de grupos paramilitares regionales que operaban con el objetivo de contrarrestar la influencia de las guerrillas en diversas zonas del país. Aunque inicialmente se presentaron como una fuerza de autodefensa ante el abandono estatal, en la práctica se convirtieron en una organización criminal con amplio control territorial, vinculaciones con sectores económicos y políticos, y financiamiento derivado principalmente del narcotráfico, la extorsión y el saqueo de recursos naturales. Su actuación estuvo marcada por graves violaciones a los derechos humanos, incluyendo masacres, desplazamientos forzados, torturas y asesinatos selectivos.</w:t>
      </w:r>
    </w:p>
    <w:p w14:paraId="320B5E72" w14:textId="63E39332" w:rsidR="009B10A2" w:rsidRPr="009B10A2" w:rsidRDefault="617D01D2" w:rsidP="00495DBA">
      <w:pPr>
        <w:shd w:val="clear" w:color="auto" w:fill="FFFFFF" w:themeFill="background1"/>
        <w:spacing w:after="0" w:line="480" w:lineRule="auto"/>
        <w:rPr>
          <w:rFonts w:ascii="Times New Roman" w:eastAsia="Times New Roman" w:hAnsi="Times New Roman" w:cs="Times New Roman"/>
          <w:color w:val="000000" w:themeColor="text1"/>
          <w:sz w:val="24"/>
          <w:szCs w:val="24"/>
        </w:rPr>
      </w:pPr>
      <w:r w:rsidRPr="6DAF6575">
        <w:rPr>
          <w:rFonts w:ascii="Times New Roman" w:eastAsia="Times New Roman" w:hAnsi="Times New Roman" w:cs="Times New Roman"/>
          <w:color w:val="000000" w:themeColor="text1"/>
          <w:sz w:val="24"/>
          <w:szCs w:val="24"/>
        </w:rPr>
        <w:t>Las FARC-EP se fundaron en 1964 como brazo armado del Partido Comunista Colombiano</w:t>
      </w:r>
      <w:r w:rsidR="00495DBA" w:rsidRPr="6DAF6575">
        <w:rPr>
          <w:rFonts w:ascii="Times New Roman" w:eastAsia="Times New Roman" w:hAnsi="Times New Roman" w:cs="Times New Roman"/>
          <w:color w:val="000000" w:themeColor="text1"/>
          <w:sz w:val="24"/>
          <w:szCs w:val="24"/>
        </w:rPr>
        <w:t>, pues estas estaban i</w:t>
      </w:r>
      <w:r w:rsidR="009B10A2" w:rsidRPr="6DAF6575">
        <w:rPr>
          <w:rFonts w:ascii="Times New Roman" w:eastAsia="Times New Roman" w:hAnsi="Times New Roman" w:cs="Times New Roman"/>
          <w:color w:val="000000" w:themeColor="text1"/>
          <w:sz w:val="24"/>
          <w:szCs w:val="24"/>
        </w:rPr>
        <w:t xml:space="preserve">nspiradas en una ideología marxistaleninista, buscaron inicialmente la toma del poder mediante la lucha armada, con un discurso centrado en la redistribución de la tierra y la justicia social. A lo largo del tiempo, su accionar también se degeneró, incorporando prácticas como el secuestro, el narcotráfico, el reclutamiento forzado y el ataque sistemático contra infraestructuras civiles. </w:t>
      </w:r>
      <w:r w:rsidR="24737108" w:rsidRPr="6DAF6575">
        <w:rPr>
          <w:rFonts w:ascii="Times New Roman" w:eastAsia="Times New Roman" w:hAnsi="Times New Roman" w:cs="Times New Roman"/>
          <w:color w:val="000000" w:themeColor="text1"/>
          <w:sz w:val="24"/>
          <w:szCs w:val="24"/>
        </w:rPr>
        <w:t>Su presencia se consolidó en zonas rurales estratégicas, desde donde combatieron durante más de cinco décadas al Estado colombiano</w:t>
      </w:r>
      <w:r w:rsidR="00830F6F">
        <w:rPr>
          <w:rFonts w:ascii="Times New Roman" w:eastAsia="Times New Roman" w:hAnsi="Times New Roman" w:cs="Times New Roman"/>
          <w:color w:val="000000" w:themeColor="text1"/>
          <w:sz w:val="24"/>
          <w:szCs w:val="24"/>
        </w:rPr>
        <w:t xml:space="preserve"> (Chaparro, et al., 2022). </w:t>
      </w:r>
    </w:p>
    <w:p w14:paraId="793304EA" w14:textId="022EE416" w:rsidR="009B10A2" w:rsidRPr="00495DBA" w:rsidRDefault="009B10A2" w:rsidP="00495DBA">
      <w:pPr>
        <w:pStyle w:val="Prrafodelista"/>
        <w:numPr>
          <w:ilvl w:val="2"/>
          <w:numId w:val="8"/>
        </w:numPr>
        <w:shd w:val="clear" w:color="auto" w:fill="FFFFFF"/>
        <w:spacing w:after="0" w:line="480" w:lineRule="auto"/>
        <w:rPr>
          <w:rFonts w:ascii="Times New Roman" w:eastAsia="Times New Roman" w:hAnsi="Times New Roman" w:cs="Times New Roman"/>
          <w:i/>
          <w:iCs/>
          <w:color w:val="000000" w:themeColor="text1"/>
          <w:sz w:val="24"/>
          <w:szCs w:val="24"/>
        </w:rPr>
      </w:pPr>
      <w:r w:rsidRPr="00495DBA">
        <w:rPr>
          <w:rFonts w:ascii="Times New Roman" w:eastAsia="Times New Roman" w:hAnsi="Times New Roman" w:cs="Times New Roman"/>
          <w:i/>
          <w:iCs/>
          <w:color w:val="000000" w:themeColor="text1"/>
          <w:sz w:val="24"/>
          <w:szCs w:val="24"/>
        </w:rPr>
        <w:t>Procesos de negociación y desmovilización</w:t>
      </w:r>
    </w:p>
    <w:p w14:paraId="35508C7B" w14:textId="77777777" w:rsidR="009B10A2" w:rsidRPr="009B10A2" w:rsidRDefault="009B10A2" w:rsidP="066E4FC7">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6DAF6575">
        <w:rPr>
          <w:rFonts w:ascii="Times New Roman" w:eastAsia="Times New Roman" w:hAnsi="Times New Roman" w:cs="Times New Roman"/>
          <w:color w:val="000000" w:themeColor="text1"/>
          <w:sz w:val="24"/>
          <w:szCs w:val="24"/>
        </w:rPr>
        <w:t xml:space="preserve">El proceso de desmovilización de las AUC se desarrolló entre 2003 y 2006, durante el gobierno del presidente Álvaro Uribe Vélez. A través de una serie de negociaciones con la cúpula paramilitar, se logró la desmovilización colectiva de cerca de 30.000 hombres armados. El marco legal para este proceso fue la Ley 975 de 2005, conocida como la Ley de Justicia y Paz, que ofrecía penas alternativas de hasta ocho años de prisión a cambio de confesiones plenas, </w:t>
      </w:r>
      <w:r w:rsidRPr="6DAF6575">
        <w:rPr>
          <w:rFonts w:ascii="Times New Roman" w:eastAsia="Times New Roman" w:hAnsi="Times New Roman" w:cs="Times New Roman"/>
          <w:color w:val="000000" w:themeColor="text1"/>
          <w:sz w:val="24"/>
          <w:szCs w:val="24"/>
        </w:rPr>
        <w:lastRenderedPageBreak/>
        <w:t>entrega de bienes para reparación y no repetición de crímenes. Sin embargo, este proceso fue ampliamente criticado por la baja efectividad en la verdad judicial, la impunidad de mandos medios y la limitada reparación a las víctimas. Además, muchas de las estructuras criminales nunca desaparecieron y evolucionaron en las llamadas Bandas Criminales (Bacrim).</w:t>
      </w:r>
    </w:p>
    <w:p w14:paraId="6E2A0DBE" w14:textId="515B58B1" w:rsidR="009B10A2" w:rsidRPr="009B10A2" w:rsidRDefault="009B10A2"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9B10A2">
        <w:rPr>
          <w:rFonts w:ascii="Times New Roman" w:eastAsia="Times New Roman" w:hAnsi="Times New Roman" w:cs="Times New Roman"/>
          <w:color w:val="000000" w:themeColor="text1"/>
          <w:sz w:val="24"/>
          <w:szCs w:val="24"/>
        </w:rPr>
        <w:t>En contraste, el proceso con las FARC-EP tuvo un carácter más estructurado, político y participativo. Las negociaciones comenzaron oficialmente en 2012 en La Habana, Cuba, durante el gobierno del presidente Juan Manuel Santos, y culminaron con la firma del Acuerdo Final para la Terminación del Conflicto en 2016. Este acuerdo abarcó seis puntos clave: reforma rural integral, participación política, solución al problema de las drogas ilícitas, víctimas del conflicto, fin del conflicto (dejación de armas y garantías de seguridad) y verificación internacional. La dejación de armas fue supervisada por una misión especial de la ONU, y más de 13.000 excombatientes dejaron las armas y se reincorporaron a la vida civil. Las FARC-EP se transformaron en partido político bajo el nombre de Comunes</w:t>
      </w:r>
      <w:r w:rsidR="00495DBA">
        <w:rPr>
          <w:rFonts w:ascii="Times New Roman" w:eastAsia="Times New Roman" w:hAnsi="Times New Roman" w:cs="Times New Roman"/>
          <w:color w:val="000000" w:themeColor="text1"/>
          <w:sz w:val="24"/>
          <w:szCs w:val="24"/>
        </w:rPr>
        <w:t xml:space="preserve"> (Ocampo, 2021). </w:t>
      </w:r>
    </w:p>
    <w:p w14:paraId="5E5E21AA" w14:textId="08F3C8CC" w:rsidR="009B10A2" w:rsidRPr="00495DBA" w:rsidRDefault="009B10A2" w:rsidP="00495DBA">
      <w:pPr>
        <w:pStyle w:val="Prrafodelista"/>
        <w:numPr>
          <w:ilvl w:val="2"/>
          <w:numId w:val="8"/>
        </w:numPr>
        <w:shd w:val="clear" w:color="auto" w:fill="FFFFFF"/>
        <w:spacing w:after="0" w:line="480" w:lineRule="auto"/>
        <w:rPr>
          <w:rFonts w:ascii="Times New Roman" w:eastAsia="Times New Roman" w:hAnsi="Times New Roman" w:cs="Times New Roman"/>
          <w:i/>
          <w:iCs/>
          <w:color w:val="000000" w:themeColor="text1"/>
          <w:sz w:val="24"/>
          <w:szCs w:val="24"/>
        </w:rPr>
      </w:pPr>
      <w:r w:rsidRPr="00495DBA">
        <w:rPr>
          <w:rFonts w:ascii="Times New Roman" w:eastAsia="Times New Roman" w:hAnsi="Times New Roman" w:cs="Times New Roman"/>
          <w:i/>
          <w:iCs/>
          <w:color w:val="000000" w:themeColor="text1"/>
          <w:sz w:val="24"/>
          <w:szCs w:val="24"/>
        </w:rPr>
        <w:t>Justicia transicional: objetivos y diferencias</w:t>
      </w:r>
    </w:p>
    <w:p w14:paraId="5C3E6979" w14:textId="77777777" w:rsidR="009B10A2" w:rsidRPr="009B10A2" w:rsidRDefault="009B10A2"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9B10A2">
        <w:rPr>
          <w:rFonts w:ascii="Times New Roman" w:eastAsia="Times New Roman" w:hAnsi="Times New Roman" w:cs="Times New Roman"/>
          <w:color w:val="000000" w:themeColor="text1"/>
          <w:sz w:val="24"/>
          <w:szCs w:val="24"/>
        </w:rPr>
        <w:t>La justicia transicional es el conjunto de mecanismos legales, políticos y sociales diseñados para afrontar crímenes de lesa humanidad y violaciones masivas de derechos humanos en contextos de transición de la guerra a la paz. Su objetivo no es solo castigar, sino también garantizar verdad, justicia, reparación y no repetición.</w:t>
      </w:r>
    </w:p>
    <w:p w14:paraId="61612451" w14:textId="77777777" w:rsidR="009B10A2" w:rsidRPr="009B10A2" w:rsidRDefault="009B10A2"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9B10A2">
        <w:rPr>
          <w:rFonts w:ascii="Times New Roman" w:eastAsia="Times New Roman" w:hAnsi="Times New Roman" w:cs="Times New Roman"/>
          <w:color w:val="000000" w:themeColor="text1"/>
          <w:sz w:val="24"/>
          <w:szCs w:val="24"/>
        </w:rPr>
        <w:t xml:space="preserve">En el caso de las AUC, la justicia transicional se centró en el componente judicial, con penas alternativas y confesiones como condición para acceder a beneficios penales. La Ley de Justicia y Paz promovió la creación de tribunales especiales, pero su implementación fue lenta y fragmentada. De los miles de desmovilizados, solo una fracción pasó por procesos judiciales, y muchas víctimas no fueron reparadas adecuadamente. Además, el enfoque punitivo no se </w:t>
      </w:r>
      <w:r w:rsidRPr="009B10A2">
        <w:rPr>
          <w:rFonts w:ascii="Times New Roman" w:eastAsia="Times New Roman" w:hAnsi="Times New Roman" w:cs="Times New Roman"/>
          <w:color w:val="000000" w:themeColor="text1"/>
          <w:sz w:val="24"/>
          <w:szCs w:val="24"/>
        </w:rPr>
        <w:lastRenderedPageBreak/>
        <w:t>acompañó de políticas efectivas de reintegración ni de garantías institucionales contra el reciclaje de la violencia.</w:t>
      </w:r>
    </w:p>
    <w:p w14:paraId="66BB1DB3" w14:textId="58C508C8" w:rsidR="009B10A2" w:rsidRPr="009B10A2" w:rsidRDefault="009B10A2"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9B10A2">
        <w:rPr>
          <w:rFonts w:ascii="Times New Roman" w:eastAsia="Times New Roman" w:hAnsi="Times New Roman" w:cs="Times New Roman"/>
          <w:color w:val="000000" w:themeColor="text1"/>
          <w:sz w:val="24"/>
          <w:szCs w:val="24"/>
        </w:rPr>
        <w:t>En cambio, el acuerdo con las FARC-EP dio lugar al Sistema Integral de Verdad, Justicia, Reparación y No Repetición, compuesto por la Jurisdicción Especial para la Paz (JEP), la Comisión para el Esclarecimiento de la Verdad, la Unidad de Búsqueda de Personas Desaparecidas y programas de reparación colectiva e individual. Este enfoque integró mecanismos judiciales y no judiciales, buscando un equilibrio entre castigo y reconciliación. La JEP, por ejemplo, otorga sanciones propias (no privativas de libertad en algunos casos) a quienes reconozcan responsabilidad de manera temprana y reparen a las víctimas. Aunque su implementación ha enfrentado críticas y desafíos, representa un modelo más avanzado de justicia transicional</w:t>
      </w:r>
      <w:r w:rsidR="00495DBA">
        <w:rPr>
          <w:rFonts w:ascii="Times New Roman" w:eastAsia="Times New Roman" w:hAnsi="Times New Roman" w:cs="Times New Roman"/>
          <w:color w:val="000000" w:themeColor="text1"/>
          <w:sz w:val="24"/>
          <w:szCs w:val="24"/>
        </w:rPr>
        <w:t xml:space="preserve"> (Ocampo, 2021).</w:t>
      </w:r>
    </w:p>
    <w:p w14:paraId="336F59E8" w14:textId="7A515488" w:rsidR="009B10A2" w:rsidRPr="00495DBA" w:rsidRDefault="00894BC7" w:rsidP="00495DBA">
      <w:pPr>
        <w:pStyle w:val="Prrafodelista"/>
        <w:numPr>
          <w:ilvl w:val="2"/>
          <w:numId w:val="8"/>
        </w:numPr>
        <w:shd w:val="clear" w:color="auto" w:fill="FFFFFF"/>
        <w:spacing w:after="0" w:line="480" w:lineRule="auto"/>
        <w:rPr>
          <w:rFonts w:ascii="Times New Roman" w:eastAsia="Times New Roman" w:hAnsi="Times New Roman" w:cs="Times New Roman"/>
          <w:i/>
          <w:iCs/>
          <w:color w:val="000000" w:themeColor="text1"/>
          <w:sz w:val="24"/>
          <w:szCs w:val="24"/>
        </w:rPr>
      </w:pPr>
      <w:r w:rsidRPr="00495DBA">
        <w:rPr>
          <w:rFonts w:ascii="Times New Roman" w:eastAsia="Times New Roman" w:hAnsi="Times New Roman" w:cs="Times New Roman"/>
          <w:i/>
          <w:iCs/>
          <w:color w:val="000000" w:themeColor="text1"/>
          <w:sz w:val="24"/>
          <w:szCs w:val="24"/>
        </w:rPr>
        <w:t xml:space="preserve">Abordaje de similitud y diferencia </w:t>
      </w:r>
    </w:p>
    <w:p w14:paraId="51D8F91D" w14:textId="77777777" w:rsidR="009B10A2" w:rsidRPr="009B10A2" w:rsidRDefault="009B10A2"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9B10A2">
        <w:rPr>
          <w:rFonts w:ascii="Times New Roman" w:eastAsia="Times New Roman" w:hAnsi="Times New Roman" w:cs="Times New Roman"/>
          <w:color w:val="000000" w:themeColor="text1"/>
          <w:sz w:val="24"/>
          <w:szCs w:val="24"/>
        </w:rPr>
        <w:t>Ambos procesos compartieron algunos elementos: la desmovilización de actores armados, la promesa de reinserción a la vida civil y el reconocimiento de la necesidad de verdad y reparación. Sin embargo, difieren en aspectos fundamentales. Las AUC negociaron como actores ilegales sin reconocimiento político, con una estructura federada e intereses criminales evidentes. Las FARC-EP, en cambio, fueron reconocidas como actor político insurgente y negociaron con vocación de transformación institucional.</w:t>
      </w:r>
    </w:p>
    <w:p w14:paraId="0BD9B397" w14:textId="14DA9FA4" w:rsidR="009B10A2" w:rsidRDefault="009B10A2"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9B10A2">
        <w:rPr>
          <w:rFonts w:ascii="Times New Roman" w:eastAsia="Times New Roman" w:hAnsi="Times New Roman" w:cs="Times New Roman"/>
          <w:color w:val="000000" w:themeColor="text1"/>
          <w:sz w:val="24"/>
          <w:szCs w:val="24"/>
        </w:rPr>
        <w:t>Mientras la justicia transicional para las AUC se limitó a una aplicación judicial fragmentaria y sin participación real de las víctimas, el modelo para las FARC-EP incorporó un enfoque más sistémico e incluyente, que además de sancionar, busca reconstruir el tejido social y promover garantías de no repetición</w:t>
      </w:r>
      <w:r w:rsidR="00495DBA">
        <w:rPr>
          <w:rFonts w:ascii="Times New Roman" w:eastAsia="Times New Roman" w:hAnsi="Times New Roman" w:cs="Times New Roman"/>
          <w:color w:val="000000" w:themeColor="text1"/>
          <w:sz w:val="24"/>
          <w:szCs w:val="24"/>
        </w:rPr>
        <w:t xml:space="preserve"> (Amado, 2021). </w:t>
      </w:r>
    </w:p>
    <w:p w14:paraId="4CDAF0D6" w14:textId="77777777" w:rsidR="00495DBA" w:rsidRPr="009B10A2" w:rsidRDefault="00495DBA"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23A6D8A1" w14:textId="28E38A39" w:rsidR="009B10A2" w:rsidRPr="00894BC7" w:rsidRDefault="00894BC7" w:rsidP="009B10A2">
      <w:pPr>
        <w:shd w:val="clear" w:color="auto" w:fill="FFFFFF"/>
        <w:spacing w:after="0" w:line="480" w:lineRule="auto"/>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lastRenderedPageBreak/>
        <w:t xml:space="preserve">Tabla 1 </w:t>
      </w:r>
    </w:p>
    <w:p w14:paraId="2C82BA16" w14:textId="4818801C" w:rsidR="00894BC7" w:rsidRPr="00894BC7" w:rsidRDefault="00894BC7" w:rsidP="009B10A2">
      <w:pPr>
        <w:shd w:val="clear" w:color="auto" w:fill="FFFFFF"/>
        <w:spacing w:after="0" w:line="480" w:lineRule="auto"/>
        <w:rPr>
          <w:rFonts w:ascii="Times New Roman" w:eastAsia="Times New Roman" w:hAnsi="Times New Roman" w:cs="Times New Roman"/>
          <w:i/>
          <w:iCs/>
          <w:color w:val="000000" w:themeColor="text1"/>
          <w:sz w:val="24"/>
          <w:szCs w:val="24"/>
        </w:rPr>
      </w:pPr>
      <w:r w:rsidRPr="00894BC7">
        <w:rPr>
          <w:rFonts w:ascii="Times New Roman" w:eastAsia="Times New Roman" w:hAnsi="Times New Roman" w:cs="Times New Roman"/>
          <w:i/>
          <w:iCs/>
          <w:color w:val="000000" w:themeColor="text1"/>
          <w:sz w:val="24"/>
          <w:szCs w:val="24"/>
        </w:rPr>
        <w:t>Aspectos diferenciales entre el proceso de desmovilización AUC y FARC-EP</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35"/>
        <w:gridCol w:w="2851"/>
        <w:gridCol w:w="3964"/>
      </w:tblGrid>
      <w:tr w:rsidR="00894BC7" w:rsidRPr="00894BC7" w14:paraId="330DC587" w14:textId="77777777" w:rsidTr="00894BC7">
        <w:trPr>
          <w:tblHeader/>
          <w:tblCellSpacing w:w="15" w:type="dxa"/>
        </w:trPr>
        <w:tc>
          <w:tcPr>
            <w:tcW w:w="0" w:type="auto"/>
            <w:vAlign w:val="center"/>
            <w:hideMark/>
          </w:tcPr>
          <w:p w14:paraId="5A38AF60"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t>Aspecto</w:t>
            </w:r>
          </w:p>
        </w:tc>
        <w:tc>
          <w:tcPr>
            <w:tcW w:w="0" w:type="auto"/>
            <w:vAlign w:val="center"/>
            <w:hideMark/>
          </w:tcPr>
          <w:p w14:paraId="4BACD329"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t>AUC (2003-2006)</w:t>
            </w:r>
          </w:p>
        </w:tc>
        <w:tc>
          <w:tcPr>
            <w:tcW w:w="0" w:type="auto"/>
            <w:vAlign w:val="center"/>
            <w:hideMark/>
          </w:tcPr>
          <w:p w14:paraId="402DAB34"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t>FARC-EP (2012-2016)</w:t>
            </w:r>
          </w:p>
        </w:tc>
      </w:tr>
      <w:tr w:rsidR="00894BC7" w:rsidRPr="00894BC7" w14:paraId="54458839" w14:textId="77777777" w:rsidTr="00894BC7">
        <w:trPr>
          <w:tblCellSpacing w:w="15" w:type="dxa"/>
        </w:trPr>
        <w:tc>
          <w:tcPr>
            <w:tcW w:w="0" w:type="auto"/>
            <w:vAlign w:val="center"/>
            <w:hideMark/>
          </w:tcPr>
          <w:p w14:paraId="325FAB81"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Reconocimiento político</w:t>
            </w:r>
          </w:p>
        </w:tc>
        <w:tc>
          <w:tcPr>
            <w:tcW w:w="0" w:type="auto"/>
            <w:vAlign w:val="center"/>
            <w:hideMark/>
          </w:tcPr>
          <w:p w14:paraId="1B433714"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No</w:t>
            </w:r>
          </w:p>
        </w:tc>
        <w:tc>
          <w:tcPr>
            <w:tcW w:w="0" w:type="auto"/>
            <w:vAlign w:val="center"/>
            <w:hideMark/>
          </w:tcPr>
          <w:p w14:paraId="7CA4AB1E"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Sí</w:t>
            </w:r>
          </w:p>
        </w:tc>
      </w:tr>
      <w:tr w:rsidR="00894BC7" w:rsidRPr="00894BC7" w14:paraId="23DD8062" w14:textId="77777777" w:rsidTr="00894BC7">
        <w:trPr>
          <w:tblCellSpacing w:w="15" w:type="dxa"/>
        </w:trPr>
        <w:tc>
          <w:tcPr>
            <w:tcW w:w="0" w:type="auto"/>
            <w:vAlign w:val="center"/>
            <w:hideMark/>
          </w:tcPr>
          <w:p w14:paraId="0A87C2F5"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Marco legal</w:t>
            </w:r>
          </w:p>
        </w:tc>
        <w:tc>
          <w:tcPr>
            <w:tcW w:w="0" w:type="auto"/>
            <w:vAlign w:val="center"/>
            <w:hideMark/>
          </w:tcPr>
          <w:p w14:paraId="154EF916"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Ley 975 de 2005 (Justicia y Paz)</w:t>
            </w:r>
          </w:p>
        </w:tc>
        <w:tc>
          <w:tcPr>
            <w:tcW w:w="0" w:type="auto"/>
            <w:vAlign w:val="center"/>
            <w:hideMark/>
          </w:tcPr>
          <w:p w14:paraId="11B690CB"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Acuerdo de Paz (Sistema Integral de Justicia)</w:t>
            </w:r>
          </w:p>
        </w:tc>
      </w:tr>
      <w:tr w:rsidR="00894BC7" w:rsidRPr="00894BC7" w14:paraId="495CB2BC" w14:textId="77777777" w:rsidTr="00894BC7">
        <w:trPr>
          <w:tblCellSpacing w:w="15" w:type="dxa"/>
        </w:trPr>
        <w:tc>
          <w:tcPr>
            <w:tcW w:w="0" w:type="auto"/>
            <w:vAlign w:val="center"/>
            <w:hideMark/>
          </w:tcPr>
          <w:p w14:paraId="0392F1C4"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Supervisión internacional</w:t>
            </w:r>
          </w:p>
        </w:tc>
        <w:tc>
          <w:tcPr>
            <w:tcW w:w="0" w:type="auto"/>
            <w:vAlign w:val="center"/>
            <w:hideMark/>
          </w:tcPr>
          <w:p w14:paraId="3751AE97"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Limitada</w:t>
            </w:r>
          </w:p>
        </w:tc>
        <w:tc>
          <w:tcPr>
            <w:tcW w:w="0" w:type="auto"/>
            <w:vAlign w:val="center"/>
            <w:hideMark/>
          </w:tcPr>
          <w:p w14:paraId="53A3AE25"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ONU y otros organismos multilaterales</w:t>
            </w:r>
          </w:p>
        </w:tc>
      </w:tr>
      <w:tr w:rsidR="00894BC7" w:rsidRPr="00894BC7" w14:paraId="2F105EFA" w14:textId="77777777" w:rsidTr="00894BC7">
        <w:trPr>
          <w:tblCellSpacing w:w="15" w:type="dxa"/>
        </w:trPr>
        <w:tc>
          <w:tcPr>
            <w:tcW w:w="0" w:type="auto"/>
            <w:vAlign w:val="center"/>
            <w:hideMark/>
          </w:tcPr>
          <w:p w14:paraId="0441A25A"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Número de desmovilizados</w:t>
            </w:r>
          </w:p>
        </w:tc>
        <w:tc>
          <w:tcPr>
            <w:tcW w:w="0" w:type="auto"/>
            <w:vAlign w:val="center"/>
            <w:hideMark/>
          </w:tcPr>
          <w:p w14:paraId="64FE182E"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Aprox. 30.000</w:t>
            </w:r>
          </w:p>
        </w:tc>
        <w:tc>
          <w:tcPr>
            <w:tcW w:w="0" w:type="auto"/>
            <w:vAlign w:val="center"/>
            <w:hideMark/>
          </w:tcPr>
          <w:p w14:paraId="02F2937A"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Aprox. 13.000</w:t>
            </w:r>
          </w:p>
        </w:tc>
      </w:tr>
      <w:tr w:rsidR="00894BC7" w:rsidRPr="00894BC7" w14:paraId="705B1FDB" w14:textId="77777777" w:rsidTr="00894BC7">
        <w:trPr>
          <w:tblCellSpacing w:w="15" w:type="dxa"/>
        </w:trPr>
        <w:tc>
          <w:tcPr>
            <w:tcW w:w="0" w:type="auto"/>
            <w:vAlign w:val="center"/>
            <w:hideMark/>
          </w:tcPr>
          <w:p w14:paraId="22186462"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Mecanismo judicial</w:t>
            </w:r>
          </w:p>
        </w:tc>
        <w:tc>
          <w:tcPr>
            <w:tcW w:w="0" w:type="auto"/>
            <w:vAlign w:val="center"/>
            <w:hideMark/>
          </w:tcPr>
          <w:p w14:paraId="1CCFB9A1"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Tribunales especiales</w:t>
            </w:r>
          </w:p>
        </w:tc>
        <w:tc>
          <w:tcPr>
            <w:tcW w:w="0" w:type="auto"/>
            <w:vAlign w:val="center"/>
            <w:hideMark/>
          </w:tcPr>
          <w:p w14:paraId="6811078A"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Jurisdicción Especial para la Paz (JEP)</w:t>
            </w:r>
          </w:p>
        </w:tc>
      </w:tr>
      <w:tr w:rsidR="00894BC7" w:rsidRPr="00894BC7" w14:paraId="0391621B" w14:textId="77777777" w:rsidTr="00894BC7">
        <w:trPr>
          <w:tblCellSpacing w:w="15" w:type="dxa"/>
        </w:trPr>
        <w:tc>
          <w:tcPr>
            <w:tcW w:w="0" w:type="auto"/>
            <w:vAlign w:val="center"/>
            <w:hideMark/>
          </w:tcPr>
          <w:p w14:paraId="72E215E2"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Participación de víctimas</w:t>
            </w:r>
          </w:p>
        </w:tc>
        <w:tc>
          <w:tcPr>
            <w:tcW w:w="0" w:type="auto"/>
            <w:vAlign w:val="center"/>
            <w:hideMark/>
          </w:tcPr>
          <w:p w14:paraId="666E6CB8"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Mínima</w:t>
            </w:r>
          </w:p>
        </w:tc>
        <w:tc>
          <w:tcPr>
            <w:tcW w:w="0" w:type="auto"/>
            <w:vAlign w:val="center"/>
            <w:hideMark/>
          </w:tcPr>
          <w:p w14:paraId="354DC528"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Activa, en verdad y reparación</w:t>
            </w:r>
          </w:p>
        </w:tc>
      </w:tr>
      <w:tr w:rsidR="00894BC7" w:rsidRPr="00894BC7" w14:paraId="4BDEF377" w14:textId="77777777" w:rsidTr="00894BC7">
        <w:trPr>
          <w:tblCellSpacing w:w="15" w:type="dxa"/>
        </w:trPr>
        <w:tc>
          <w:tcPr>
            <w:tcW w:w="0" w:type="auto"/>
            <w:vAlign w:val="center"/>
            <w:hideMark/>
          </w:tcPr>
          <w:p w14:paraId="7B6D5FBA"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Reparación</w:t>
            </w:r>
          </w:p>
        </w:tc>
        <w:tc>
          <w:tcPr>
            <w:tcW w:w="0" w:type="auto"/>
            <w:vAlign w:val="center"/>
            <w:hideMark/>
          </w:tcPr>
          <w:p w14:paraId="2DFE4C12"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Parcial, limitada</w:t>
            </w:r>
          </w:p>
        </w:tc>
        <w:tc>
          <w:tcPr>
            <w:tcW w:w="0" w:type="auto"/>
            <w:vAlign w:val="center"/>
            <w:hideMark/>
          </w:tcPr>
          <w:p w14:paraId="0FB91ECA"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En curso, con enfoque integral</w:t>
            </w:r>
          </w:p>
        </w:tc>
      </w:tr>
      <w:tr w:rsidR="00894BC7" w:rsidRPr="00894BC7" w14:paraId="453A1EDB" w14:textId="77777777" w:rsidTr="00894BC7">
        <w:trPr>
          <w:tblCellSpacing w:w="15" w:type="dxa"/>
        </w:trPr>
        <w:tc>
          <w:tcPr>
            <w:tcW w:w="0" w:type="auto"/>
            <w:vAlign w:val="center"/>
            <w:hideMark/>
          </w:tcPr>
          <w:p w14:paraId="432EEC07"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Resultado</w:t>
            </w:r>
          </w:p>
        </w:tc>
        <w:tc>
          <w:tcPr>
            <w:tcW w:w="0" w:type="auto"/>
            <w:vAlign w:val="center"/>
            <w:hideMark/>
          </w:tcPr>
          <w:p w14:paraId="7A21B38A"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Bacrim, reciclaje del conflicto</w:t>
            </w:r>
          </w:p>
        </w:tc>
        <w:tc>
          <w:tcPr>
            <w:tcW w:w="0" w:type="auto"/>
            <w:vAlign w:val="center"/>
            <w:hideMark/>
          </w:tcPr>
          <w:p w14:paraId="79F19DA8" w14:textId="77777777" w:rsidR="00894BC7" w:rsidRPr="00894BC7" w:rsidRDefault="00894BC7" w:rsidP="00894BC7">
            <w:pPr>
              <w:shd w:val="clear" w:color="auto" w:fill="FFFFFF"/>
              <w:spacing w:after="0" w:line="240" w:lineRule="auto"/>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Transformación en partido político</w:t>
            </w:r>
          </w:p>
        </w:tc>
      </w:tr>
    </w:tbl>
    <w:p w14:paraId="2A659042" w14:textId="359C086B" w:rsidR="00894BC7" w:rsidRDefault="00894BC7" w:rsidP="066E4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66E4FC7">
        <w:rPr>
          <w:rFonts w:ascii="Times New Roman" w:eastAsia="Times New Roman" w:hAnsi="Times New Roman" w:cs="Times New Roman"/>
          <w:color w:val="000000" w:themeColor="text1"/>
          <w:sz w:val="24"/>
          <w:szCs w:val="24"/>
        </w:rPr>
        <w:t xml:space="preserve">Nota. </w:t>
      </w:r>
      <w:r w:rsidR="011518E2" w:rsidRPr="066E4FC7">
        <w:rPr>
          <w:rFonts w:ascii="Times New Roman" w:eastAsia="Times New Roman" w:hAnsi="Times New Roman" w:cs="Times New Roman"/>
          <w:color w:val="000000" w:themeColor="text1"/>
          <w:sz w:val="24"/>
          <w:szCs w:val="24"/>
        </w:rPr>
        <w:t>Información relacionada con la revisión documental de trabajos investigados, 2025.</w:t>
      </w:r>
      <w:r w:rsidRPr="066E4FC7">
        <w:rPr>
          <w:rFonts w:ascii="Times New Roman" w:eastAsia="Times New Roman" w:hAnsi="Times New Roman" w:cs="Times New Roman"/>
          <w:color w:val="000000" w:themeColor="text1"/>
          <w:sz w:val="24"/>
          <w:szCs w:val="24"/>
        </w:rPr>
        <w:t xml:space="preserve"> </w:t>
      </w:r>
    </w:p>
    <w:p w14:paraId="0006C989" w14:textId="77777777" w:rsidR="00894BC7" w:rsidRDefault="00894BC7" w:rsidP="00894BC7">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645B7A48" w14:textId="77777777" w:rsidR="00894BC7" w:rsidRDefault="00894BC7" w:rsidP="00894BC7">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795D8140" w14:textId="77777777" w:rsidR="00894BC7" w:rsidRPr="00894BC7" w:rsidRDefault="00894BC7"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El abordaje de la justicia transicional en Colombia ha estado marcado por aciertos y errores. El proceso con las AUC reveló las limitaciones de un enfoque centrado únicamente en lo judicial, sin estructuras sólidas para la verdad, la reparación ni la reintegración. Por el contrario, el proceso con las FARC-EP, aunque aún enfrenta muchos retos en su implementación, ofrece un marco más completo y participativo, que reconoce el papel central de las víctimas y apuesta por la transformación estructural de las causas del conflicto.</w:t>
      </w:r>
    </w:p>
    <w:p w14:paraId="5291EA45" w14:textId="5FC5E80E" w:rsidR="00894BC7" w:rsidRDefault="00894BC7" w:rsidP="00894BC7">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Ambas experiencias constituyen lecciones cruciales para el futuro de la paz en Colombia. Superar las deficiencias, fortalecer las instituciones y garantizar que la justicia transicional se traduzca en cambios reales para las comunidades afectadas sigue siendo una deuda pendiente del Estado colombiano</w:t>
      </w:r>
    </w:p>
    <w:p w14:paraId="093F7240" w14:textId="77777777" w:rsidR="00894BC7" w:rsidRDefault="00894BC7" w:rsidP="00894BC7">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66EDAF9F" w14:textId="77777777" w:rsidR="00894BC7" w:rsidRDefault="00894BC7" w:rsidP="00894BC7">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4A2629DE" w14:textId="77777777" w:rsidR="00894BC7" w:rsidRDefault="00894BC7" w:rsidP="00894BC7">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313374B8" w14:textId="60021538" w:rsidR="00CC3E9B" w:rsidRPr="003A72E3" w:rsidRDefault="00CC3E9B" w:rsidP="003A72E3">
      <w:pPr>
        <w:pStyle w:val="Prrafodelista"/>
        <w:numPr>
          <w:ilvl w:val="1"/>
          <w:numId w:val="8"/>
        </w:numPr>
        <w:spacing w:after="0" w:line="480" w:lineRule="auto"/>
        <w:ind w:left="0" w:firstLine="720"/>
        <w:outlineLvl w:val="1"/>
        <w:rPr>
          <w:rFonts w:ascii="Times New Roman" w:hAnsi="Times New Roman" w:cs="Times New Roman"/>
          <w:b/>
          <w:bCs/>
          <w:i/>
          <w:iCs/>
          <w:color w:val="000000" w:themeColor="text1"/>
          <w:sz w:val="24"/>
          <w:szCs w:val="24"/>
        </w:rPr>
      </w:pPr>
      <w:bookmarkStart w:id="18" w:name="_Toc232457394"/>
      <w:r w:rsidRPr="003A72E3">
        <w:rPr>
          <w:rFonts w:ascii="Times New Roman" w:hAnsi="Times New Roman" w:cs="Times New Roman"/>
          <w:b/>
          <w:bCs/>
          <w:i/>
          <w:iCs/>
          <w:color w:val="000000" w:themeColor="text1"/>
          <w:sz w:val="24"/>
          <w:szCs w:val="24"/>
        </w:rPr>
        <w:lastRenderedPageBreak/>
        <w:t xml:space="preserve">Marco </w:t>
      </w:r>
      <w:r w:rsidR="00384D8B" w:rsidRPr="003A72E3">
        <w:rPr>
          <w:rFonts w:ascii="Times New Roman" w:hAnsi="Times New Roman" w:cs="Times New Roman"/>
          <w:b/>
          <w:bCs/>
          <w:i/>
          <w:iCs/>
          <w:color w:val="000000" w:themeColor="text1"/>
          <w:sz w:val="24"/>
          <w:szCs w:val="24"/>
        </w:rPr>
        <w:t>N</w:t>
      </w:r>
      <w:r w:rsidRPr="003A72E3">
        <w:rPr>
          <w:rFonts w:ascii="Times New Roman" w:hAnsi="Times New Roman" w:cs="Times New Roman"/>
          <w:b/>
          <w:bCs/>
          <w:i/>
          <w:iCs/>
          <w:color w:val="000000" w:themeColor="text1"/>
          <w:sz w:val="24"/>
          <w:szCs w:val="24"/>
        </w:rPr>
        <w:t>ormativo de la</w:t>
      </w:r>
      <w:r w:rsidR="00384D8B" w:rsidRPr="003A72E3">
        <w:rPr>
          <w:rFonts w:ascii="Times New Roman" w:hAnsi="Times New Roman" w:cs="Times New Roman"/>
          <w:b/>
          <w:bCs/>
          <w:i/>
          <w:iCs/>
          <w:color w:val="000000" w:themeColor="text1"/>
          <w:sz w:val="24"/>
          <w:szCs w:val="24"/>
        </w:rPr>
        <w:t xml:space="preserve"> J</w:t>
      </w:r>
      <w:r w:rsidRPr="003A72E3">
        <w:rPr>
          <w:rFonts w:ascii="Times New Roman" w:hAnsi="Times New Roman" w:cs="Times New Roman"/>
          <w:b/>
          <w:bCs/>
          <w:i/>
          <w:iCs/>
          <w:color w:val="000000" w:themeColor="text1"/>
          <w:sz w:val="24"/>
          <w:szCs w:val="24"/>
        </w:rPr>
        <w:t xml:space="preserve">usticia </w:t>
      </w:r>
      <w:r w:rsidR="00384D8B" w:rsidRPr="003A72E3">
        <w:rPr>
          <w:rFonts w:ascii="Times New Roman" w:hAnsi="Times New Roman" w:cs="Times New Roman"/>
          <w:b/>
          <w:bCs/>
          <w:i/>
          <w:iCs/>
          <w:color w:val="000000" w:themeColor="text1"/>
          <w:sz w:val="24"/>
          <w:szCs w:val="24"/>
        </w:rPr>
        <w:t>T</w:t>
      </w:r>
      <w:r w:rsidRPr="003A72E3">
        <w:rPr>
          <w:rFonts w:ascii="Times New Roman" w:hAnsi="Times New Roman" w:cs="Times New Roman"/>
          <w:b/>
          <w:bCs/>
          <w:i/>
          <w:iCs/>
          <w:color w:val="000000" w:themeColor="text1"/>
          <w:sz w:val="24"/>
          <w:szCs w:val="24"/>
        </w:rPr>
        <w:t xml:space="preserve">ransicional </w:t>
      </w:r>
      <w:r w:rsidR="00384D8B" w:rsidRPr="003A72E3">
        <w:rPr>
          <w:rFonts w:ascii="Times New Roman" w:hAnsi="Times New Roman" w:cs="Times New Roman"/>
          <w:b/>
          <w:bCs/>
          <w:i/>
          <w:iCs/>
          <w:color w:val="000000" w:themeColor="text1"/>
          <w:sz w:val="24"/>
          <w:szCs w:val="24"/>
        </w:rPr>
        <w:t>C</w:t>
      </w:r>
      <w:r w:rsidRPr="003A72E3">
        <w:rPr>
          <w:rFonts w:ascii="Times New Roman" w:hAnsi="Times New Roman" w:cs="Times New Roman"/>
          <w:b/>
          <w:bCs/>
          <w:i/>
          <w:iCs/>
          <w:color w:val="000000" w:themeColor="text1"/>
          <w:sz w:val="24"/>
          <w:szCs w:val="24"/>
        </w:rPr>
        <w:t xml:space="preserve">ontemplado en la Ley 975 de 2005 </w:t>
      </w:r>
      <w:r w:rsidR="00384D8B" w:rsidRPr="003A72E3">
        <w:rPr>
          <w:rFonts w:ascii="Times New Roman" w:hAnsi="Times New Roman" w:cs="Times New Roman"/>
          <w:b/>
          <w:bCs/>
          <w:i/>
          <w:iCs/>
          <w:color w:val="000000" w:themeColor="text1"/>
          <w:sz w:val="24"/>
          <w:szCs w:val="24"/>
        </w:rPr>
        <w:t>E</w:t>
      </w:r>
      <w:r w:rsidRPr="003A72E3">
        <w:rPr>
          <w:rFonts w:ascii="Times New Roman" w:hAnsi="Times New Roman" w:cs="Times New Roman"/>
          <w:b/>
          <w:bCs/>
          <w:i/>
          <w:iCs/>
          <w:color w:val="000000" w:themeColor="text1"/>
          <w:sz w:val="24"/>
          <w:szCs w:val="24"/>
        </w:rPr>
        <w:t>n Colombia.</w:t>
      </w:r>
      <w:bookmarkEnd w:id="18"/>
    </w:p>
    <w:p w14:paraId="1E117377" w14:textId="013EFD83"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La Ley 975 de 2005, conocida como la Ley de Justicia y Paz, constituye uno de los pilares fundamentales del marco normativo de la justicia transicional en Colombia. Su promulgación marcó un intento del Estado colombiano por abordar las profundas heridas dejadas por décadas de conflicto armado, particularmente en el contexto de la desmovilización de las Autodefensas Unidas de Colombia (AUC). Esta legislación busca equilibrar la necesidad de alcanzar la paz con los principios de verdad, justicia, reparación y garantías de no repetición, que son esenciales para abordar las violaciones de derechos humanos y el sufrimiento de las víctimas</w:t>
      </w:r>
      <w:r w:rsidR="00830F6F">
        <w:rPr>
          <w:rFonts w:ascii="Times New Roman" w:hAnsi="Times New Roman" w:cs="Times New Roman"/>
          <w:color w:val="000000" w:themeColor="text1"/>
          <w:sz w:val="24"/>
          <w:szCs w:val="24"/>
        </w:rPr>
        <w:t xml:space="preserve"> (Arias, et al., 2022). </w:t>
      </w:r>
    </w:p>
    <w:p w14:paraId="1E875C12" w14:textId="1412CFFE" w:rsidR="00CC3E9B" w:rsidRPr="00A15701" w:rsidRDefault="6F7CB13D"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El marco normativo de la Ley 975 de 2005 reconoce </w:t>
      </w:r>
      <w:r w:rsidR="00AF504E">
        <w:rPr>
          <w:rFonts w:ascii="Times New Roman" w:hAnsi="Times New Roman" w:cs="Times New Roman"/>
          <w:color w:val="000000" w:themeColor="text1"/>
          <w:sz w:val="24"/>
          <w:szCs w:val="24"/>
        </w:rPr>
        <w:t>Giraldo</w:t>
      </w:r>
      <w:r w:rsidRPr="0C33D2ED">
        <w:rPr>
          <w:rFonts w:ascii="Times New Roman" w:hAnsi="Times New Roman" w:cs="Times New Roman"/>
          <w:color w:val="000000" w:themeColor="text1"/>
          <w:sz w:val="24"/>
          <w:szCs w:val="24"/>
        </w:rPr>
        <w:t xml:space="preserve"> (202</w:t>
      </w:r>
      <w:r w:rsidR="00AF504E">
        <w:rPr>
          <w:rFonts w:ascii="Times New Roman" w:hAnsi="Times New Roman" w:cs="Times New Roman"/>
          <w:color w:val="000000" w:themeColor="text1"/>
          <w:sz w:val="24"/>
          <w:szCs w:val="24"/>
        </w:rPr>
        <w:t>1</w:t>
      </w:r>
      <w:r w:rsidRPr="0C33D2ED">
        <w:rPr>
          <w:rFonts w:ascii="Times New Roman" w:hAnsi="Times New Roman" w:cs="Times New Roman"/>
          <w:color w:val="000000" w:themeColor="text1"/>
          <w:sz w:val="24"/>
          <w:szCs w:val="24"/>
        </w:rPr>
        <w:t>) pretende facilitar la transición de grupos armados organizados al margen de la ley hacia la legalidad, estableciendo un régimen jurídico que permita su desmovilización y contribuir a la consolidación de la paz.</w:t>
      </w:r>
      <w:r w:rsidR="00CC3E9B" w:rsidRPr="0C33D2ED">
        <w:rPr>
          <w:rFonts w:ascii="Times New Roman" w:hAnsi="Times New Roman" w:cs="Times New Roman"/>
          <w:color w:val="000000" w:themeColor="text1"/>
          <w:sz w:val="24"/>
          <w:szCs w:val="24"/>
        </w:rPr>
        <w:t xml:space="preserve"> </w:t>
      </w:r>
      <w:r w:rsidR="58CCE487" w:rsidRPr="0C33D2ED">
        <w:rPr>
          <w:rFonts w:ascii="Times New Roman" w:hAnsi="Times New Roman" w:cs="Times New Roman"/>
          <w:color w:val="000000" w:themeColor="text1"/>
          <w:sz w:val="24"/>
          <w:szCs w:val="24"/>
        </w:rPr>
        <w:t>Para ello, ofrece beneficios jurídicos significativos a los miembros de estos grupos participantes en el proceso, si cumplen con los requisitos establecidos, como confesar sus crímenes y colaborar con las autoridades judiciales para aclarar la verdad.</w:t>
      </w:r>
      <w:r w:rsidR="00CC3E9B" w:rsidRPr="0C33D2ED">
        <w:rPr>
          <w:rFonts w:ascii="Times New Roman" w:hAnsi="Times New Roman" w:cs="Times New Roman"/>
          <w:color w:val="000000" w:themeColor="text1"/>
          <w:sz w:val="24"/>
          <w:szCs w:val="24"/>
        </w:rPr>
        <w:t xml:space="preserve"> Sin embargo, este enfoque plantea un desafío intrínseco: cómo garantizar justicia para las víctimas mientras se otorgan beneficios a los perpetradores de graves violaciones de derechos humanos</w:t>
      </w:r>
      <w:r w:rsidR="00495DBA">
        <w:rPr>
          <w:rFonts w:ascii="Times New Roman" w:hAnsi="Times New Roman" w:cs="Times New Roman"/>
          <w:color w:val="000000" w:themeColor="text1"/>
          <w:sz w:val="24"/>
          <w:szCs w:val="24"/>
        </w:rPr>
        <w:t xml:space="preserve"> (Aponte, et al., 2022). </w:t>
      </w:r>
    </w:p>
    <w:p w14:paraId="49E3EF16" w14:textId="77777777"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La Ley establece un marco procedimental para procesar y sancionar a los desmovilizados que se acojan a sus disposiciones. En este contexto, se crean instrumentos específicos, como las versiones libres, que son declaraciones voluntarias en las cuales los desmovilizados confiesan los crímenes cometidos durante su pertenencia al grupo armado. Este mecanismo no solo busca esclarecer la verdad sobre lo sucedido, sino también brindar a las víctimas la posibilidad de </w:t>
      </w:r>
      <w:r w:rsidRPr="00A15701">
        <w:rPr>
          <w:rFonts w:ascii="Times New Roman" w:hAnsi="Times New Roman" w:cs="Times New Roman"/>
          <w:color w:val="000000" w:themeColor="text1"/>
          <w:sz w:val="24"/>
          <w:szCs w:val="24"/>
        </w:rPr>
        <w:lastRenderedPageBreak/>
        <w:t>conocer las circunstancias en que ocurrieron los hechos, identificar a los responsables y acceder a la reparación. Es precisamente en este punto donde el marco normativo de la Ley refleja su dimensión restaurativa, al reconocer el papel central de las víctimas en el proceso de justicia transicional.</w:t>
      </w:r>
    </w:p>
    <w:p w14:paraId="485802F2" w14:textId="1F307175"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Uno de los elementos más controvertidos de la Ley 975 de 2005 </w:t>
      </w:r>
      <w:r w:rsidR="00894BC7">
        <w:rPr>
          <w:rFonts w:ascii="Times New Roman" w:hAnsi="Times New Roman" w:cs="Times New Roman"/>
          <w:color w:val="000000" w:themeColor="text1"/>
          <w:sz w:val="24"/>
          <w:szCs w:val="24"/>
        </w:rPr>
        <w:t xml:space="preserve">tal como lo reconoce García (2022) </w:t>
      </w:r>
      <w:r w:rsidRPr="0C33D2ED">
        <w:rPr>
          <w:rFonts w:ascii="Times New Roman" w:hAnsi="Times New Roman" w:cs="Times New Roman"/>
          <w:color w:val="000000" w:themeColor="text1"/>
          <w:sz w:val="24"/>
          <w:szCs w:val="24"/>
        </w:rPr>
        <w:t xml:space="preserve">es la reducción de penas. </w:t>
      </w:r>
      <w:r w:rsidR="752F04B7" w:rsidRPr="0C33D2ED">
        <w:rPr>
          <w:rFonts w:ascii="Times New Roman" w:hAnsi="Times New Roman" w:cs="Times New Roman"/>
          <w:color w:val="000000" w:themeColor="text1"/>
          <w:sz w:val="24"/>
          <w:szCs w:val="24"/>
        </w:rPr>
        <w:t>Los desmovilizados con los requisitos estipulados pueden acceder a penas de privación de la libertad de entre cinco y ocho años, independientemente de la gravedad de los crímenes cometidos.</w:t>
      </w:r>
      <w:r w:rsidRPr="0C33D2ED">
        <w:rPr>
          <w:rFonts w:ascii="Times New Roman" w:hAnsi="Times New Roman" w:cs="Times New Roman"/>
          <w:color w:val="000000" w:themeColor="text1"/>
          <w:sz w:val="24"/>
          <w:szCs w:val="24"/>
        </w:rPr>
        <w:t xml:space="preserve"> </w:t>
      </w:r>
      <w:r w:rsidR="74324E90" w:rsidRPr="0C33D2ED">
        <w:rPr>
          <w:rFonts w:ascii="Times New Roman" w:hAnsi="Times New Roman" w:cs="Times New Roman"/>
          <w:color w:val="000000" w:themeColor="text1"/>
          <w:sz w:val="24"/>
          <w:szCs w:val="24"/>
        </w:rPr>
        <w:t>Este aspecto ha sido criticado tanto a nivel nacional como internacional, ya que algunos sectores consideran que no se cumple con el principio de proporcionalidad en las sanciones.</w:t>
      </w:r>
      <w:r w:rsidRPr="0C33D2ED">
        <w:rPr>
          <w:rFonts w:ascii="Times New Roman" w:hAnsi="Times New Roman" w:cs="Times New Roman"/>
          <w:color w:val="000000" w:themeColor="text1"/>
          <w:sz w:val="24"/>
          <w:szCs w:val="24"/>
        </w:rPr>
        <w:t xml:space="preserve"> No obstante, el Estado colombiano justificó esta medida argumentando que, sin un incentivo claro, los actores armados no estarían dispuestos a abandonar las armas y someterse a la justicia</w:t>
      </w:r>
      <w:r w:rsidR="00830F6F">
        <w:rPr>
          <w:rFonts w:ascii="Times New Roman" w:hAnsi="Times New Roman" w:cs="Times New Roman"/>
          <w:color w:val="000000" w:themeColor="text1"/>
          <w:sz w:val="24"/>
          <w:szCs w:val="24"/>
        </w:rPr>
        <w:t xml:space="preserve"> (Ceballos y Saiz, 2021). </w:t>
      </w:r>
    </w:p>
    <w:p w14:paraId="7375E397" w14:textId="77777777"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Otro componente clave de la Ley es el enfoque en la reparación integral a las víctimas. Este principio se articula en diversas formas, incluyendo la restitución de tierras, la compensación económica y las garantías de no repetición. El marco normativo establece que los desmovilizados deben contribuir a la reparación de las víctimas mediante la entrega de bienes obtenidos ilícitamente o utilizados durante el conflicto. A pesar de este compromiso, uno de los retos más significativos ha sido la identificación, recuperación y distribución efectiva de dichos bienes, lo que ha generado críticas sobre la capacidad del sistema para cumplir con este aspecto esencial.</w:t>
      </w:r>
    </w:p>
    <w:p w14:paraId="0CA9045B" w14:textId="081DDABE" w:rsidR="00CC3E9B" w:rsidRPr="00A15701" w:rsidRDefault="6E6C818C"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La Ley también inicia la verdad como dimensión esencial de la justicia transicional.</w:t>
      </w:r>
      <w:r w:rsidR="00CC3E9B" w:rsidRPr="0C33D2ED">
        <w:rPr>
          <w:rFonts w:ascii="Times New Roman" w:hAnsi="Times New Roman" w:cs="Times New Roman"/>
          <w:color w:val="000000" w:themeColor="text1"/>
          <w:sz w:val="24"/>
          <w:szCs w:val="24"/>
        </w:rPr>
        <w:t xml:space="preserve"> En este sentido, el marco normativo crea la Comisión Nacional de Reparación y Reconciliación (CNRR), una entidad encargada de promover la reconstrucción de la memoria histórica y la </w:t>
      </w:r>
      <w:r w:rsidR="00CC3E9B" w:rsidRPr="0C33D2ED">
        <w:rPr>
          <w:rFonts w:ascii="Times New Roman" w:hAnsi="Times New Roman" w:cs="Times New Roman"/>
          <w:color w:val="000000" w:themeColor="text1"/>
          <w:sz w:val="24"/>
          <w:szCs w:val="24"/>
        </w:rPr>
        <w:lastRenderedPageBreak/>
        <w:t>reconciliación entre las víctimas y los victimarios. Este enfoque refleja la intención del legislador de abordar no solo las consecuencias jurídicas del conflicto, sino también sus dimensiones sociales y culturales. Sin embargo, este esfuerzo ha enfrentado limitaciones en su implementación, ya sea por la falta de recursos, la resistencia de algunos sectores de la sociedad o las dificultades inherentes a la construcción de una narrativa colectiva en un país profundamente dividido</w:t>
      </w:r>
      <w:r w:rsidR="00894BC7">
        <w:rPr>
          <w:rFonts w:ascii="Times New Roman" w:hAnsi="Times New Roman" w:cs="Times New Roman"/>
          <w:color w:val="000000" w:themeColor="text1"/>
          <w:sz w:val="24"/>
          <w:szCs w:val="24"/>
        </w:rPr>
        <w:t>.</w:t>
      </w:r>
      <w:r w:rsidR="00E4019B" w:rsidRPr="0C33D2ED">
        <w:rPr>
          <w:rFonts w:ascii="Times New Roman" w:hAnsi="Times New Roman" w:cs="Times New Roman"/>
          <w:color w:val="000000" w:themeColor="text1"/>
          <w:sz w:val="24"/>
          <w:szCs w:val="24"/>
        </w:rPr>
        <w:t xml:space="preserve"> </w:t>
      </w:r>
    </w:p>
    <w:p w14:paraId="4B18CB22" w14:textId="3C6842D7" w:rsidR="00CC3E9B" w:rsidRPr="00A15701" w:rsidRDefault="33142BB2"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El marco normativo de la Ley 975 también se ha modificado y ajustado en el tiempo, como respuesta a los desafíos encontrados en su implementación y a las críticas de diversos actores.</w:t>
      </w:r>
      <w:r w:rsidR="00CC3E9B" w:rsidRPr="0C33D2ED">
        <w:rPr>
          <w:rFonts w:ascii="Times New Roman" w:hAnsi="Times New Roman" w:cs="Times New Roman"/>
          <w:color w:val="000000" w:themeColor="text1"/>
          <w:sz w:val="24"/>
          <w:szCs w:val="24"/>
        </w:rPr>
        <w:t xml:space="preserve"> Por ejemplo, en 2006, la Corte Constitucional, mediante la Sentencia C-370, analizó la constitucionalidad de varios de sus artículos y estableció parámetros adicionales para garantizar los derechos de las víctimas. Este fallo fortaleció la exigencia de verdad y reparación, limitó la aplicación de los beneficios penales y subrayó la necesidad de que los desmovilizados aporten información relevante sobre los crímenes cometidos y los bienes entregados.</w:t>
      </w:r>
    </w:p>
    <w:p w14:paraId="1135BA69" w14:textId="3DB2EF4B" w:rsidR="00CC3E9B" w:rsidRPr="00A15701" w:rsidRDefault="009A0794" w:rsidP="003A72E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Tal como lo evidencia el trabajo de López et al., (2022) e</w:t>
      </w:r>
      <w:r w:rsidR="00CC3E9B" w:rsidRPr="00A15701">
        <w:rPr>
          <w:rFonts w:ascii="Times New Roman" w:hAnsi="Times New Roman" w:cs="Times New Roman"/>
          <w:color w:val="000000" w:themeColor="text1"/>
          <w:sz w:val="24"/>
          <w:szCs w:val="24"/>
        </w:rPr>
        <w:t>l marco normativo de la Ley 975 también se inscribe dentro de los compromisos internacionales asumidos por Colombia en materia de derechos humanos y justicia transicional. Organismos como la Comisión Interamericana de Derechos Humanos (CIDH) y el sistema de las Naciones Unidas han seguido de cerca la implementación de esta legislación, formulando observaciones y recomendaciones. Estos actores han subrayado la importancia de que las medidas adoptadas sean compatibles con los estándares internacionales, especialmente en lo que respecta a la lucha contra la impunidad y la protección de los derechos de las víctimas</w:t>
      </w:r>
      <w:r w:rsidR="00830F6F">
        <w:rPr>
          <w:rFonts w:ascii="Times New Roman" w:hAnsi="Times New Roman" w:cs="Times New Roman"/>
          <w:color w:val="000000" w:themeColor="text1"/>
          <w:sz w:val="24"/>
          <w:szCs w:val="24"/>
        </w:rPr>
        <w:t xml:space="preserve"> (Flores y Villareal. 2020). </w:t>
      </w:r>
    </w:p>
    <w:p w14:paraId="553D0691" w14:textId="5D2DDFC0"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En el ámbito práctico, la implementación de la Ley ha puesto de manifiesto tensiones significativas entre los distintos objetivos de la justicia transicional. Por un lado, la búsqueda de </w:t>
      </w:r>
      <w:r w:rsidRPr="00A15701">
        <w:rPr>
          <w:rFonts w:ascii="Times New Roman" w:hAnsi="Times New Roman" w:cs="Times New Roman"/>
          <w:color w:val="000000" w:themeColor="text1"/>
          <w:sz w:val="24"/>
          <w:szCs w:val="24"/>
        </w:rPr>
        <w:lastRenderedPageBreak/>
        <w:t>la paz requiere incentivos atractivos para los actores armados; por otro, las víctimas demandan justicia plena y reparación efectiva. Estas tensiones se han reflejado en el funcionamiento del sistema judicial, que ha tenido que lidiar con un volumen considerable de casos, una complejidad jurídica elevada y un contexto de inseguridad y violencia que persiste en algunas regiones del país</w:t>
      </w:r>
      <w:r w:rsidR="00894BC7">
        <w:rPr>
          <w:rFonts w:ascii="Times New Roman" w:hAnsi="Times New Roman" w:cs="Times New Roman"/>
          <w:color w:val="000000" w:themeColor="text1"/>
          <w:sz w:val="24"/>
          <w:szCs w:val="24"/>
        </w:rPr>
        <w:t>.</w:t>
      </w:r>
      <w:r w:rsidR="00DA3C11">
        <w:rPr>
          <w:rFonts w:ascii="Times New Roman" w:hAnsi="Times New Roman" w:cs="Times New Roman"/>
          <w:color w:val="000000" w:themeColor="text1"/>
          <w:sz w:val="24"/>
          <w:szCs w:val="24"/>
        </w:rPr>
        <w:t xml:space="preserve"> </w:t>
      </w:r>
    </w:p>
    <w:p w14:paraId="2131B9E6" w14:textId="01A58D72"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6DAF6575">
        <w:rPr>
          <w:rFonts w:ascii="Times New Roman" w:hAnsi="Times New Roman" w:cs="Times New Roman"/>
          <w:color w:val="000000" w:themeColor="text1"/>
          <w:sz w:val="24"/>
          <w:szCs w:val="24"/>
        </w:rPr>
        <w:t xml:space="preserve">Finalmente, el marco normativo de la Ley 975 de 2005 constituye una expresión de la voluntad del Estado colombiano por abordar de manera integral las secuelas del conflicto armado. A pesar de las limitaciones y desafíos en su implementación, la Ley ha generado importantes avances en términos de desmovilización, reconstrucción de la verdad y </w:t>
      </w:r>
      <w:r w:rsidR="34525F94" w:rsidRPr="6DAF6575">
        <w:rPr>
          <w:rFonts w:ascii="Times New Roman" w:hAnsi="Times New Roman" w:cs="Times New Roman"/>
          <w:color w:val="000000" w:themeColor="text1"/>
          <w:sz w:val="24"/>
          <w:szCs w:val="24"/>
        </w:rPr>
        <w:t>visibilizarían</w:t>
      </w:r>
      <w:r w:rsidRPr="6DAF6575">
        <w:rPr>
          <w:rFonts w:ascii="Times New Roman" w:hAnsi="Times New Roman" w:cs="Times New Roman"/>
          <w:color w:val="000000" w:themeColor="text1"/>
          <w:sz w:val="24"/>
          <w:szCs w:val="24"/>
        </w:rPr>
        <w:t xml:space="preserve"> de las víctimas. </w:t>
      </w:r>
      <w:r w:rsidR="2A42F34E" w:rsidRPr="6DAF6575">
        <w:rPr>
          <w:rFonts w:ascii="Times New Roman" w:hAnsi="Times New Roman" w:cs="Times New Roman"/>
          <w:color w:val="000000" w:themeColor="text1"/>
          <w:sz w:val="24"/>
          <w:szCs w:val="24"/>
        </w:rPr>
        <w:t>Su impacto debe evaluarse en el contexto del proceso de paz y los esfuerzos posteriores, como el acuerdo firmado con las FARC-EP en 2016, que creó el Sistema Integral de Verdad, Justicia, Reparación y No Repetición</w:t>
      </w:r>
      <w:r w:rsidR="00830F6F">
        <w:rPr>
          <w:rFonts w:ascii="Times New Roman" w:hAnsi="Times New Roman" w:cs="Times New Roman"/>
          <w:color w:val="000000" w:themeColor="text1"/>
          <w:sz w:val="24"/>
          <w:szCs w:val="24"/>
        </w:rPr>
        <w:t xml:space="preserve"> (Aponte y Llano, 2022). </w:t>
      </w:r>
    </w:p>
    <w:p w14:paraId="0BB58280" w14:textId="23110AED" w:rsidR="00CC3E9B" w:rsidRDefault="001A5957" w:rsidP="003A72E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Tal como lo reconoce Osorio y Satizabal (2020)</w:t>
      </w:r>
      <w:r w:rsidR="00CC3E9B" w:rsidRPr="00A15701">
        <w:rPr>
          <w:rFonts w:ascii="Times New Roman" w:hAnsi="Times New Roman" w:cs="Times New Roman"/>
          <w:color w:val="000000" w:themeColor="text1"/>
          <w:sz w:val="24"/>
          <w:szCs w:val="24"/>
        </w:rPr>
        <w:t xml:space="preserve"> Ley 975 de 2005 representa un intento audaz, aunque imperfecto, de equilibrar las demandas de paz y justicia en un contexto de violencia prolongada. Su marco normativo ofrece una base para la transición de los actores armados hacia la legalidad, al tiempo que busca atender las necesidades y derechos de las víctimas. Sin embargo, su implementación ha evidenciado los retos inherentes a la justicia transicional, especialmente en un país con profundas desigualdades y divisiones sociales. La experiencia de esta Ley subraya la importancia de diseñar mecanismos flexibles, inclusivos y coherentes con los estándares internacionales, para que la justicia transicional pueda cumplir su doble misión de sanar las heridas del pasado y construir un futuro más justo y pacífico</w:t>
      </w:r>
      <w:r w:rsidR="00830F6F">
        <w:rPr>
          <w:rFonts w:ascii="Times New Roman" w:hAnsi="Times New Roman" w:cs="Times New Roman"/>
          <w:color w:val="000000" w:themeColor="text1"/>
          <w:sz w:val="24"/>
          <w:szCs w:val="24"/>
        </w:rPr>
        <w:t xml:space="preserve"> (Arias, 2020). </w:t>
      </w:r>
    </w:p>
    <w:p w14:paraId="0E3E4FA2" w14:textId="77777777" w:rsidR="00894BC7" w:rsidRPr="00A15701" w:rsidRDefault="00894BC7" w:rsidP="003A72E3">
      <w:pPr>
        <w:spacing w:after="0" w:line="480" w:lineRule="auto"/>
        <w:ind w:firstLine="720"/>
        <w:rPr>
          <w:rFonts w:ascii="Times New Roman" w:hAnsi="Times New Roman" w:cs="Times New Roman"/>
          <w:color w:val="000000" w:themeColor="text1"/>
          <w:sz w:val="24"/>
          <w:szCs w:val="24"/>
        </w:rPr>
      </w:pPr>
    </w:p>
    <w:p w14:paraId="63A120DC" w14:textId="27CB4F3D" w:rsidR="00CC3E9B" w:rsidRPr="003A72E3" w:rsidRDefault="00CC3E9B" w:rsidP="003A72E3">
      <w:pPr>
        <w:pStyle w:val="Prrafodelista"/>
        <w:numPr>
          <w:ilvl w:val="1"/>
          <w:numId w:val="8"/>
        </w:numPr>
        <w:spacing w:after="0" w:line="480" w:lineRule="auto"/>
        <w:ind w:left="0" w:firstLine="720"/>
        <w:outlineLvl w:val="1"/>
        <w:rPr>
          <w:rFonts w:ascii="Times New Roman" w:hAnsi="Times New Roman" w:cs="Times New Roman"/>
          <w:b/>
          <w:bCs/>
          <w:i/>
          <w:iCs/>
          <w:color w:val="000000" w:themeColor="text1"/>
          <w:sz w:val="24"/>
          <w:szCs w:val="24"/>
        </w:rPr>
      </w:pPr>
      <w:bookmarkStart w:id="19" w:name="_Toc232457395"/>
      <w:r w:rsidRPr="003A72E3">
        <w:rPr>
          <w:rFonts w:ascii="Times New Roman" w:hAnsi="Times New Roman" w:cs="Times New Roman"/>
          <w:b/>
          <w:bCs/>
          <w:i/>
          <w:iCs/>
          <w:color w:val="000000" w:themeColor="text1"/>
          <w:sz w:val="24"/>
          <w:szCs w:val="24"/>
        </w:rPr>
        <w:lastRenderedPageBreak/>
        <w:t xml:space="preserve">Marco </w:t>
      </w:r>
      <w:r w:rsidR="00384D8B" w:rsidRPr="003A72E3">
        <w:rPr>
          <w:rFonts w:ascii="Times New Roman" w:hAnsi="Times New Roman" w:cs="Times New Roman"/>
          <w:b/>
          <w:bCs/>
          <w:i/>
          <w:iCs/>
          <w:color w:val="000000" w:themeColor="text1"/>
          <w:sz w:val="24"/>
          <w:szCs w:val="24"/>
        </w:rPr>
        <w:t>N</w:t>
      </w:r>
      <w:r w:rsidRPr="003A72E3">
        <w:rPr>
          <w:rFonts w:ascii="Times New Roman" w:hAnsi="Times New Roman" w:cs="Times New Roman"/>
          <w:b/>
          <w:bCs/>
          <w:i/>
          <w:iCs/>
          <w:color w:val="000000" w:themeColor="text1"/>
          <w:sz w:val="24"/>
          <w:szCs w:val="24"/>
        </w:rPr>
        <w:t>ormativo de la</w:t>
      </w:r>
      <w:r w:rsidR="00384D8B" w:rsidRPr="003A72E3">
        <w:rPr>
          <w:rFonts w:ascii="Times New Roman" w:hAnsi="Times New Roman" w:cs="Times New Roman"/>
          <w:b/>
          <w:bCs/>
          <w:i/>
          <w:iCs/>
          <w:color w:val="000000" w:themeColor="text1"/>
          <w:sz w:val="24"/>
          <w:szCs w:val="24"/>
        </w:rPr>
        <w:t xml:space="preserve"> J</w:t>
      </w:r>
      <w:r w:rsidRPr="003A72E3">
        <w:rPr>
          <w:rFonts w:ascii="Times New Roman" w:hAnsi="Times New Roman" w:cs="Times New Roman"/>
          <w:b/>
          <w:bCs/>
          <w:i/>
          <w:iCs/>
          <w:color w:val="000000" w:themeColor="text1"/>
          <w:sz w:val="24"/>
          <w:szCs w:val="24"/>
        </w:rPr>
        <w:t xml:space="preserve">usticia </w:t>
      </w:r>
      <w:r w:rsidR="00384D8B" w:rsidRPr="003A72E3">
        <w:rPr>
          <w:rFonts w:ascii="Times New Roman" w:hAnsi="Times New Roman" w:cs="Times New Roman"/>
          <w:b/>
          <w:bCs/>
          <w:i/>
          <w:iCs/>
          <w:color w:val="000000" w:themeColor="text1"/>
          <w:sz w:val="24"/>
          <w:szCs w:val="24"/>
        </w:rPr>
        <w:t>T</w:t>
      </w:r>
      <w:r w:rsidRPr="003A72E3">
        <w:rPr>
          <w:rFonts w:ascii="Times New Roman" w:hAnsi="Times New Roman" w:cs="Times New Roman"/>
          <w:b/>
          <w:bCs/>
          <w:i/>
          <w:iCs/>
          <w:color w:val="000000" w:themeColor="text1"/>
          <w:sz w:val="24"/>
          <w:szCs w:val="24"/>
        </w:rPr>
        <w:t xml:space="preserve">ransicional contemplada en la Ley </w:t>
      </w:r>
      <w:r w:rsidR="00877D84">
        <w:rPr>
          <w:rFonts w:ascii="Times New Roman" w:hAnsi="Times New Roman" w:cs="Times New Roman"/>
          <w:b/>
          <w:bCs/>
          <w:i/>
          <w:iCs/>
          <w:color w:val="000000" w:themeColor="text1"/>
          <w:sz w:val="24"/>
          <w:szCs w:val="24"/>
        </w:rPr>
        <w:t>1592 del 2012</w:t>
      </w:r>
      <w:r w:rsidRPr="003A72E3">
        <w:rPr>
          <w:rFonts w:ascii="Times New Roman" w:hAnsi="Times New Roman" w:cs="Times New Roman"/>
          <w:b/>
          <w:bCs/>
          <w:i/>
          <w:iCs/>
          <w:color w:val="000000" w:themeColor="text1"/>
          <w:sz w:val="24"/>
          <w:szCs w:val="24"/>
        </w:rPr>
        <w:t xml:space="preserve"> en Colombia.</w:t>
      </w:r>
      <w:bookmarkEnd w:id="19"/>
    </w:p>
    <w:p w14:paraId="37767908" w14:textId="7B1A8191" w:rsidR="00CC3E9B" w:rsidRPr="00894BC7" w:rsidRDefault="00877D84" w:rsidP="003A72E3">
      <w:pPr>
        <w:spacing w:after="0" w:line="480" w:lineRule="auto"/>
        <w:ind w:firstLine="720"/>
        <w:rPr>
          <w:rFonts w:ascii="Times New Roman" w:hAnsi="Times New Roman" w:cs="Times New Roman"/>
          <w:color w:val="000000" w:themeColor="text1"/>
          <w:sz w:val="24"/>
          <w:szCs w:val="24"/>
        </w:rPr>
      </w:pPr>
      <w:r w:rsidRPr="00877D84">
        <w:rPr>
          <w:rFonts w:ascii="Times New Roman" w:hAnsi="Times New Roman" w:cs="Times New Roman"/>
          <w:color w:val="000000" w:themeColor="text1"/>
          <w:sz w:val="24"/>
          <w:szCs w:val="24"/>
        </w:rPr>
        <w:t>La Ley 1592 del 3 de diciembre de 2012, introdujo una reforma sustancial al sistema de justicia transicional diseñado en la Ley 975 de 2005, “Ley de Justicia y Paz”</w:t>
      </w:r>
      <w:r w:rsidR="00CC3E9B" w:rsidRPr="00A15701">
        <w:rPr>
          <w:rFonts w:ascii="Times New Roman" w:hAnsi="Times New Roman" w:cs="Times New Roman"/>
          <w:color w:val="000000" w:themeColor="text1"/>
          <w:sz w:val="24"/>
          <w:szCs w:val="24"/>
        </w:rPr>
        <w:t xml:space="preserve"> representa un elemento central en el marco normativo de la justicia transicional en Colombia, diseñada específicamente para implementar los compromisos asumidos en el Acuerdo Final de Paz firmado en 2016 entre el Gobierno colombiano y las Fuerzas Armadas Revolucionarias de Colombia - Ejército del Pueblo (FARC-EP). Este marco normativo regula el funcionamiento de la JEP, como componente del Sistema Integral de Verdad, Justicia, Reparación y No Repetición (SIVJRNR), y busca garantizar los derechos de las víctimas, al tiempo que establece un equilibrio entre los principios de justicia, verdad, reparación y la </w:t>
      </w:r>
      <w:r w:rsidR="00CC3E9B" w:rsidRPr="00894BC7">
        <w:rPr>
          <w:rFonts w:ascii="Times New Roman" w:hAnsi="Times New Roman" w:cs="Times New Roman"/>
          <w:color w:val="000000" w:themeColor="text1"/>
          <w:sz w:val="24"/>
          <w:szCs w:val="24"/>
        </w:rPr>
        <w:t>búsqueda de la paz estable y duradera</w:t>
      </w:r>
      <w:r w:rsidR="00266033" w:rsidRPr="00894BC7">
        <w:rPr>
          <w:rFonts w:ascii="Times New Roman" w:hAnsi="Times New Roman" w:cs="Times New Roman"/>
          <w:color w:val="000000" w:themeColor="text1"/>
          <w:sz w:val="24"/>
          <w:szCs w:val="24"/>
        </w:rPr>
        <w:t xml:space="preserve"> </w:t>
      </w:r>
      <w:r w:rsidR="00495DBA">
        <w:rPr>
          <w:rFonts w:ascii="Times New Roman" w:hAnsi="Times New Roman" w:cs="Times New Roman"/>
          <w:color w:val="000000" w:themeColor="text1"/>
          <w:sz w:val="24"/>
          <w:szCs w:val="24"/>
        </w:rPr>
        <w:t xml:space="preserve">(Arias, 2020). </w:t>
      </w:r>
    </w:p>
    <w:p w14:paraId="570DEAF7" w14:textId="4E8F33F1" w:rsidR="00CC3E9B" w:rsidRPr="00A15701" w:rsidRDefault="00894BC7" w:rsidP="00894BC7">
      <w:pPr>
        <w:spacing w:after="0" w:line="480" w:lineRule="auto"/>
        <w:ind w:firstLine="720"/>
        <w:rPr>
          <w:rFonts w:ascii="Times New Roman" w:hAnsi="Times New Roman" w:cs="Times New Roman"/>
          <w:color w:val="000000" w:themeColor="text1"/>
          <w:sz w:val="24"/>
          <w:szCs w:val="24"/>
        </w:rPr>
      </w:pPr>
      <w:r w:rsidRPr="066E4FC7">
        <w:rPr>
          <w:rFonts w:ascii="Times New Roman" w:hAnsi="Times New Roman" w:cs="Times New Roman"/>
          <w:color w:val="000000" w:themeColor="text1"/>
          <w:sz w:val="24"/>
          <w:szCs w:val="24"/>
        </w:rPr>
        <w:t xml:space="preserve">Tal como lo </w:t>
      </w:r>
      <w:r w:rsidR="212E0A65" w:rsidRPr="066E4FC7">
        <w:rPr>
          <w:rFonts w:ascii="Times New Roman" w:hAnsi="Times New Roman" w:cs="Times New Roman"/>
          <w:color w:val="000000" w:themeColor="text1"/>
          <w:sz w:val="24"/>
          <w:szCs w:val="24"/>
        </w:rPr>
        <w:t>expone Valencia</w:t>
      </w:r>
      <w:r w:rsidRPr="066E4FC7">
        <w:rPr>
          <w:rFonts w:ascii="Times New Roman" w:hAnsi="Times New Roman" w:cs="Times New Roman"/>
          <w:color w:val="000000" w:themeColor="text1"/>
          <w:sz w:val="24"/>
          <w:szCs w:val="24"/>
        </w:rPr>
        <w:t xml:space="preserve"> y Chaverra (2021) e</w:t>
      </w:r>
      <w:r w:rsidR="00CC3E9B" w:rsidRPr="066E4FC7">
        <w:rPr>
          <w:rFonts w:ascii="Times New Roman" w:hAnsi="Times New Roman" w:cs="Times New Roman"/>
          <w:color w:val="000000" w:themeColor="text1"/>
          <w:sz w:val="24"/>
          <w:szCs w:val="24"/>
        </w:rPr>
        <w:t xml:space="preserve">l principal objetivo de la Ley </w:t>
      </w:r>
      <w:r w:rsidR="00877D84" w:rsidRPr="066E4FC7">
        <w:rPr>
          <w:rFonts w:ascii="Times New Roman" w:hAnsi="Times New Roman" w:cs="Times New Roman"/>
          <w:color w:val="000000" w:themeColor="text1"/>
          <w:sz w:val="24"/>
          <w:szCs w:val="24"/>
        </w:rPr>
        <w:t>1957</w:t>
      </w:r>
      <w:r w:rsidR="00CC3E9B" w:rsidRPr="066E4FC7">
        <w:rPr>
          <w:rFonts w:ascii="Times New Roman" w:hAnsi="Times New Roman" w:cs="Times New Roman"/>
          <w:color w:val="000000" w:themeColor="text1"/>
          <w:sz w:val="24"/>
          <w:szCs w:val="24"/>
        </w:rPr>
        <w:t xml:space="preserve"> de 2019 es establecer las reglas de procedimiento para la JEP, un tribunal creado para investigar, juzgar y sancionar los crímenes cometidos en el contexto del conflicto armado. Este sistema opera bajo un enfoque de justicia restaurativa, priorizando la participación de las víctimas y la reconstrucción del tejido social. </w:t>
      </w:r>
      <w:r w:rsidR="11AEE43B" w:rsidRPr="066E4FC7">
        <w:rPr>
          <w:rFonts w:ascii="Times New Roman" w:hAnsi="Times New Roman" w:cs="Times New Roman"/>
          <w:color w:val="000000" w:themeColor="text1"/>
          <w:sz w:val="24"/>
          <w:szCs w:val="24"/>
        </w:rPr>
        <w:t>La Ley articula las competencias, los procedimientos y los principios que rigen el trabajo de la JEP, y delimita su jurisdicción sobre los actores del conflicto, incluyendo excombatientes de las FARC-EP, agentes del Estado y terceros que hayan participado en actos relacionados con el conflicto armado.</w:t>
      </w:r>
    </w:p>
    <w:p w14:paraId="4BFBF560" w14:textId="69DB0E84" w:rsidR="00CC3E9B" w:rsidRPr="00A15701" w:rsidRDefault="0ECCC74D" w:rsidP="003A72E3">
      <w:pPr>
        <w:spacing w:after="0" w:line="480" w:lineRule="auto"/>
        <w:ind w:firstLine="720"/>
        <w:rPr>
          <w:rFonts w:ascii="Times New Roman" w:hAnsi="Times New Roman" w:cs="Times New Roman"/>
          <w:color w:val="000000" w:themeColor="text1"/>
          <w:sz w:val="24"/>
          <w:szCs w:val="24"/>
        </w:rPr>
      </w:pPr>
      <w:r w:rsidRPr="066E4FC7">
        <w:rPr>
          <w:rFonts w:ascii="Times New Roman" w:hAnsi="Times New Roman" w:cs="Times New Roman"/>
          <w:color w:val="000000" w:themeColor="text1"/>
          <w:sz w:val="24"/>
          <w:szCs w:val="24"/>
        </w:rPr>
        <w:t>Uno de los aspectos más destacados del marco normativo establecido por la Ley 1957 de 2019 es el tratamiento diferencial para los responsables, según su grado de participación en los crímenes y su disposición a colaborar con la justicia.</w:t>
      </w:r>
      <w:r w:rsidR="00CC3E9B" w:rsidRPr="066E4FC7">
        <w:rPr>
          <w:rFonts w:ascii="Times New Roman" w:hAnsi="Times New Roman" w:cs="Times New Roman"/>
          <w:color w:val="000000" w:themeColor="text1"/>
          <w:sz w:val="24"/>
          <w:szCs w:val="24"/>
        </w:rPr>
        <w:t xml:space="preserve"> En este sentido, la JEP ofrece incentivos, </w:t>
      </w:r>
      <w:r w:rsidR="00CC3E9B" w:rsidRPr="066E4FC7">
        <w:rPr>
          <w:rFonts w:ascii="Times New Roman" w:hAnsi="Times New Roman" w:cs="Times New Roman"/>
          <w:color w:val="000000" w:themeColor="text1"/>
          <w:sz w:val="24"/>
          <w:szCs w:val="24"/>
        </w:rPr>
        <w:lastRenderedPageBreak/>
        <w:t>como sanciones alternativas a la privación de la libertad, a quienes reconozcan plenamente su responsabilidad, contribuyan a esclarecer la verdad y participen activamente en la reparación de las víctimas. Este enfoque busca no solo garantizar la rendición de cuentas, sino también fomentar la reconciliación y la construcción de confianza entre las partes involucradas</w:t>
      </w:r>
      <w:r w:rsidR="00894BC7" w:rsidRPr="066E4FC7">
        <w:rPr>
          <w:rFonts w:ascii="Times New Roman" w:hAnsi="Times New Roman" w:cs="Times New Roman"/>
          <w:color w:val="000000" w:themeColor="text1"/>
          <w:sz w:val="24"/>
          <w:szCs w:val="24"/>
        </w:rPr>
        <w:t xml:space="preserve">. </w:t>
      </w:r>
    </w:p>
    <w:p w14:paraId="1C013014" w14:textId="1FEB982A"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C33D2ED">
        <w:rPr>
          <w:rFonts w:ascii="Times New Roman" w:hAnsi="Times New Roman" w:cs="Times New Roman"/>
          <w:color w:val="000000" w:themeColor="text1"/>
          <w:sz w:val="24"/>
          <w:szCs w:val="24"/>
        </w:rPr>
        <w:t xml:space="preserve">establece una serie de principios fundamentales que guían el funcionamiento de la JEP y, por ende, de la justicia transicional en Colombia. </w:t>
      </w:r>
      <w:r w:rsidR="58C3E837" w:rsidRPr="0C33D2ED">
        <w:rPr>
          <w:rFonts w:ascii="Times New Roman" w:hAnsi="Times New Roman" w:cs="Times New Roman"/>
          <w:color w:val="000000" w:themeColor="text1"/>
          <w:sz w:val="24"/>
          <w:szCs w:val="24"/>
        </w:rPr>
        <w:t>Entre ellos destacan el principio de centralidad de las víctimas, que reconoce su papel protagónico en el proceso; el de proporcionalidad, que garantiza que las sanciones aplicadas sean adecuadas a la gravedad de los delitos; y el de verdad plena, que obliga a los responsables a informar veraz y detalladamente sobre los hechos, sus causas y sus consecuencias.</w:t>
      </w:r>
      <w:r w:rsidRPr="0C33D2ED">
        <w:rPr>
          <w:rFonts w:ascii="Times New Roman" w:hAnsi="Times New Roman" w:cs="Times New Roman"/>
          <w:color w:val="000000" w:themeColor="text1"/>
          <w:sz w:val="24"/>
          <w:szCs w:val="24"/>
        </w:rPr>
        <w:t xml:space="preserve"> Estos principios están en consonancia con los estándares internacionales en materia de justicia transicional y derechos humanos</w:t>
      </w:r>
      <w:r w:rsidR="00830F6F">
        <w:rPr>
          <w:rFonts w:ascii="Times New Roman" w:hAnsi="Times New Roman" w:cs="Times New Roman"/>
          <w:color w:val="000000" w:themeColor="text1"/>
          <w:sz w:val="24"/>
          <w:szCs w:val="24"/>
        </w:rPr>
        <w:t xml:space="preserve"> (Valencia y Mondragón, 2021). </w:t>
      </w:r>
    </w:p>
    <w:p w14:paraId="749E3EB0" w14:textId="791ED53E"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En términos de competencias, el marco normativo de la Ley delimita los crímenes que pueden ser conocidos por la JEP, incluyendo los crímenes de guerra, los crímenes de lesa humanidad y otras graves violaciones de derechos humanos cometidas antes del 1 de diciembre de 2016. Este límite temporal refleja el propósito de la JEP de enfocarse exclusivamente en el conflicto armado y no en delitos comunes. Además, la Ley establece que los casos solo podrán ser juzgados en la JEP si no han sido objeto de una decisión judicial definitiva por parte de otras jurisdicciones, garantizando así el principio de no duplicidad de procesos</w:t>
      </w:r>
      <w:r w:rsidR="00495DBA">
        <w:rPr>
          <w:rFonts w:ascii="Times New Roman" w:hAnsi="Times New Roman" w:cs="Times New Roman"/>
          <w:color w:val="000000" w:themeColor="text1"/>
          <w:sz w:val="24"/>
          <w:szCs w:val="24"/>
        </w:rPr>
        <w:t xml:space="preserve"> (</w:t>
      </w:r>
      <w:r w:rsidR="00495DBA" w:rsidRPr="00495DBA">
        <w:rPr>
          <w:rFonts w:ascii="Times New Roman" w:hAnsi="Times New Roman" w:cs="Times New Roman"/>
          <w:color w:val="000000" w:themeColor="text1"/>
          <w:sz w:val="24"/>
          <w:szCs w:val="24"/>
        </w:rPr>
        <w:t>Van der Merwe,</w:t>
      </w:r>
      <w:r w:rsidR="00495DBA">
        <w:rPr>
          <w:rFonts w:ascii="Times New Roman" w:hAnsi="Times New Roman" w:cs="Times New Roman"/>
          <w:color w:val="000000" w:themeColor="text1"/>
          <w:sz w:val="24"/>
          <w:szCs w:val="24"/>
        </w:rPr>
        <w:t xml:space="preserve"> 2023). </w:t>
      </w:r>
    </w:p>
    <w:p w14:paraId="75D7D474" w14:textId="059C83F3"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Un elemento central de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C33D2ED">
        <w:rPr>
          <w:rFonts w:ascii="Times New Roman" w:hAnsi="Times New Roman" w:cs="Times New Roman"/>
          <w:color w:val="000000" w:themeColor="text1"/>
          <w:sz w:val="24"/>
          <w:szCs w:val="24"/>
        </w:rPr>
        <w:t xml:space="preserve">es la definición y aplicación de las sanciones propias de la JEP. </w:t>
      </w:r>
      <w:r w:rsidR="54FBDCDB" w:rsidRPr="0C33D2ED">
        <w:rPr>
          <w:rFonts w:ascii="Times New Roman" w:hAnsi="Times New Roman" w:cs="Times New Roman"/>
          <w:color w:val="000000" w:themeColor="text1"/>
          <w:sz w:val="24"/>
          <w:szCs w:val="24"/>
        </w:rPr>
        <w:t xml:space="preserve">Las sanciones tienen un enfoque reparador y restaurativo, en vez de punitivo, y se basan en la naturaleza de los actos cometidos, el nivel de responsabilidad y el grado de </w:t>
      </w:r>
      <w:r w:rsidR="54FBDCDB" w:rsidRPr="0C33D2ED">
        <w:rPr>
          <w:rFonts w:ascii="Times New Roman" w:hAnsi="Times New Roman" w:cs="Times New Roman"/>
          <w:color w:val="000000" w:themeColor="text1"/>
          <w:sz w:val="24"/>
          <w:szCs w:val="24"/>
        </w:rPr>
        <w:lastRenderedPageBreak/>
        <w:t>colaboración con la justicia.</w:t>
      </w:r>
      <w:r w:rsidRPr="0C33D2ED">
        <w:rPr>
          <w:rFonts w:ascii="Times New Roman" w:hAnsi="Times New Roman" w:cs="Times New Roman"/>
          <w:color w:val="000000" w:themeColor="text1"/>
          <w:sz w:val="24"/>
          <w:szCs w:val="24"/>
        </w:rPr>
        <w:t xml:space="preserve"> Por ejemplo, las sanciones más leves, como restricciones a la movilidad o trabajo comunitario, se aplican a quienes reconocen su responsabilidad de manera temprana y completa, mientras que las sanciones ordinarias, que incluyen penas privativas de la libertad, están reservadas para quienes niegan su participación o no contribuyen significativamente al esclarecimiento de la verdad</w:t>
      </w:r>
      <w:r w:rsidR="004306B9" w:rsidRPr="0C33D2ED">
        <w:rPr>
          <w:rFonts w:ascii="Times New Roman" w:hAnsi="Times New Roman" w:cs="Times New Roman"/>
          <w:color w:val="000000" w:themeColor="text1"/>
          <w:sz w:val="24"/>
          <w:szCs w:val="24"/>
        </w:rPr>
        <w:t xml:space="preserve"> (Van de Merwe, 2023). </w:t>
      </w:r>
    </w:p>
    <w:p w14:paraId="73FE6358" w14:textId="46797970" w:rsidR="00CC3E9B" w:rsidRPr="00A15701" w:rsidRDefault="00903354" w:rsidP="003A72E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Tal como lo reconoce </w:t>
      </w:r>
      <w:bookmarkStart w:id="20" w:name="_Hlk219296224"/>
      <w:r>
        <w:rPr>
          <w:rFonts w:ascii="Times New Roman" w:hAnsi="Times New Roman" w:cs="Times New Roman"/>
          <w:color w:val="000000" w:themeColor="text1"/>
          <w:sz w:val="24"/>
          <w:szCs w:val="24"/>
        </w:rPr>
        <w:t xml:space="preserve">Torres </w:t>
      </w:r>
      <w:bookmarkEnd w:id="20"/>
      <w:r>
        <w:rPr>
          <w:rFonts w:ascii="Times New Roman" w:hAnsi="Times New Roman" w:cs="Times New Roman"/>
          <w:color w:val="000000" w:themeColor="text1"/>
          <w:sz w:val="24"/>
          <w:szCs w:val="24"/>
        </w:rPr>
        <w:t xml:space="preserve">(2021) </w:t>
      </w:r>
      <w:r w:rsidR="009102AF">
        <w:rPr>
          <w:rFonts w:ascii="Times New Roman" w:hAnsi="Times New Roman" w:cs="Times New Roman"/>
          <w:color w:val="000000" w:themeColor="text1"/>
          <w:sz w:val="24"/>
          <w:szCs w:val="24"/>
        </w:rPr>
        <w:t xml:space="preserve">la </w:t>
      </w:r>
      <w:r w:rsidR="009102AF" w:rsidRPr="00A15701">
        <w:rPr>
          <w:rFonts w:ascii="Times New Roman" w:hAnsi="Times New Roman" w:cs="Times New Roman"/>
          <w:color w:val="000000" w:themeColor="text1"/>
          <w:sz w:val="24"/>
          <w:szCs w:val="24"/>
        </w:rPr>
        <w:t>Ley</w:t>
      </w:r>
      <w:r w:rsidR="00CC3E9B" w:rsidRPr="00A15701">
        <w:rPr>
          <w:rFonts w:ascii="Times New Roman" w:hAnsi="Times New Roman" w:cs="Times New Roman"/>
          <w:color w:val="000000" w:themeColor="text1"/>
          <w:sz w:val="24"/>
          <w:szCs w:val="24"/>
        </w:rPr>
        <w:t xml:space="preserve"> también establece disposiciones específicas para garantizar la </w:t>
      </w:r>
      <w:r w:rsidR="00CC3E9B" w:rsidRPr="003A72E3">
        <w:rPr>
          <w:rFonts w:ascii="Times New Roman" w:hAnsi="Times New Roman" w:cs="Times New Roman"/>
          <w:color w:val="000000" w:themeColor="text1"/>
          <w:sz w:val="24"/>
          <w:szCs w:val="24"/>
        </w:rPr>
        <w:t>participación</w:t>
      </w:r>
      <w:r w:rsidR="00CC3E9B" w:rsidRPr="00A15701">
        <w:rPr>
          <w:rFonts w:ascii="Times New Roman" w:hAnsi="Times New Roman" w:cs="Times New Roman"/>
          <w:color w:val="000000" w:themeColor="text1"/>
          <w:sz w:val="24"/>
          <w:szCs w:val="24"/>
        </w:rPr>
        <w:t xml:space="preserve"> y efectiva de las víctimas en el proceso. Este marco normativo reconoce a las víctimas como sujetos de derechos y les otorga mecanismos para presentar observaciones, aportar pruebas, participar en audiencias y recibir información sobre el avance de sus casos. Además, la Ley contempla medidas de protección para las víctimas, los testigos y los operadores judiciales, reconociendo las condiciones de riesgo inherentes a los procesos de justicia transicional en un contexto todavía marcado por la violencia</w:t>
      </w:r>
      <w:r w:rsidR="00830F6F">
        <w:rPr>
          <w:rFonts w:ascii="Times New Roman" w:hAnsi="Times New Roman" w:cs="Times New Roman"/>
          <w:color w:val="000000" w:themeColor="text1"/>
          <w:sz w:val="24"/>
          <w:szCs w:val="24"/>
        </w:rPr>
        <w:t xml:space="preserve"> (Páez, 2021).</w:t>
      </w:r>
    </w:p>
    <w:p w14:paraId="013614E5" w14:textId="73D65D46"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En cuanto a los mecanismos de reparación, la Ley </w:t>
      </w:r>
      <w:r w:rsidR="00877D84">
        <w:rPr>
          <w:rFonts w:ascii="Times New Roman" w:hAnsi="Times New Roman" w:cs="Times New Roman"/>
          <w:color w:val="000000" w:themeColor="text1"/>
          <w:sz w:val="24"/>
          <w:szCs w:val="24"/>
        </w:rPr>
        <w:t>1957</w:t>
      </w:r>
      <w:r w:rsidRPr="0C33D2ED">
        <w:rPr>
          <w:rFonts w:ascii="Times New Roman" w:hAnsi="Times New Roman" w:cs="Times New Roman"/>
          <w:color w:val="000000" w:themeColor="text1"/>
          <w:sz w:val="24"/>
          <w:szCs w:val="24"/>
        </w:rPr>
        <w:t xml:space="preserve"> de 2019 enfatiza la importancia de las medidas simbólicas y materiales para reparar el daño causado a las víctimas y a las comunidades afectadas. Entre estas medidas se incluyen las garantías de no repetición, los actos de reconocimiento público de responsabilidad y la rehabilitación psicosocial. </w:t>
      </w:r>
      <w:r w:rsidR="014638D5" w:rsidRPr="0C33D2ED">
        <w:rPr>
          <w:rFonts w:ascii="Times New Roman" w:hAnsi="Times New Roman" w:cs="Times New Roman"/>
          <w:color w:val="000000" w:themeColor="text1"/>
          <w:sz w:val="24"/>
          <w:szCs w:val="24"/>
        </w:rPr>
        <w:t>La JEP puede coordinar esfuerzos con otras entidades del Sistema Integral, como la Unidad de Búsqueda de Personas Dadas por Desaparecidas (UBPD) y la Comisión para el Esclarecimiento de la Verdad, para asegurar una reparación integral y coherente.</w:t>
      </w:r>
    </w:p>
    <w:p w14:paraId="12CC344A" w14:textId="27057152"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66E4FC7">
        <w:rPr>
          <w:rFonts w:ascii="Times New Roman" w:hAnsi="Times New Roman" w:cs="Times New Roman"/>
          <w:color w:val="000000" w:themeColor="text1"/>
          <w:sz w:val="24"/>
          <w:szCs w:val="24"/>
        </w:rPr>
        <w:t xml:space="preserve">Otro aspecto relevante del marco normativo es la relación de la JEP con otras jurisdicciones nacionales e internacionales. La Ley establece que la JEP es autónoma e independiente, pero debe cooperar con otras instancias judiciales, como la Corte Penal Internacional (CPI), en aquellos casos que involucren crímenes de su competencia. Esta </w:t>
      </w:r>
      <w:r w:rsidRPr="066E4FC7">
        <w:rPr>
          <w:rFonts w:ascii="Times New Roman" w:hAnsi="Times New Roman" w:cs="Times New Roman"/>
          <w:color w:val="000000" w:themeColor="text1"/>
          <w:sz w:val="24"/>
          <w:szCs w:val="24"/>
        </w:rPr>
        <w:lastRenderedPageBreak/>
        <w:t>articulación busca garantizar que la justicia transicional en Colombia sea compatible con los estándares internacionales, evitando vacíos o contradicciones que puedan comprometer su legitimidad</w:t>
      </w:r>
      <w:r w:rsidR="00AF0584" w:rsidRPr="066E4FC7">
        <w:rPr>
          <w:rFonts w:ascii="Times New Roman" w:hAnsi="Times New Roman" w:cs="Times New Roman"/>
          <w:color w:val="000000" w:themeColor="text1"/>
          <w:sz w:val="24"/>
          <w:szCs w:val="24"/>
        </w:rPr>
        <w:t xml:space="preserve"> (Girald</w:t>
      </w:r>
      <w:r w:rsidR="00706055">
        <w:rPr>
          <w:rFonts w:ascii="Times New Roman" w:hAnsi="Times New Roman" w:cs="Times New Roman"/>
          <w:color w:val="000000" w:themeColor="text1"/>
          <w:sz w:val="24"/>
          <w:szCs w:val="24"/>
        </w:rPr>
        <w:t>o,</w:t>
      </w:r>
      <w:r w:rsidR="00AF0584" w:rsidRPr="066E4FC7">
        <w:rPr>
          <w:rFonts w:ascii="Times New Roman" w:hAnsi="Times New Roman" w:cs="Times New Roman"/>
          <w:color w:val="000000" w:themeColor="text1"/>
          <w:sz w:val="24"/>
          <w:szCs w:val="24"/>
        </w:rPr>
        <w:t xml:space="preserve"> 202</w:t>
      </w:r>
      <w:r w:rsidR="00706055">
        <w:rPr>
          <w:rFonts w:ascii="Times New Roman" w:hAnsi="Times New Roman" w:cs="Times New Roman"/>
          <w:color w:val="000000" w:themeColor="text1"/>
          <w:sz w:val="24"/>
          <w:szCs w:val="24"/>
        </w:rPr>
        <w:t>1</w:t>
      </w:r>
      <w:r w:rsidR="00AF0584" w:rsidRPr="066E4FC7">
        <w:rPr>
          <w:rFonts w:ascii="Times New Roman" w:hAnsi="Times New Roman" w:cs="Times New Roman"/>
          <w:color w:val="000000" w:themeColor="text1"/>
          <w:sz w:val="24"/>
          <w:szCs w:val="24"/>
        </w:rPr>
        <w:t xml:space="preserve">). </w:t>
      </w:r>
    </w:p>
    <w:p w14:paraId="3EFEBCF9" w14:textId="21D6DBFE"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A pesar de los avances normativos introducidos por la Ley </w:t>
      </w:r>
      <w:r w:rsidR="00877D84">
        <w:rPr>
          <w:rFonts w:ascii="Times New Roman" w:hAnsi="Times New Roman" w:cs="Times New Roman"/>
          <w:color w:val="000000" w:themeColor="text1"/>
          <w:sz w:val="24"/>
          <w:szCs w:val="24"/>
        </w:rPr>
        <w:t>1957</w:t>
      </w:r>
      <w:r w:rsidRPr="00A15701">
        <w:rPr>
          <w:rFonts w:ascii="Times New Roman" w:hAnsi="Times New Roman" w:cs="Times New Roman"/>
          <w:color w:val="000000" w:themeColor="text1"/>
          <w:sz w:val="24"/>
          <w:szCs w:val="24"/>
        </w:rPr>
        <w:t xml:space="preserve"> de 2019, su implementación ha enfrentado desafíos significativos. Entre ellos se encuentran las tensiones políticas, las limitaciones presupuestarias y las críticas de sectores que consideran que el sistema promueve la impunidad. Además, el contexto de violencia persistente en algunas regiones del país ha dificultado el acceso de las víctimas a los mecanismos de justicia transicional, subrayando la necesidad de fortalecer las garantías de seguridad y la presencia estatal en estas áreas</w:t>
      </w:r>
      <w:r w:rsidR="00A64273">
        <w:rPr>
          <w:rFonts w:ascii="Times New Roman" w:hAnsi="Times New Roman" w:cs="Times New Roman"/>
          <w:color w:val="000000" w:themeColor="text1"/>
          <w:sz w:val="24"/>
          <w:szCs w:val="24"/>
        </w:rPr>
        <w:t xml:space="preserve"> (Rojas y Cuesta, 2021). </w:t>
      </w:r>
    </w:p>
    <w:p w14:paraId="4DA46360" w14:textId="5B0D908A"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El marco normativo de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A15701">
        <w:rPr>
          <w:rFonts w:ascii="Times New Roman" w:hAnsi="Times New Roman" w:cs="Times New Roman"/>
          <w:color w:val="000000" w:themeColor="text1"/>
          <w:sz w:val="24"/>
          <w:szCs w:val="24"/>
        </w:rPr>
        <w:t xml:space="preserve">también ha sido objeto de análisis y monitoreo por parte de organismos internacionales, como las Naciones Unidas y la Organización de Estados Americanos (OEA), que han valorado positivamente su enfoque </w:t>
      </w:r>
      <w:r w:rsidRPr="003A72E3">
        <w:rPr>
          <w:rFonts w:ascii="Times New Roman" w:hAnsi="Times New Roman" w:cs="Times New Roman"/>
          <w:color w:val="000000" w:themeColor="text1"/>
          <w:sz w:val="24"/>
          <w:szCs w:val="24"/>
        </w:rPr>
        <w:t>innovador,</w:t>
      </w:r>
      <w:r w:rsidRPr="00A15701">
        <w:rPr>
          <w:rFonts w:ascii="Times New Roman" w:hAnsi="Times New Roman" w:cs="Times New Roman"/>
          <w:color w:val="000000" w:themeColor="text1"/>
          <w:sz w:val="24"/>
          <w:szCs w:val="24"/>
        </w:rPr>
        <w:t xml:space="preserve"> pero han señalado áreas de mejora. Estas observaciones han enfatizado la importancia de mantener un equilibrio entre los derechos de las víctimas y las necesidades de los actores desmovilizados, así como de fortalecer la capacidad institucional de la JEP para cumplir con su mandato</w:t>
      </w:r>
      <w:r w:rsidR="00301322">
        <w:rPr>
          <w:rFonts w:ascii="Times New Roman" w:hAnsi="Times New Roman" w:cs="Times New Roman"/>
          <w:color w:val="000000" w:themeColor="text1"/>
          <w:sz w:val="24"/>
          <w:szCs w:val="24"/>
        </w:rPr>
        <w:t xml:space="preserve"> (Giraldo, 2020). </w:t>
      </w:r>
    </w:p>
    <w:p w14:paraId="368543F9" w14:textId="624BF286" w:rsidR="00CC3E9B" w:rsidRPr="00A15701" w:rsidRDefault="00A64273" w:rsidP="003A72E3">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Tal como lo Ríos (2020)</w:t>
      </w:r>
      <w:r w:rsidR="00CC3E9B" w:rsidRPr="00A15701">
        <w:rPr>
          <w:rFonts w:ascii="Times New Roman" w:hAnsi="Times New Roman" w:cs="Times New Roman"/>
          <w:color w:val="000000" w:themeColor="text1"/>
          <w:sz w:val="24"/>
          <w:szCs w:val="24"/>
        </w:rPr>
        <w:t xml:space="preserve"> constituye un componente esencial del marco normativo de la justicia transicional en Colombia, proporcionando las bases legales para el funcionamiento de la JEP y definiendo los principios y procedimientos que guían su labor. Este marco refleja un esfuerzo significativo por abordar las secuelas del conflicto armado de manera integral, priorizando los derechos de las víctimas y fomentando la reconciliación nacional. Sin embargo, su éxito depende en gran medida de su implementación efectiva, la superación de los desafíos contextuales y la capacidad del sistema para generar confianza entre las partes involucradas. La </w:t>
      </w:r>
      <w:r w:rsidR="00CC3E9B" w:rsidRPr="00A15701">
        <w:rPr>
          <w:rFonts w:ascii="Times New Roman" w:hAnsi="Times New Roman" w:cs="Times New Roman"/>
          <w:color w:val="000000" w:themeColor="text1"/>
          <w:sz w:val="24"/>
          <w:szCs w:val="24"/>
        </w:rPr>
        <w:lastRenderedPageBreak/>
        <w:t xml:space="preserve">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00CC3E9B" w:rsidRPr="00A15701">
        <w:rPr>
          <w:rFonts w:ascii="Times New Roman" w:hAnsi="Times New Roman" w:cs="Times New Roman"/>
          <w:color w:val="000000" w:themeColor="text1"/>
          <w:sz w:val="24"/>
          <w:szCs w:val="24"/>
        </w:rPr>
        <w:t>no solo representa un hito jurídico, sino también un compromiso ético y político con la construcción de un país más justo y pacífico.</w:t>
      </w:r>
    </w:p>
    <w:p w14:paraId="318D8917" w14:textId="27BEAC18" w:rsidR="00CC3E9B" w:rsidRPr="003A72E3" w:rsidRDefault="00CC3E9B" w:rsidP="003A72E3">
      <w:pPr>
        <w:pStyle w:val="Prrafodelista"/>
        <w:numPr>
          <w:ilvl w:val="1"/>
          <w:numId w:val="8"/>
        </w:numPr>
        <w:spacing w:after="0" w:line="480" w:lineRule="auto"/>
        <w:ind w:left="0" w:firstLine="720"/>
        <w:outlineLvl w:val="1"/>
        <w:rPr>
          <w:rFonts w:ascii="Times New Roman" w:hAnsi="Times New Roman" w:cs="Times New Roman"/>
          <w:i/>
          <w:iCs/>
          <w:color w:val="000000" w:themeColor="text1"/>
          <w:sz w:val="24"/>
          <w:szCs w:val="24"/>
        </w:rPr>
      </w:pPr>
      <w:bookmarkStart w:id="21" w:name="_Toc232457396"/>
      <w:r w:rsidRPr="003A72E3">
        <w:rPr>
          <w:rFonts w:ascii="Times New Roman" w:hAnsi="Times New Roman" w:cs="Times New Roman"/>
          <w:b/>
          <w:bCs/>
          <w:i/>
          <w:iCs/>
          <w:color w:val="000000" w:themeColor="text1"/>
          <w:sz w:val="24"/>
          <w:szCs w:val="24"/>
        </w:rPr>
        <w:t xml:space="preserve">Modelos de </w:t>
      </w:r>
      <w:r w:rsidR="00BA1E9B" w:rsidRPr="003A72E3">
        <w:rPr>
          <w:rFonts w:ascii="Times New Roman" w:hAnsi="Times New Roman" w:cs="Times New Roman"/>
          <w:b/>
          <w:bCs/>
          <w:i/>
          <w:iCs/>
          <w:color w:val="000000" w:themeColor="text1"/>
          <w:sz w:val="24"/>
          <w:szCs w:val="24"/>
        </w:rPr>
        <w:t>J</w:t>
      </w:r>
      <w:r w:rsidRPr="003A72E3">
        <w:rPr>
          <w:rFonts w:ascii="Times New Roman" w:hAnsi="Times New Roman" w:cs="Times New Roman"/>
          <w:b/>
          <w:bCs/>
          <w:i/>
          <w:iCs/>
          <w:color w:val="000000" w:themeColor="text1"/>
          <w:sz w:val="24"/>
          <w:szCs w:val="24"/>
        </w:rPr>
        <w:t xml:space="preserve">usticia </w:t>
      </w:r>
      <w:r w:rsidR="00BA1E9B" w:rsidRPr="003A72E3">
        <w:rPr>
          <w:rFonts w:ascii="Times New Roman" w:hAnsi="Times New Roman" w:cs="Times New Roman"/>
          <w:b/>
          <w:bCs/>
          <w:i/>
          <w:iCs/>
          <w:color w:val="000000" w:themeColor="text1"/>
          <w:sz w:val="24"/>
          <w:szCs w:val="24"/>
        </w:rPr>
        <w:t>R</w:t>
      </w:r>
      <w:r w:rsidRPr="003A72E3">
        <w:rPr>
          <w:rFonts w:ascii="Times New Roman" w:hAnsi="Times New Roman" w:cs="Times New Roman"/>
          <w:b/>
          <w:bCs/>
          <w:i/>
          <w:iCs/>
          <w:color w:val="000000" w:themeColor="text1"/>
          <w:sz w:val="24"/>
          <w:szCs w:val="24"/>
        </w:rPr>
        <w:t xml:space="preserve">estaurativa contemplados en la Ley 975 del año 2005 y La Ley </w:t>
      </w:r>
      <w:r w:rsidR="00877D84" w:rsidRPr="00877D84">
        <w:rPr>
          <w:rFonts w:ascii="Times New Roman" w:hAnsi="Times New Roman" w:cs="Times New Roman"/>
          <w:b/>
          <w:bCs/>
          <w:i/>
          <w:iCs/>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3A72E3">
        <w:rPr>
          <w:rFonts w:ascii="Times New Roman" w:hAnsi="Times New Roman" w:cs="Times New Roman"/>
          <w:b/>
          <w:bCs/>
          <w:i/>
          <w:iCs/>
          <w:color w:val="000000" w:themeColor="text1"/>
          <w:sz w:val="24"/>
          <w:szCs w:val="24"/>
        </w:rPr>
        <w:t>del año 2019 en Colombia</w:t>
      </w:r>
      <w:r w:rsidR="00BA1E9B" w:rsidRPr="003A72E3">
        <w:rPr>
          <w:rFonts w:ascii="Times New Roman" w:hAnsi="Times New Roman" w:cs="Times New Roman"/>
          <w:b/>
          <w:bCs/>
          <w:i/>
          <w:iCs/>
          <w:color w:val="000000" w:themeColor="text1"/>
          <w:sz w:val="24"/>
          <w:szCs w:val="24"/>
        </w:rPr>
        <w:t>.</w:t>
      </w:r>
      <w:bookmarkEnd w:id="21"/>
    </w:p>
    <w:p w14:paraId="1DD104D5" w14:textId="299430DB" w:rsidR="00CC3E9B" w:rsidRPr="00A15701" w:rsidRDefault="08B4C755"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La justicia restaurativa prioriza la reparación del daño causado a las víctimas, la reintegración de los responsables a la sociedad y la restauración de las relaciones afectadas, en vez de centrarse en el castigo punitivo.</w:t>
      </w:r>
      <w:r w:rsidR="00CC3E9B" w:rsidRPr="0C33D2ED">
        <w:rPr>
          <w:rFonts w:ascii="Times New Roman" w:hAnsi="Times New Roman" w:cs="Times New Roman"/>
          <w:color w:val="000000" w:themeColor="text1"/>
          <w:sz w:val="24"/>
          <w:szCs w:val="24"/>
        </w:rPr>
        <w:t xml:space="preserve"> En el contexto colombiano, tanto la Ley 975 de 2005, conocida como la Ley de Justicia y Paz, como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00CC3E9B" w:rsidRPr="0C33D2ED">
        <w:rPr>
          <w:rFonts w:ascii="Times New Roman" w:hAnsi="Times New Roman" w:cs="Times New Roman"/>
          <w:color w:val="000000" w:themeColor="text1"/>
          <w:sz w:val="24"/>
          <w:szCs w:val="24"/>
        </w:rPr>
        <w:t>de 2019, que regula la Jurisdicción Especial para la Paz (JEP), incorporan elementos de justicia restaurativa dentro del marco de la justicia transicional. Sin embargo, lo hacen con enfoques distintos, adaptados a los contextos específicos en los que se implementaron y a las necesidades particulares de las víctimas y de la sociedad en cada momento</w:t>
      </w:r>
      <w:r w:rsidR="002118AF" w:rsidRPr="0C33D2ED">
        <w:rPr>
          <w:rFonts w:ascii="Times New Roman" w:hAnsi="Times New Roman" w:cs="Times New Roman"/>
          <w:color w:val="000000" w:themeColor="text1"/>
          <w:sz w:val="24"/>
          <w:szCs w:val="24"/>
        </w:rPr>
        <w:t xml:space="preserve"> (Huertas, 2022). </w:t>
      </w:r>
    </w:p>
    <w:p w14:paraId="76B3322C" w14:textId="1A331F87"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La Ley 975 de 2005 surgió como respuesta al proceso de desmovilización de los grupos paramilitares, principalmente las Autodefensas Unidas de Colombia (AUC). Su enfoque de justicia restaurativa buscó equilibrar la necesidad de garantizar los derechos de las víctimas con el objetivo político de desmovilizar a actores armados. Por su parte,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A15701">
        <w:rPr>
          <w:rFonts w:ascii="Times New Roman" w:hAnsi="Times New Roman" w:cs="Times New Roman"/>
          <w:color w:val="000000" w:themeColor="text1"/>
          <w:sz w:val="24"/>
          <w:szCs w:val="24"/>
        </w:rPr>
        <w:t>de 2019 se diseñó en el marco del Acuerdo Final de Paz con las FARC-EP y presenta un modelo de justicia restaurativa más complejo e integral, enfocado en abordar las profundas raíces del conflicto armado y en construir condiciones para la reconciliación nacional.</w:t>
      </w:r>
    </w:p>
    <w:p w14:paraId="5398B72C" w14:textId="561E3640" w:rsidR="00CC3E9B" w:rsidRPr="00A15701" w:rsidRDefault="058757E8"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En la Ley 975 de 2005, la justicia restaurativa se manifiesta en el concepto de reparación integral a las víctimas.</w:t>
      </w:r>
      <w:r w:rsidR="00CC3E9B" w:rsidRPr="0C33D2ED">
        <w:rPr>
          <w:rFonts w:ascii="Times New Roman" w:hAnsi="Times New Roman" w:cs="Times New Roman"/>
          <w:color w:val="000000" w:themeColor="text1"/>
          <w:sz w:val="24"/>
          <w:szCs w:val="24"/>
        </w:rPr>
        <w:t xml:space="preserve"> Esta ley introdujo mecanismos para garantizar la verdad, la justicia y la reparación como componentes esenciales del proceso de reconciliación. En este marco, los postulados a los beneficios de la Ley debían cumplir con requisitos específicos, como la </w:t>
      </w:r>
      <w:r w:rsidR="00CC3E9B" w:rsidRPr="0C33D2ED">
        <w:rPr>
          <w:rFonts w:ascii="Times New Roman" w:hAnsi="Times New Roman" w:cs="Times New Roman"/>
          <w:color w:val="000000" w:themeColor="text1"/>
          <w:sz w:val="24"/>
          <w:szCs w:val="24"/>
        </w:rPr>
        <w:lastRenderedPageBreak/>
        <w:t>confesión completa de los crímenes cometidos, la entrega de bienes para la reparación económica de las víctimas y la participación en actos de reconocimiento de responsabilidad. Aunque el enfoque restaurativo se aplicó en gran medida a través de medidas materiales, como la restitución de bienes, también se reconoció la importancia de las medidas simbólicas, como las disculpas públicas y los actos de perdón</w:t>
      </w:r>
      <w:r w:rsidR="002118AF" w:rsidRPr="0C33D2ED">
        <w:rPr>
          <w:rFonts w:ascii="Times New Roman" w:hAnsi="Times New Roman" w:cs="Times New Roman"/>
          <w:color w:val="000000" w:themeColor="text1"/>
          <w:sz w:val="24"/>
          <w:szCs w:val="24"/>
        </w:rPr>
        <w:t xml:space="preserve"> (Isaza y Díaz, 2021). </w:t>
      </w:r>
    </w:p>
    <w:p w14:paraId="24B7F01F" w14:textId="6C6589AD"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El modelo de justicia restaurativa en la Ley 975 enfrentó varios desafíos en su implementación. Uno de los problemas más significativos fue la insuficiencia de recursos para garantizar una reparación económica adecuada a todas las víctimas. Además, muchos de los desmovilizados no entregaron bienes suficientes o mintieron en sus confesiones, lo que debilitó la confianza en el sistema y dejó a muchas víctimas insatisfechas. A pesar de estas limitaciones, la Ley 975 sentó las bases para la inclusión de principios restaurativos en los procesos de justicia transicional en Colombia y demostró la importancia de involucrar a las víctimas como protagonistas en la búsqueda de justicia y reconciliación</w:t>
      </w:r>
      <w:r w:rsidR="00363117">
        <w:rPr>
          <w:rFonts w:ascii="Times New Roman" w:hAnsi="Times New Roman" w:cs="Times New Roman"/>
          <w:color w:val="000000" w:themeColor="text1"/>
          <w:sz w:val="24"/>
          <w:szCs w:val="24"/>
        </w:rPr>
        <w:t xml:space="preserve"> (</w:t>
      </w:r>
      <w:r w:rsidR="00706055">
        <w:rPr>
          <w:rFonts w:ascii="Times New Roman" w:hAnsi="Times New Roman" w:cs="Times New Roman"/>
          <w:color w:val="000000" w:themeColor="text1"/>
          <w:sz w:val="24"/>
          <w:szCs w:val="24"/>
        </w:rPr>
        <w:t>Arias</w:t>
      </w:r>
      <w:r w:rsidR="00363117">
        <w:rPr>
          <w:rFonts w:ascii="Times New Roman" w:hAnsi="Times New Roman" w:cs="Times New Roman"/>
          <w:color w:val="000000" w:themeColor="text1"/>
          <w:sz w:val="24"/>
          <w:szCs w:val="24"/>
        </w:rPr>
        <w:t>,</w:t>
      </w:r>
      <w:r w:rsidR="00706055">
        <w:rPr>
          <w:rFonts w:ascii="Times New Roman" w:hAnsi="Times New Roman" w:cs="Times New Roman"/>
          <w:color w:val="000000" w:themeColor="text1"/>
          <w:sz w:val="24"/>
          <w:szCs w:val="24"/>
        </w:rPr>
        <w:t xml:space="preserve"> et al., </w:t>
      </w:r>
      <w:r w:rsidR="00363117">
        <w:rPr>
          <w:rFonts w:ascii="Times New Roman" w:hAnsi="Times New Roman" w:cs="Times New Roman"/>
          <w:color w:val="000000" w:themeColor="text1"/>
          <w:sz w:val="24"/>
          <w:szCs w:val="24"/>
        </w:rPr>
        <w:t xml:space="preserve">2022). </w:t>
      </w:r>
    </w:p>
    <w:p w14:paraId="3F83A6A2" w14:textId="4E54203E"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Por otro lado,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A15701">
        <w:rPr>
          <w:rFonts w:ascii="Times New Roman" w:hAnsi="Times New Roman" w:cs="Times New Roman"/>
          <w:color w:val="000000" w:themeColor="text1"/>
          <w:sz w:val="24"/>
          <w:szCs w:val="24"/>
        </w:rPr>
        <w:t>de 2019 se enfoca en un modelo de justicia restaurativa mucho más elaborado, que forma parte integral del Sistema Integral de Verdad, Justicia, Reparación y No Repetición (SIVJRNR). Este sistema reconoce la interconexión entre los derechos de las víctimas y la construcción de paz, y articula la labor de la Jurisdicción Especial para la Paz con la Comisión para el Esclarecimiento de la Verdad y la Unidad de Búsqueda de Personas Dadas por Desaparecidas. En este marco, la justicia restaurativa se define no solo como la reparación del daño, sino como un proceso colectivo que busca transformar las relaciones sociales y promover la reconciliación</w:t>
      </w:r>
      <w:r w:rsidR="00C627F3">
        <w:rPr>
          <w:rFonts w:ascii="Times New Roman" w:hAnsi="Times New Roman" w:cs="Times New Roman"/>
          <w:color w:val="000000" w:themeColor="text1"/>
          <w:sz w:val="24"/>
          <w:szCs w:val="24"/>
        </w:rPr>
        <w:t xml:space="preserve"> (Moreno et al., 2021). </w:t>
      </w:r>
    </w:p>
    <w:p w14:paraId="389C78BB" w14:textId="3622815B"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En la Ley </w:t>
      </w:r>
      <w:r w:rsidR="00877D84">
        <w:rPr>
          <w:rFonts w:ascii="Times New Roman" w:hAnsi="Times New Roman" w:cs="Times New Roman"/>
          <w:color w:val="000000" w:themeColor="text1"/>
          <w:sz w:val="24"/>
          <w:szCs w:val="24"/>
        </w:rPr>
        <w:t>1957</w:t>
      </w:r>
      <w:r w:rsidRPr="00A15701">
        <w:rPr>
          <w:rFonts w:ascii="Times New Roman" w:hAnsi="Times New Roman" w:cs="Times New Roman"/>
          <w:color w:val="000000" w:themeColor="text1"/>
          <w:sz w:val="24"/>
          <w:szCs w:val="24"/>
        </w:rPr>
        <w:t xml:space="preserve">, los principios restaurativos se reflejan en varios aspectos clave del funcionamiento de la JEP. Uno de ellos es el diseño de las sanciones propias, que tienen un </w:t>
      </w:r>
      <w:r w:rsidRPr="00A15701">
        <w:rPr>
          <w:rFonts w:ascii="Times New Roman" w:hAnsi="Times New Roman" w:cs="Times New Roman"/>
          <w:color w:val="000000" w:themeColor="text1"/>
          <w:sz w:val="24"/>
          <w:szCs w:val="24"/>
        </w:rPr>
        <w:lastRenderedPageBreak/>
        <w:t>carácter reparador y restaurativo, en lugar de punitivo. Estas sanciones incluyen medidas como trabajos comunitarios, proyectos de desarrollo rural y programas de rehabilitación ambiental, diseñados para beneficiar directamente a las comunidades afectadas por el conflicto. El propósito de estas sanciones es permitir que los responsables contribuyan activamente a reparar el daño causado, al tiempo que promueven su reintegración en la sociedad.</w:t>
      </w:r>
    </w:p>
    <w:p w14:paraId="65D07CA4" w14:textId="1ACCE6C4"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Otro elemento central del modelo de justicia restaurativa en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C33D2ED">
        <w:rPr>
          <w:rFonts w:ascii="Times New Roman" w:hAnsi="Times New Roman" w:cs="Times New Roman"/>
          <w:color w:val="000000" w:themeColor="text1"/>
          <w:sz w:val="24"/>
          <w:szCs w:val="24"/>
        </w:rPr>
        <w:t xml:space="preserve">es la </w:t>
      </w:r>
      <w:r w:rsidR="008053E9" w:rsidRPr="0C33D2ED">
        <w:rPr>
          <w:rFonts w:ascii="Times New Roman" w:hAnsi="Times New Roman" w:cs="Times New Roman"/>
          <w:color w:val="000000" w:themeColor="text1"/>
          <w:sz w:val="24"/>
          <w:szCs w:val="24"/>
        </w:rPr>
        <w:t>participación</w:t>
      </w:r>
      <w:r w:rsidRPr="0C33D2ED">
        <w:rPr>
          <w:rFonts w:ascii="Times New Roman" w:hAnsi="Times New Roman" w:cs="Times New Roman"/>
          <w:color w:val="000000" w:themeColor="text1"/>
          <w:sz w:val="24"/>
          <w:szCs w:val="24"/>
        </w:rPr>
        <w:t xml:space="preserve"> de las víctimas en el proceso judicial. Las víctimas tienen el derecho de presentar sus observaciones, aportar pruebas y participar en las audiencias, garantizando que sus voces sean escuchadas y que sus necesidades sean atendidas. </w:t>
      </w:r>
      <w:r w:rsidR="12A2710D" w:rsidRPr="0C33D2ED">
        <w:rPr>
          <w:rFonts w:ascii="Times New Roman" w:hAnsi="Times New Roman" w:cs="Times New Roman"/>
          <w:color w:val="000000" w:themeColor="text1"/>
          <w:sz w:val="24"/>
          <w:szCs w:val="24"/>
        </w:rPr>
        <w:t>Además, la JEP debe priorizar los casos de víctimas especialmente vulnerables, como mujeres, niños, comunidades étnicas y personas desplazadas, reconociendo las formas en que el conflicto armado ha afectado a distintos sectores de la sociedad (Moreno et al., 2021).</w:t>
      </w:r>
    </w:p>
    <w:p w14:paraId="0A4A9033" w14:textId="76C288D7" w:rsidR="00CC3E9B" w:rsidRPr="00A15701" w:rsidRDefault="12A2710D" w:rsidP="003A72E3">
      <w:pPr>
        <w:spacing w:after="0" w:line="480" w:lineRule="auto"/>
        <w:ind w:firstLine="720"/>
        <w:rPr>
          <w:rFonts w:ascii="Times New Roman" w:hAnsi="Times New Roman" w:cs="Times New Roman"/>
          <w:color w:val="000000" w:themeColor="text1"/>
          <w:sz w:val="24"/>
          <w:szCs w:val="24"/>
        </w:rPr>
      </w:pPr>
      <w:r w:rsidRPr="0C33D2ED">
        <w:rPr>
          <w:rFonts w:ascii="Times New Roman" w:hAnsi="Times New Roman" w:cs="Times New Roman"/>
          <w:color w:val="000000" w:themeColor="text1"/>
          <w:sz w:val="24"/>
          <w:szCs w:val="24"/>
        </w:rPr>
        <w:t xml:space="preserve">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C33D2ED">
        <w:rPr>
          <w:rFonts w:ascii="Times New Roman" w:hAnsi="Times New Roman" w:cs="Times New Roman"/>
          <w:color w:val="000000" w:themeColor="text1"/>
          <w:sz w:val="24"/>
          <w:szCs w:val="24"/>
        </w:rPr>
        <w:t>incluye medidas para garantizar la verdad como derecho fundamental de las víctimas y de la sociedad.</w:t>
      </w:r>
      <w:r w:rsidR="00CC3E9B" w:rsidRPr="0C33D2ED">
        <w:rPr>
          <w:rFonts w:ascii="Times New Roman" w:hAnsi="Times New Roman" w:cs="Times New Roman"/>
          <w:color w:val="000000" w:themeColor="text1"/>
          <w:sz w:val="24"/>
          <w:szCs w:val="24"/>
        </w:rPr>
        <w:t xml:space="preserve"> Los responsables deben reconocer y confesar plenamente sus crímenes, proporcionando detalles sobre los hechos, los contextos y las cadenas de mando involucradas. Este proceso no solo busca esclarecer los eventos del pasado, sino también contribuir a la memoria histórica y a la prevención de futuras violaciones de derechos humanos. La verdad, en este sentido, se considera un componente esencial de la reparación simbólica y un paso crucial hacia la reconciliación</w:t>
      </w:r>
      <w:r w:rsidR="00830F6F">
        <w:rPr>
          <w:rFonts w:ascii="Times New Roman" w:hAnsi="Times New Roman" w:cs="Times New Roman"/>
          <w:color w:val="000000" w:themeColor="text1"/>
          <w:sz w:val="24"/>
          <w:szCs w:val="24"/>
        </w:rPr>
        <w:t xml:space="preserve"> (Ocampo, 2024). </w:t>
      </w:r>
    </w:p>
    <w:p w14:paraId="698AA83A" w14:textId="40BD24F4"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Un aspecto innovador del modelo de justicia restaurativa en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A15701">
        <w:rPr>
          <w:rFonts w:ascii="Times New Roman" w:hAnsi="Times New Roman" w:cs="Times New Roman"/>
          <w:color w:val="000000" w:themeColor="text1"/>
          <w:sz w:val="24"/>
          <w:szCs w:val="24"/>
        </w:rPr>
        <w:t xml:space="preserve">es su enfoque colectivo y territorial. La JEP no solo aborda las violaciones de derechos humanos desde una perspectiva individual, sino también desde un enfoque comunitario, reconociendo que el conflicto armado ha tenido impactos desproporcionados en ciertas regiones del país. Por ello, las </w:t>
      </w:r>
      <w:r w:rsidRPr="00A15701">
        <w:rPr>
          <w:rFonts w:ascii="Times New Roman" w:hAnsi="Times New Roman" w:cs="Times New Roman"/>
          <w:color w:val="000000" w:themeColor="text1"/>
          <w:sz w:val="24"/>
          <w:szCs w:val="24"/>
        </w:rPr>
        <w:lastRenderedPageBreak/>
        <w:t>medidas restaurativas incluyen proyectos diseñados para reconstruir el tejido social, fortalecer las capacidades comunitarias y generar condiciones para la no repetición de la violencia</w:t>
      </w:r>
      <w:r w:rsidR="00700A3A">
        <w:rPr>
          <w:rFonts w:ascii="Times New Roman" w:hAnsi="Times New Roman" w:cs="Times New Roman"/>
          <w:color w:val="000000" w:themeColor="text1"/>
          <w:sz w:val="24"/>
          <w:szCs w:val="24"/>
        </w:rPr>
        <w:t xml:space="preserve"> (</w:t>
      </w:r>
      <w:r w:rsidR="00700A3A" w:rsidRPr="00700A3A">
        <w:rPr>
          <w:rFonts w:ascii="Times New Roman" w:hAnsi="Times New Roman" w:cs="Times New Roman"/>
          <w:color w:val="000000" w:themeColor="text1"/>
          <w:sz w:val="24"/>
          <w:szCs w:val="24"/>
        </w:rPr>
        <w:t>Muñoz</w:t>
      </w:r>
      <w:r w:rsidR="00700A3A">
        <w:rPr>
          <w:rFonts w:ascii="Times New Roman" w:hAnsi="Times New Roman" w:cs="Times New Roman"/>
          <w:color w:val="000000" w:themeColor="text1"/>
          <w:sz w:val="24"/>
          <w:szCs w:val="24"/>
        </w:rPr>
        <w:t xml:space="preserve"> y </w:t>
      </w:r>
      <w:r w:rsidR="00706055">
        <w:rPr>
          <w:rFonts w:ascii="Times New Roman" w:hAnsi="Times New Roman" w:cs="Times New Roman"/>
          <w:color w:val="000000" w:themeColor="text1"/>
          <w:sz w:val="24"/>
          <w:szCs w:val="24"/>
        </w:rPr>
        <w:t>Villareal</w:t>
      </w:r>
      <w:r w:rsidR="00700A3A" w:rsidRPr="00700A3A">
        <w:rPr>
          <w:rFonts w:ascii="Times New Roman" w:hAnsi="Times New Roman" w:cs="Times New Roman"/>
          <w:color w:val="000000" w:themeColor="text1"/>
          <w:sz w:val="24"/>
          <w:szCs w:val="24"/>
        </w:rPr>
        <w:t>, 2020).</w:t>
      </w:r>
    </w:p>
    <w:p w14:paraId="07649FA7" w14:textId="636B01CF"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A pesar de sus avances conceptuales, el modelo de justicia restaurativa contemplado en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A15701">
        <w:rPr>
          <w:rFonts w:ascii="Times New Roman" w:hAnsi="Times New Roman" w:cs="Times New Roman"/>
          <w:color w:val="000000" w:themeColor="text1"/>
          <w:sz w:val="24"/>
          <w:szCs w:val="24"/>
        </w:rPr>
        <w:t>también enfrenta desafíos significativos en su implementación. Entre ellos se encuentran las tensiones políticas, la limitada capacidad institucional y los riesgos de seguridad en las regiones más afectadas por el conflicto. Además, la magnitud de los crímenes cometidos y el alto número de víctimas representan un reto logístico y ético para garantizar una reparación efectiva y equitativa</w:t>
      </w:r>
      <w:r w:rsidR="00830F6F">
        <w:rPr>
          <w:rFonts w:ascii="Times New Roman" w:hAnsi="Times New Roman" w:cs="Times New Roman"/>
          <w:color w:val="000000" w:themeColor="text1"/>
          <w:sz w:val="24"/>
          <w:szCs w:val="24"/>
        </w:rPr>
        <w:t xml:space="preserve"> (Uriza y Pérez, 2021). </w:t>
      </w:r>
    </w:p>
    <w:p w14:paraId="3A4D7055" w14:textId="22190826" w:rsidR="00CC3E9B" w:rsidRPr="00A15701" w:rsidRDefault="00CC3E9B" w:rsidP="003A72E3">
      <w:pPr>
        <w:spacing w:after="0" w:line="480" w:lineRule="auto"/>
        <w:ind w:firstLine="720"/>
        <w:rPr>
          <w:rFonts w:ascii="Times New Roman" w:hAnsi="Times New Roman" w:cs="Times New Roman"/>
          <w:color w:val="000000" w:themeColor="text1"/>
          <w:sz w:val="24"/>
          <w:szCs w:val="24"/>
        </w:rPr>
      </w:pPr>
      <w:r w:rsidRPr="00A15701">
        <w:rPr>
          <w:rFonts w:ascii="Times New Roman" w:hAnsi="Times New Roman" w:cs="Times New Roman"/>
          <w:color w:val="000000" w:themeColor="text1"/>
          <w:sz w:val="24"/>
          <w:szCs w:val="24"/>
        </w:rPr>
        <w:t xml:space="preserve">En términos comparativos, mientras que la Ley 975 de 2005 </w:t>
      </w:r>
      <w:r w:rsidRPr="003A72E3">
        <w:rPr>
          <w:rFonts w:ascii="Times New Roman" w:hAnsi="Times New Roman" w:cs="Times New Roman"/>
          <w:color w:val="000000" w:themeColor="text1"/>
          <w:sz w:val="24"/>
          <w:szCs w:val="24"/>
        </w:rPr>
        <w:t>se centró en</w:t>
      </w:r>
      <w:r w:rsidRPr="00A15701">
        <w:rPr>
          <w:rFonts w:ascii="Times New Roman" w:hAnsi="Times New Roman" w:cs="Times New Roman"/>
          <w:color w:val="000000" w:themeColor="text1"/>
          <w:sz w:val="24"/>
          <w:szCs w:val="24"/>
        </w:rPr>
        <w:t xml:space="preserve"> los actores paramilitares y en medidas de reparación económica y simbólica,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A15701">
        <w:rPr>
          <w:rFonts w:ascii="Times New Roman" w:hAnsi="Times New Roman" w:cs="Times New Roman"/>
          <w:color w:val="000000" w:themeColor="text1"/>
          <w:sz w:val="24"/>
          <w:szCs w:val="24"/>
        </w:rPr>
        <w:t xml:space="preserve">de 2019 adopta un enfoque mucho más integral y multidimensional, adaptado a las complejidades del conflicto armado colombiano.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A15701">
        <w:rPr>
          <w:rFonts w:ascii="Times New Roman" w:hAnsi="Times New Roman" w:cs="Times New Roman"/>
          <w:color w:val="000000" w:themeColor="text1"/>
          <w:sz w:val="24"/>
          <w:szCs w:val="24"/>
        </w:rPr>
        <w:t>no solo busca reparar el daño, sino también transformar las relaciones sociales, fomentar la reconciliación y sentar las bases para una paz sostenible</w:t>
      </w:r>
      <w:r w:rsidR="003436DD">
        <w:rPr>
          <w:rFonts w:ascii="Times New Roman" w:hAnsi="Times New Roman" w:cs="Times New Roman"/>
          <w:color w:val="000000" w:themeColor="text1"/>
          <w:sz w:val="24"/>
          <w:szCs w:val="24"/>
        </w:rPr>
        <w:t xml:space="preserve"> (Muñoz, 2021). </w:t>
      </w:r>
    </w:p>
    <w:p w14:paraId="69E507F2" w14:textId="346E0140" w:rsidR="00CC3E9B" w:rsidRPr="002764D9" w:rsidRDefault="000977CF" w:rsidP="000977CF">
      <w:pPr>
        <w:spacing w:after="0" w:line="480" w:lineRule="auto"/>
        <w:ind w:firstLine="72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Los</w:t>
      </w:r>
      <w:r w:rsidR="00CC3E9B" w:rsidRPr="00A15701">
        <w:rPr>
          <w:rFonts w:ascii="Times New Roman" w:hAnsi="Times New Roman" w:cs="Times New Roman"/>
          <w:color w:val="000000" w:themeColor="text1"/>
          <w:sz w:val="24"/>
          <w:szCs w:val="24"/>
        </w:rPr>
        <w:t xml:space="preserve"> modelos de justicia restaurativa contemplados en la Ley 975 de 2005 y en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00CC3E9B" w:rsidRPr="00A15701">
        <w:rPr>
          <w:rFonts w:ascii="Times New Roman" w:hAnsi="Times New Roman" w:cs="Times New Roman"/>
          <w:color w:val="000000" w:themeColor="text1"/>
          <w:sz w:val="24"/>
          <w:szCs w:val="24"/>
        </w:rPr>
        <w:t xml:space="preserve">de 2019 representan respuestas normativas distintas a las necesidades de justicia y reconciliación en Colombia. Mientras que la Ley 975 se centró en un proceso más limitado, con énfasis en la reparación material y simbólica,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00CC3E9B" w:rsidRPr="00A15701">
        <w:rPr>
          <w:rFonts w:ascii="Times New Roman" w:hAnsi="Times New Roman" w:cs="Times New Roman"/>
          <w:color w:val="000000" w:themeColor="text1"/>
          <w:sz w:val="24"/>
          <w:szCs w:val="24"/>
        </w:rPr>
        <w:t xml:space="preserve">ofrece un enfoque más amplio y transformador, diseñado para abordar las raíces estructurales del conflicto y construir condiciones para la paz. Ambos modelos, aunque con limitaciones, reflejan el compromiso del Estado colombiano con la justicia restaurativa como un pilar fundamental de la justicia </w:t>
      </w:r>
      <w:r w:rsidR="00CC3E9B" w:rsidRPr="00A15701">
        <w:rPr>
          <w:rFonts w:ascii="Times New Roman" w:hAnsi="Times New Roman" w:cs="Times New Roman"/>
          <w:color w:val="000000" w:themeColor="text1"/>
          <w:sz w:val="24"/>
          <w:szCs w:val="24"/>
        </w:rPr>
        <w:lastRenderedPageBreak/>
        <w:t>transicional y como una herramienta para sanar las heridas de un país profundamente afectado por la violencia</w:t>
      </w:r>
      <w:r w:rsidRPr="002764D9">
        <w:rPr>
          <w:rFonts w:ascii="Times New Roman" w:hAnsi="Times New Roman" w:cs="Times New Roman"/>
          <w:color w:val="000000" w:themeColor="text1"/>
          <w:sz w:val="24"/>
          <w:szCs w:val="24"/>
        </w:rPr>
        <w:t xml:space="preserve"> (Muñoz, 2022). </w:t>
      </w:r>
    </w:p>
    <w:p w14:paraId="0000006D" w14:textId="278CFCC3" w:rsidR="00DC70F0" w:rsidRPr="002764D9" w:rsidRDefault="00F03A87" w:rsidP="00554A7E">
      <w:pPr>
        <w:pStyle w:val="Ttulo2"/>
        <w:numPr>
          <w:ilvl w:val="1"/>
          <w:numId w:val="8"/>
        </w:numPr>
        <w:spacing w:line="480" w:lineRule="auto"/>
        <w:rPr>
          <w:rFonts w:ascii="Times New Roman" w:eastAsia="Times New Roman" w:hAnsi="Times New Roman" w:cs="Times New Roman"/>
          <w:b/>
          <w:i/>
          <w:iCs/>
          <w:color w:val="000000" w:themeColor="text1"/>
          <w:sz w:val="24"/>
          <w:szCs w:val="24"/>
        </w:rPr>
      </w:pPr>
      <w:bookmarkStart w:id="22" w:name="_Toc232457397"/>
      <w:r w:rsidRPr="002764D9">
        <w:rPr>
          <w:rFonts w:ascii="Times New Roman" w:eastAsia="Times New Roman" w:hAnsi="Times New Roman" w:cs="Times New Roman"/>
          <w:b/>
          <w:i/>
          <w:iCs/>
          <w:color w:val="000000" w:themeColor="text1"/>
          <w:sz w:val="24"/>
          <w:szCs w:val="24"/>
        </w:rPr>
        <w:t xml:space="preserve">Impulsar el </w:t>
      </w:r>
      <w:r w:rsidR="00BA1E9B" w:rsidRPr="002764D9">
        <w:rPr>
          <w:rFonts w:ascii="Times New Roman" w:eastAsia="Times New Roman" w:hAnsi="Times New Roman" w:cs="Times New Roman"/>
          <w:b/>
          <w:i/>
          <w:iCs/>
          <w:color w:val="000000" w:themeColor="text1"/>
          <w:sz w:val="24"/>
          <w:szCs w:val="24"/>
        </w:rPr>
        <w:t>C</w:t>
      </w:r>
      <w:r w:rsidRPr="002764D9">
        <w:rPr>
          <w:rFonts w:ascii="Times New Roman" w:eastAsia="Times New Roman" w:hAnsi="Times New Roman" w:cs="Times New Roman"/>
          <w:b/>
          <w:i/>
          <w:iCs/>
          <w:color w:val="000000" w:themeColor="text1"/>
          <w:sz w:val="24"/>
          <w:szCs w:val="24"/>
        </w:rPr>
        <w:t xml:space="preserve">ambio en el </w:t>
      </w:r>
      <w:r w:rsidR="00BA1E9B" w:rsidRPr="002764D9">
        <w:rPr>
          <w:rFonts w:ascii="Times New Roman" w:eastAsia="Times New Roman" w:hAnsi="Times New Roman" w:cs="Times New Roman"/>
          <w:b/>
          <w:i/>
          <w:iCs/>
          <w:color w:val="000000" w:themeColor="text1"/>
          <w:sz w:val="24"/>
          <w:szCs w:val="24"/>
        </w:rPr>
        <w:t>M</w:t>
      </w:r>
      <w:r w:rsidRPr="002764D9">
        <w:rPr>
          <w:rFonts w:ascii="Times New Roman" w:eastAsia="Times New Roman" w:hAnsi="Times New Roman" w:cs="Times New Roman"/>
          <w:b/>
          <w:i/>
          <w:iCs/>
          <w:color w:val="000000" w:themeColor="text1"/>
          <w:sz w:val="24"/>
          <w:szCs w:val="24"/>
        </w:rPr>
        <w:t xml:space="preserve">undo: la </w:t>
      </w:r>
      <w:r w:rsidR="00BA1E9B" w:rsidRPr="002764D9">
        <w:rPr>
          <w:rFonts w:ascii="Times New Roman" w:eastAsia="Times New Roman" w:hAnsi="Times New Roman" w:cs="Times New Roman"/>
          <w:b/>
          <w:i/>
          <w:iCs/>
          <w:color w:val="000000" w:themeColor="text1"/>
          <w:sz w:val="24"/>
          <w:szCs w:val="24"/>
        </w:rPr>
        <w:t>J</w:t>
      </w:r>
      <w:r w:rsidRPr="002764D9">
        <w:rPr>
          <w:rFonts w:ascii="Times New Roman" w:eastAsia="Times New Roman" w:hAnsi="Times New Roman" w:cs="Times New Roman"/>
          <w:b/>
          <w:i/>
          <w:iCs/>
          <w:color w:val="000000" w:themeColor="text1"/>
          <w:sz w:val="24"/>
          <w:szCs w:val="24"/>
        </w:rPr>
        <w:t xml:space="preserve">usticia </w:t>
      </w:r>
      <w:r w:rsidR="00BA1E9B" w:rsidRPr="002764D9">
        <w:rPr>
          <w:rFonts w:ascii="Times New Roman" w:eastAsia="Times New Roman" w:hAnsi="Times New Roman" w:cs="Times New Roman"/>
          <w:b/>
          <w:i/>
          <w:iCs/>
          <w:color w:val="000000" w:themeColor="text1"/>
          <w:sz w:val="24"/>
          <w:szCs w:val="24"/>
        </w:rPr>
        <w:t>T</w:t>
      </w:r>
      <w:r w:rsidRPr="002764D9">
        <w:rPr>
          <w:rFonts w:ascii="Times New Roman" w:eastAsia="Times New Roman" w:hAnsi="Times New Roman" w:cs="Times New Roman"/>
          <w:b/>
          <w:i/>
          <w:iCs/>
          <w:color w:val="000000" w:themeColor="text1"/>
          <w:sz w:val="24"/>
          <w:szCs w:val="24"/>
        </w:rPr>
        <w:t xml:space="preserve">ransicional y la </w:t>
      </w:r>
      <w:r w:rsidR="00BA1E9B" w:rsidRPr="002764D9">
        <w:rPr>
          <w:rFonts w:ascii="Times New Roman" w:eastAsia="Times New Roman" w:hAnsi="Times New Roman" w:cs="Times New Roman"/>
          <w:b/>
          <w:i/>
          <w:iCs/>
          <w:color w:val="000000" w:themeColor="text1"/>
          <w:sz w:val="24"/>
          <w:szCs w:val="24"/>
        </w:rPr>
        <w:t>I</w:t>
      </w:r>
      <w:r w:rsidRPr="002764D9">
        <w:rPr>
          <w:rFonts w:ascii="Times New Roman" w:eastAsia="Times New Roman" w:hAnsi="Times New Roman" w:cs="Times New Roman"/>
          <w:b/>
          <w:i/>
          <w:iCs/>
          <w:color w:val="000000" w:themeColor="text1"/>
          <w:sz w:val="24"/>
          <w:szCs w:val="24"/>
        </w:rPr>
        <w:t xml:space="preserve">nterfaz entre </w:t>
      </w:r>
      <w:r w:rsidR="00BA1E9B" w:rsidRPr="002764D9">
        <w:rPr>
          <w:rFonts w:ascii="Times New Roman" w:eastAsia="Times New Roman" w:hAnsi="Times New Roman" w:cs="Times New Roman"/>
          <w:b/>
          <w:i/>
          <w:iCs/>
          <w:color w:val="000000" w:themeColor="text1"/>
          <w:sz w:val="24"/>
          <w:szCs w:val="24"/>
        </w:rPr>
        <w:t>I</w:t>
      </w:r>
      <w:r w:rsidRPr="002764D9">
        <w:rPr>
          <w:rFonts w:ascii="Times New Roman" w:eastAsia="Times New Roman" w:hAnsi="Times New Roman" w:cs="Times New Roman"/>
          <w:b/>
          <w:i/>
          <w:iCs/>
          <w:color w:val="000000" w:themeColor="text1"/>
          <w:sz w:val="24"/>
          <w:szCs w:val="24"/>
        </w:rPr>
        <w:t xml:space="preserve">nvestigación, </w:t>
      </w:r>
      <w:r w:rsidR="00BA1E9B" w:rsidRPr="002764D9">
        <w:rPr>
          <w:rFonts w:ascii="Times New Roman" w:eastAsia="Times New Roman" w:hAnsi="Times New Roman" w:cs="Times New Roman"/>
          <w:b/>
          <w:i/>
          <w:iCs/>
          <w:color w:val="000000" w:themeColor="text1"/>
          <w:sz w:val="24"/>
          <w:szCs w:val="24"/>
        </w:rPr>
        <w:t>P</w:t>
      </w:r>
      <w:r w:rsidRPr="002764D9">
        <w:rPr>
          <w:rFonts w:ascii="Times New Roman" w:eastAsia="Times New Roman" w:hAnsi="Times New Roman" w:cs="Times New Roman"/>
          <w:b/>
          <w:i/>
          <w:iCs/>
          <w:color w:val="000000" w:themeColor="text1"/>
          <w:sz w:val="24"/>
          <w:szCs w:val="24"/>
        </w:rPr>
        <w:t xml:space="preserve">olíticas y </w:t>
      </w:r>
      <w:r w:rsidR="00BA1E9B" w:rsidRPr="002764D9">
        <w:rPr>
          <w:rFonts w:ascii="Times New Roman" w:eastAsia="Times New Roman" w:hAnsi="Times New Roman" w:cs="Times New Roman"/>
          <w:b/>
          <w:i/>
          <w:iCs/>
          <w:color w:val="000000" w:themeColor="text1"/>
          <w:sz w:val="24"/>
          <w:szCs w:val="24"/>
        </w:rPr>
        <w:t>P</w:t>
      </w:r>
      <w:r w:rsidRPr="002764D9">
        <w:rPr>
          <w:rFonts w:ascii="Times New Roman" w:eastAsia="Times New Roman" w:hAnsi="Times New Roman" w:cs="Times New Roman"/>
          <w:b/>
          <w:i/>
          <w:iCs/>
          <w:color w:val="000000" w:themeColor="text1"/>
          <w:sz w:val="24"/>
          <w:szCs w:val="24"/>
        </w:rPr>
        <w:t>rácticas</w:t>
      </w:r>
      <w:bookmarkEnd w:id="22"/>
    </w:p>
    <w:p w14:paraId="495A1EEB" w14:textId="77777777" w:rsidR="001C5C80" w:rsidRPr="002764D9" w:rsidRDefault="00F03A87" w:rsidP="00554A7E">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002764D9">
        <w:rPr>
          <w:rFonts w:ascii="Times New Roman" w:eastAsia="Times New Roman" w:hAnsi="Times New Roman" w:cs="Times New Roman"/>
          <w:color w:val="000000" w:themeColor="text1"/>
          <w:sz w:val="24"/>
          <w:szCs w:val="24"/>
        </w:rPr>
        <w:t xml:space="preserve">La justicia transicional es un campo que ahora se caracteriza por una multiplicidad de voces y reclamos de experiencia. Anteriormente dominada por abogados, la burocratización y profesionalización de la práctica </w:t>
      </w:r>
      <w:r w:rsidR="29E91185" w:rsidRPr="002764D9">
        <w:rPr>
          <w:rFonts w:ascii="Times New Roman" w:eastAsia="Times New Roman" w:hAnsi="Times New Roman" w:cs="Times New Roman"/>
          <w:color w:val="000000" w:themeColor="text1"/>
          <w:sz w:val="24"/>
          <w:szCs w:val="24"/>
        </w:rPr>
        <w:t>y la</w:t>
      </w:r>
      <w:r w:rsidRPr="002764D9">
        <w:rPr>
          <w:rFonts w:ascii="Times New Roman" w:eastAsia="Times New Roman" w:hAnsi="Times New Roman" w:cs="Times New Roman"/>
          <w:color w:val="000000" w:themeColor="text1"/>
          <w:sz w:val="24"/>
          <w:szCs w:val="24"/>
        </w:rPr>
        <w:t xml:space="preserve"> difuminación de las líneas entre investigación, políticas y práctica. Estas características del campo han surgido en el contexto de cambios más amplios en la forma en que se ven la experiencia y el conocimiento en el contexto actual del neoliberalismo dominante. </w:t>
      </w:r>
    </w:p>
    <w:p w14:paraId="0000006E" w14:textId="1905BBB1" w:rsidR="00DC70F0" w:rsidRPr="003A72E3" w:rsidRDefault="00F03A87" w:rsidP="0C33D2ED">
      <w:pPr>
        <w:shd w:val="clear" w:color="auto" w:fill="FFFFFF" w:themeFill="background1"/>
        <w:spacing w:after="0" w:line="480" w:lineRule="auto"/>
        <w:ind w:firstLine="720"/>
        <w:rPr>
          <w:rFonts w:ascii="Times New Roman" w:eastAsia="Times New Roman" w:hAnsi="Times New Roman" w:cs="Times New Roman"/>
          <w:i/>
          <w:iCs/>
          <w:color w:val="000000" w:themeColor="text1"/>
          <w:sz w:val="24"/>
          <w:szCs w:val="24"/>
        </w:rPr>
      </w:pPr>
      <w:r w:rsidRPr="00894BC7">
        <w:rPr>
          <w:rFonts w:ascii="Times New Roman" w:eastAsia="Times New Roman" w:hAnsi="Times New Roman" w:cs="Times New Roman"/>
          <w:color w:val="000000" w:themeColor="text1"/>
          <w:sz w:val="24"/>
          <w:szCs w:val="24"/>
        </w:rPr>
        <w:t>Tal como lo expone Charria (2020) el conocimiento relevante para las políticas nunca se produce en el vacío. Quienes se especializan en ello (académicos, expertos, consultores y similares) están sujetos a estructuras dominantes más</w:t>
      </w:r>
      <w:r w:rsidRPr="0C33D2ED">
        <w:rPr>
          <w:rFonts w:ascii="Times New Roman" w:eastAsia="Times New Roman" w:hAnsi="Times New Roman" w:cs="Times New Roman"/>
          <w:color w:val="000000" w:themeColor="text1"/>
          <w:sz w:val="24"/>
          <w:szCs w:val="24"/>
        </w:rPr>
        <w:t xml:space="preserve"> amplias de su época, tanto materiales como ideológicas. Si bien estas estructuras no determinan qué conocimiento se está produciendo exactamente, crean estructuras de oportunidades para ciertas formas de conocimiento y excluyen alternativas a los cuerpos de conocimiento aceptados. Sostenemos que lo que hoy influye en la producción de conocimiento relevante para las políticas son las prácticas materiales e ideológicas del neoliberalismo</w:t>
      </w:r>
      <w:r w:rsidR="00830F6F">
        <w:rPr>
          <w:rFonts w:ascii="Times New Roman" w:eastAsia="Times New Roman" w:hAnsi="Times New Roman" w:cs="Times New Roman"/>
          <w:color w:val="000000" w:themeColor="text1"/>
          <w:sz w:val="24"/>
          <w:szCs w:val="24"/>
        </w:rPr>
        <w:t xml:space="preserve"> (Monroy, 2020). </w:t>
      </w:r>
    </w:p>
    <w:p w14:paraId="0000006F" w14:textId="77777777" w:rsidR="00DC70F0" w:rsidRPr="003A72E3" w:rsidRDefault="00F03A8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 xml:space="preserve">Gran parte de la investigación, las políticas y las prácticas emprendidas en el campo de la justicia transicional tienen en su núcleo un sentido de propósito: si se deben enjuiciar las violaciones de los derechos humanos; contribuir a procesos de curación social e individual a largo plazo; decidir cómo reconocer y reparar las experiencias de daño; o consolidar la autoridad de un "nuevo" contrato social. Es este sentido de propósito el que puede explicar gran parte de la </w:t>
      </w:r>
      <w:r w:rsidRPr="003A72E3">
        <w:rPr>
          <w:rFonts w:ascii="Times New Roman" w:eastAsia="Times New Roman" w:hAnsi="Times New Roman" w:cs="Times New Roman"/>
          <w:color w:val="000000" w:themeColor="text1"/>
          <w:sz w:val="24"/>
          <w:szCs w:val="24"/>
        </w:rPr>
        <w:lastRenderedPageBreak/>
        <w:t>tensión en los estudios sobre los "aciertos" y los "errores" del propio proceso de justicia transicional.</w:t>
      </w:r>
    </w:p>
    <w:p w14:paraId="00000070" w14:textId="64BB39BF" w:rsidR="00DC70F0" w:rsidRPr="003A72E3" w:rsidRDefault="00F03A87" w:rsidP="003A72E3">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 xml:space="preserve"> Las discusiones más reflexivas plantean preguntas inquisitivas sobre la forma en que se toman decisiones, se consulta a las víctimas o se negocia el poder a través de la justicia transicional. </w:t>
      </w:r>
      <w:r w:rsidR="789D4F1C" w:rsidRPr="003A72E3">
        <w:rPr>
          <w:rFonts w:ascii="Times New Roman" w:eastAsia="Times New Roman" w:hAnsi="Times New Roman" w:cs="Times New Roman"/>
          <w:color w:val="000000" w:themeColor="text1"/>
          <w:sz w:val="24"/>
          <w:szCs w:val="24"/>
        </w:rPr>
        <w:t>En el centro de estos debates hay dudas sobre si el propósito de un proceso de justicia transicional es legítimo o está bien definido, si el propósito final puede justificar medios que pueden ser menos consultivos o democráticos y si las interpretaciones contrapuestas sobre el propósito de un proceso determinado se pueden conciliar.</w:t>
      </w:r>
      <w:r w:rsidRPr="003A72E3">
        <w:rPr>
          <w:rFonts w:ascii="Times New Roman" w:eastAsia="Times New Roman" w:hAnsi="Times New Roman" w:cs="Times New Roman"/>
          <w:color w:val="000000" w:themeColor="text1"/>
          <w:sz w:val="24"/>
          <w:szCs w:val="24"/>
        </w:rPr>
        <w:t xml:space="preserve"> Lo que sustenta esto son las formas normalizadas de trabajo que condicionan las relaciones entre diferentes comunidades epistémicas</w:t>
      </w:r>
      <w:r w:rsidR="00894BC7">
        <w:rPr>
          <w:rFonts w:ascii="Times New Roman" w:eastAsia="Times New Roman" w:hAnsi="Times New Roman" w:cs="Times New Roman"/>
          <w:color w:val="000000" w:themeColor="text1"/>
          <w:sz w:val="24"/>
          <w:szCs w:val="24"/>
        </w:rPr>
        <w:t xml:space="preserve">. </w:t>
      </w:r>
    </w:p>
    <w:p w14:paraId="00000071" w14:textId="03A02322" w:rsidR="00DC70F0" w:rsidRPr="003A72E3" w:rsidRDefault="2C207B57" w:rsidP="003A72E3">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6DAF6575">
        <w:rPr>
          <w:rFonts w:ascii="Times New Roman" w:eastAsia="Times New Roman" w:hAnsi="Times New Roman" w:cs="Times New Roman"/>
          <w:color w:val="000000" w:themeColor="text1"/>
          <w:sz w:val="24"/>
          <w:szCs w:val="24"/>
        </w:rPr>
        <w:t>La justicia transicional opera mediante acciones de grupos: formuladores de políticas que planifican e implementan las instituciones; grupos de víctimas definidos por comisiones o tribunales; la ciudadanía implicada, pero no nombrada, por un informe final o decisión judicial; académicos que escriben literatura sobre contextos específicos de países o el fenómeno; y profesionales que trabajan para organizaciones no gubernamentales (ONG) que consultan sobre la posible transición.</w:t>
      </w:r>
      <w:r w:rsidR="00F03A87" w:rsidRPr="6DAF6575">
        <w:rPr>
          <w:rFonts w:ascii="Times New Roman" w:eastAsia="Times New Roman" w:hAnsi="Times New Roman" w:cs="Times New Roman"/>
          <w:color w:val="000000" w:themeColor="text1"/>
          <w:sz w:val="24"/>
          <w:szCs w:val="24"/>
        </w:rPr>
        <w:t xml:space="preserve"> Aunque puede resultar difícil mapear la influencia precisa de un área sobre otra, los comentarios en la literatura y las descripciones del proceso de formación pueden revelar el grado en que un área modela la transición a otra</w:t>
      </w:r>
      <w:r w:rsidR="00706055" w:rsidRPr="6DAF6575">
        <w:rPr>
          <w:rFonts w:ascii="Times New Roman" w:eastAsia="Times New Roman" w:hAnsi="Times New Roman" w:cs="Times New Roman"/>
          <w:color w:val="000000" w:themeColor="text1"/>
          <w:sz w:val="24"/>
          <w:szCs w:val="24"/>
        </w:rPr>
        <w:t xml:space="preserve"> (Collins y </w:t>
      </w:r>
      <w:r w:rsidR="63D81473" w:rsidRPr="6DAF6575">
        <w:rPr>
          <w:rFonts w:ascii="Times New Roman" w:eastAsia="Times New Roman" w:hAnsi="Times New Roman" w:cs="Times New Roman"/>
          <w:color w:val="000000" w:themeColor="text1"/>
          <w:sz w:val="24"/>
          <w:szCs w:val="24"/>
        </w:rPr>
        <w:t>Ordoñez</w:t>
      </w:r>
      <w:r w:rsidR="00706055" w:rsidRPr="6DAF6575">
        <w:rPr>
          <w:rFonts w:ascii="Times New Roman" w:eastAsia="Times New Roman" w:hAnsi="Times New Roman" w:cs="Times New Roman"/>
          <w:color w:val="000000" w:themeColor="text1"/>
          <w:sz w:val="24"/>
          <w:szCs w:val="24"/>
        </w:rPr>
        <w:t xml:space="preserve">, 2021). </w:t>
      </w:r>
    </w:p>
    <w:p w14:paraId="00000072" w14:textId="016BAA25" w:rsidR="00DC70F0" w:rsidRPr="003A72E3" w:rsidRDefault="00F03A87" w:rsidP="066E4FC7">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066E4FC7">
        <w:rPr>
          <w:rFonts w:ascii="Times New Roman" w:eastAsia="Times New Roman" w:hAnsi="Times New Roman" w:cs="Times New Roman"/>
          <w:color w:val="000000" w:themeColor="text1"/>
          <w:sz w:val="24"/>
          <w:szCs w:val="24"/>
        </w:rPr>
        <w:t xml:space="preserve">La coherencia del lenguaje y la terminología empleados en una amplia diversidad de contextos posconflicto revela un fenómeno global y su exportación/importación aparentemente exitosa de un país o región a otro a lo largo de las últimas décadas. </w:t>
      </w:r>
      <w:r w:rsidR="05CA64C6" w:rsidRPr="066E4FC7">
        <w:rPr>
          <w:rFonts w:ascii="Times New Roman" w:eastAsia="Times New Roman" w:hAnsi="Times New Roman" w:cs="Times New Roman"/>
          <w:color w:val="000000" w:themeColor="text1"/>
          <w:sz w:val="24"/>
          <w:szCs w:val="24"/>
        </w:rPr>
        <w:t xml:space="preserve">La búsqueda para revelar una ceguera en el campo surge de la naturaleza global de la empresa; El movimiento de ideas y </w:t>
      </w:r>
      <w:r w:rsidR="05CA64C6" w:rsidRPr="066E4FC7">
        <w:rPr>
          <w:rFonts w:ascii="Times New Roman" w:eastAsia="Times New Roman" w:hAnsi="Times New Roman" w:cs="Times New Roman"/>
          <w:color w:val="000000" w:themeColor="text1"/>
          <w:sz w:val="24"/>
          <w:szCs w:val="24"/>
        </w:rPr>
        <w:lastRenderedPageBreak/>
        <w:t>modos de transición revela una serie de "lecciones aprendidas" y la transferencia de preocupaciones ideológicas que sustentan el discurso neutral del proyecto.</w:t>
      </w:r>
      <w:r w:rsidR="00894BC7" w:rsidRPr="066E4FC7">
        <w:rPr>
          <w:rFonts w:ascii="Times New Roman" w:eastAsia="Times New Roman" w:hAnsi="Times New Roman" w:cs="Times New Roman"/>
          <w:color w:val="000000" w:themeColor="text1"/>
          <w:sz w:val="24"/>
          <w:szCs w:val="24"/>
        </w:rPr>
        <w:t xml:space="preserve"> </w:t>
      </w:r>
      <w:r w:rsidRPr="066E4FC7">
        <w:rPr>
          <w:rFonts w:ascii="Times New Roman" w:eastAsia="Times New Roman" w:hAnsi="Times New Roman" w:cs="Times New Roman"/>
          <w:color w:val="000000" w:themeColor="text1"/>
          <w:sz w:val="24"/>
          <w:szCs w:val="24"/>
        </w:rPr>
        <w:t xml:space="preserve"> </w:t>
      </w:r>
    </w:p>
    <w:p w14:paraId="00000074" w14:textId="64E87C55" w:rsidR="00DC70F0" w:rsidRPr="003A72E3" w:rsidRDefault="3284D386" w:rsidP="003A72E3">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0C33D2ED">
        <w:rPr>
          <w:rFonts w:ascii="Times New Roman" w:eastAsia="Times New Roman" w:hAnsi="Times New Roman" w:cs="Times New Roman"/>
          <w:color w:val="000000" w:themeColor="text1"/>
          <w:sz w:val="24"/>
          <w:szCs w:val="24"/>
        </w:rPr>
        <w:t xml:space="preserve">Las observaciones de distintos autores como lo expone </w:t>
      </w:r>
      <w:r w:rsidR="00541DB1">
        <w:rPr>
          <w:rFonts w:ascii="Times New Roman" w:eastAsia="Times New Roman" w:hAnsi="Times New Roman" w:cs="Times New Roman"/>
          <w:color w:val="000000" w:themeColor="text1"/>
          <w:sz w:val="24"/>
          <w:szCs w:val="24"/>
        </w:rPr>
        <w:t>Amado</w:t>
      </w:r>
      <w:r w:rsidRPr="0C33D2ED">
        <w:rPr>
          <w:rFonts w:ascii="Times New Roman" w:eastAsia="Times New Roman" w:hAnsi="Times New Roman" w:cs="Times New Roman"/>
          <w:color w:val="000000" w:themeColor="text1"/>
          <w:sz w:val="24"/>
          <w:szCs w:val="24"/>
        </w:rPr>
        <w:t xml:space="preserve"> (2021) sobre el fenómeno de exportación/importación de la política de justicia transicional sugieren una de dos cosas: o (1) los principios universales en los que se basa la justicia transicional son tan convincentes y justificables que los tipos de políticas que se generen serán, y deberían ser similares en todos los contextos, o sea, el derecho a la verdad se mantiene en todos los casos y las mejores prácticas recibidas sugieren que se deben implementar comisiones de la verdad, comisiones de investigación y disculpas oficiales.</w:t>
      </w:r>
      <w:r w:rsidR="000977CF" w:rsidRPr="0C33D2ED">
        <w:rPr>
          <w:rFonts w:ascii="Times New Roman" w:eastAsia="Times New Roman" w:hAnsi="Times New Roman" w:cs="Times New Roman"/>
          <w:color w:val="000000" w:themeColor="text1"/>
          <w:sz w:val="24"/>
          <w:szCs w:val="24"/>
        </w:rPr>
        <w:t xml:space="preserve"> </w:t>
      </w:r>
      <w:r w:rsidR="43BBFEB8" w:rsidRPr="0C33D2ED">
        <w:rPr>
          <w:rFonts w:ascii="Times New Roman" w:eastAsia="Times New Roman" w:hAnsi="Times New Roman" w:cs="Times New Roman"/>
          <w:color w:val="000000" w:themeColor="text1"/>
          <w:sz w:val="24"/>
          <w:szCs w:val="24"/>
        </w:rPr>
        <w:t>Aunque los investigadores y académicos no suponen un pensamiento más matizado, cabe considerar que las investigaciones que analizan las preferencias de las víctimas ven que es más probable que prioricen las situaciones económicas actuales que sus necesidades de búsqueda y verdad</w:t>
      </w:r>
      <w:r w:rsidR="00830F6F">
        <w:rPr>
          <w:rFonts w:ascii="Times New Roman" w:eastAsia="Times New Roman" w:hAnsi="Times New Roman" w:cs="Times New Roman"/>
          <w:color w:val="000000" w:themeColor="text1"/>
          <w:sz w:val="24"/>
          <w:szCs w:val="24"/>
        </w:rPr>
        <w:t xml:space="preserve"> (Zabala, 2021). </w:t>
      </w:r>
    </w:p>
    <w:p w14:paraId="00000075" w14:textId="66A6D62F" w:rsidR="00DC70F0" w:rsidRDefault="00F03A8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 xml:space="preserve">Como se destacó anteriormente, la justicia transicional como campo se caracteriza por el intercambio de investigación, políticas y prácticas. Los límites entre estas comunidades epistémicas no siempre son claros o impermeables, y en muchos sentidos la erudición académica deriva su existencia de las políticas y prácticas que son objeto de sus reflexiones. Esto ha sido descrito, en referencia a los Estudios de Desarrollo, como una incapacidad para "escapar de los mundos sucios de la formulación de políticas prácticas que le dan una razón de ser y que la vuelven impotente, apolítica o partidaria de una serie de intervenciones que le quitan poder. </w:t>
      </w:r>
    </w:p>
    <w:p w14:paraId="2973AE9B" w14:textId="62012CC3" w:rsidR="009B7A63" w:rsidRDefault="009B7A63"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1E251B33"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2C9D7702"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7407E979"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5D361B3A" w14:textId="08981E81" w:rsidR="00894BC7" w:rsidRPr="00894BC7" w:rsidRDefault="00894BC7" w:rsidP="003A72E3">
      <w:pPr>
        <w:shd w:val="clear" w:color="auto" w:fill="FFFFFF"/>
        <w:spacing w:after="0" w:line="480" w:lineRule="auto"/>
        <w:ind w:firstLine="720"/>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lastRenderedPageBreak/>
        <w:t xml:space="preserve">Tabla 2 </w:t>
      </w:r>
    </w:p>
    <w:p w14:paraId="7E0F7FDF" w14:textId="500EF12C" w:rsidR="00894BC7" w:rsidRPr="00894BC7" w:rsidRDefault="00894BC7" w:rsidP="003A72E3">
      <w:pPr>
        <w:shd w:val="clear" w:color="auto" w:fill="FFFFFF"/>
        <w:spacing w:after="0" w:line="480" w:lineRule="auto"/>
        <w:ind w:firstLine="720"/>
        <w:rPr>
          <w:rFonts w:ascii="Times New Roman" w:eastAsia="Times New Roman" w:hAnsi="Times New Roman" w:cs="Times New Roman"/>
          <w:i/>
          <w:iCs/>
          <w:color w:val="000000" w:themeColor="text1"/>
          <w:sz w:val="24"/>
          <w:szCs w:val="24"/>
        </w:rPr>
      </w:pPr>
      <w:r w:rsidRPr="00894BC7">
        <w:rPr>
          <w:rFonts w:ascii="Times New Roman" w:eastAsia="Times New Roman" w:hAnsi="Times New Roman" w:cs="Times New Roman"/>
          <w:i/>
          <w:iCs/>
          <w:color w:val="000000" w:themeColor="text1"/>
          <w:sz w:val="24"/>
          <w:szCs w:val="24"/>
        </w:rPr>
        <w:t>Abordaje de la diferencia de Justicia Transicional en Colombia</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7"/>
        <w:gridCol w:w="3245"/>
        <w:gridCol w:w="3678"/>
      </w:tblGrid>
      <w:tr w:rsidR="00894BC7" w:rsidRPr="00894BC7" w14:paraId="57E4C7C1" w14:textId="77777777" w:rsidTr="00894BC7">
        <w:trPr>
          <w:tblHeader/>
          <w:tblCellSpacing w:w="15" w:type="dxa"/>
          <w:jc w:val="center"/>
        </w:trPr>
        <w:tc>
          <w:tcPr>
            <w:tcW w:w="0" w:type="auto"/>
            <w:vAlign w:val="center"/>
            <w:hideMark/>
          </w:tcPr>
          <w:p w14:paraId="1BE34153" w14:textId="77777777" w:rsidR="00894BC7" w:rsidRPr="00894BC7" w:rsidRDefault="00894BC7" w:rsidP="00894BC7">
            <w:pPr>
              <w:shd w:val="clear" w:color="auto" w:fill="FFFFFF"/>
              <w:spacing w:after="0" w:line="240" w:lineRule="auto"/>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t>Elemento clave</w:t>
            </w:r>
          </w:p>
        </w:tc>
        <w:tc>
          <w:tcPr>
            <w:tcW w:w="0" w:type="auto"/>
            <w:vAlign w:val="center"/>
            <w:hideMark/>
          </w:tcPr>
          <w:p w14:paraId="784DC7E5" w14:textId="77777777" w:rsidR="00894BC7" w:rsidRPr="00894BC7" w:rsidRDefault="00894BC7" w:rsidP="00894BC7">
            <w:pPr>
              <w:shd w:val="clear" w:color="auto" w:fill="FFFFFF"/>
              <w:spacing w:after="0" w:line="240" w:lineRule="auto"/>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t>Proceso AUC (2003–2006)</w:t>
            </w:r>
          </w:p>
        </w:tc>
        <w:tc>
          <w:tcPr>
            <w:tcW w:w="0" w:type="auto"/>
            <w:vAlign w:val="center"/>
            <w:hideMark/>
          </w:tcPr>
          <w:p w14:paraId="5AFA859D" w14:textId="77777777" w:rsidR="00894BC7" w:rsidRPr="00894BC7" w:rsidRDefault="00894BC7" w:rsidP="00894BC7">
            <w:pPr>
              <w:shd w:val="clear" w:color="auto" w:fill="FFFFFF"/>
              <w:spacing w:after="0" w:line="240" w:lineRule="auto"/>
              <w:rPr>
                <w:rFonts w:ascii="Times New Roman" w:eastAsia="Times New Roman" w:hAnsi="Times New Roman" w:cs="Times New Roman"/>
                <w:b/>
                <w:bCs/>
                <w:color w:val="000000" w:themeColor="text1"/>
                <w:sz w:val="24"/>
                <w:szCs w:val="24"/>
              </w:rPr>
            </w:pPr>
            <w:r w:rsidRPr="00894BC7">
              <w:rPr>
                <w:rFonts w:ascii="Times New Roman" w:eastAsia="Times New Roman" w:hAnsi="Times New Roman" w:cs="Times New Roman"/>
                <w:b/>
                <w:bCs/>
                <w:color w:val="000000" w:themeColor="text1"/>
                <w:sz w:val="24"/>
                <w:szCs w:val="24"/>
              </w:rPr>
              <w:t>Proceso FARC-EP (2012–2016)</w:t>
            </w:r>
          </w:p>
        </w:tc>
      </w:tr>
      <w:tr w:rsidR="00894BC7" w:rsidRPr="00894BC7" w14:paraId="21132E31" w14:textId="77777777" w:rsidTr="00894BC7">
        <w:trPr>
          <w:tblCellSpacing w:w="15" w:type="dxa"/>
          <w:jc w:val="center"/>
        </w:trPr>
        <w:tc>
          <w:tcPr>
            <w:tcW w:w="0" w:type="auto"/>
            <w:vAlign w:val="center"/>
            <w:hideMark/>
          </w:tcPr>
          <w:p w14:paraId="7ED00A48"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Tipo de actor armado</w:t>
            </w:r>
          </w:p>
        </w:tc>
        <w:tc>
          <w:tcPr>
            <w:tcW w:w="0" w:type="auto"/>
            <w:vAlign w:val="center"/>
            <w:hideMark/>
          </w:tcPr>
          <w:p w14:paraId="0E275DD3"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Paramilitar, sin reconocimiento político</w:t>
            </w:r>
          </w:p>
        </w:tc>
        <w:tc>
          <w:tcPr>
            <w:tcW w:w="0" w:type="auto"/>
            <w:vAlign w:val="center"/>
            <w:hideMark/>
          </w:tcPr>
          <w:p w14:paraId="17473043"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Guerrilla insurgente con reconocimiento político</w:t>
            </w:r>
          </w:p>
        </w:tc>
      </w:tr>
      <w:tr w:rsidR="00894BC7" w:rsidRPr="00894BC7" w14:paraId="3435C1EA" w14:textId="77777777" w:rsidTr="00894BC7">
        <w:trPr>
          <w:tblCellSpacing w:w="15" w:type="dxa"/>
          <w:jc w:val="center"/>
        </w:trPr>
        <w:tc>
          <w:tcPr>
            <w:tcW w:w="0" w:type="auto"/>
            <w:vAlign w:val="center"/>
            <w:hideMark/>
          </w:tcPr>
          <w:p w14:paraId="77DFDBF3"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Marco normativo principal</w:t>
            </w:r>
          </w:p>
        </w:tc>
        <w:tc>
          <w:tcPr>
            <w:tcW w:w="0" w:type="auto"/>
            <w:vAlign w:val="center"/>
            <w:hideMark/>
          </w:tcPr>
          <w:p w14:paraId="6205E46C"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Ley 975 de 2005 (Justicia y Paz)</w:t>
            </w:r>
          </w:p>
        </w:tc>
        <w:tc>
          <w:tcPr>
            <w:tcW w:w="0" w:type="auto"/>
            <w:vAlign w:val="center"/>
            <w:hideMark/>
          </w:tcPr>
          <w:p w14:paraId="1718F9D9"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Acuerdo Final de Paz y Acto Legislativo 01 de 2017</w:t>
            </w:r>
          </w:p>
        </w:tc>
      </w:tr>
      <w:tr w:rsidR="00894BC7" w:rsidRPr="00894BC7" w14:paraId="3108EFAB" w14:textId="77777777" w:rsidTr="00894BC7">
        <w:trPr>
          <w:tblCellSpacing w:w="15" w:type="dxa"/>
          <w:jc w:val="center"/>
        </w:trPr>
        <w:tc>
          <w:tcPr>
            <w:tcW w:w="0" w:type="auto"/>
            <w:vAlign w:val="center"/>
            <w:hideMark/>
          </w:tcPr>
          <w:p w14:paraId="0D5CFDCF"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Enfoque judicial dominante</w:t>
            </w:r>
          </w:p>
        </w:tc>
        <w:tc>
          <w:tcPr>
            <w:tcW w:w="0" w:type="auto"/>
            <w:vAlign w:val="center"/>
            <w:hideMark/>
          </w:tcPr>
          <w:p w14:paraId="4381B2D5"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Retributivo (penas de hasta 8 años, condicional)</w:t>
            </w:r>
          </w:p>
        </w:tc>
        <w:tc>
          <w:tcPr>
            <w:tcW w:w="0" w:type="auto"/>
            <w:vAlign w:val="center"/>
            <w:hideMark/>
          </w:tcPr>
          <w:p w14:paraId="61B67DE7"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Restaurativo e integrador (Sistema Integral de Justicia)</w:t>
            </w:r>
          </w:p>
        </w:tc>
      </w:tr>
      <w:tr w:rsidR="00894BC7" w:rsidRPr="00894BC7" w14:paraId="0B494584" w14:textId="77777777" w:rsidTr="00894BC7">
        <w:trPr>
          <w:tblCellSpacing w:w="15" w:type="dxa"/>
          <w:jc w:val="center"/>
        </w:trPr>
        <w:tc>
          <w:tcPr>
            <w:tcW w:w="0" w:type="auto"/>
            <w:vAlign w:val="center"/>
            <w:hideMark/>
          </w:tcPr>
          <w:p w14:paraId="3EDF4A6A"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Aplicación de justicia restaurativa</w:t>
            </w:r>
          </w:p>
        </w:tc>
        <w:tc>
          <w:tcPr>
            <w:tcW w:w="0" w:type="auto"/>
            <w:vAlign w:val="center"/>
            <w:hideMark/>
          </w:tcPr>
          <w:p w14:paraId="17368F70"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Parcial y fragmentada</w:t>
            </w:r>
          </w:p>
        </w:tc>
        <w:tc>
          <w:tcPr>
            <w:tcW w:w="0" w:type="auto"/>
            <w:vAlign w:val="center"/>
            <w:hideMark/>
          </w:tcPr>
          <w:p w14:paraId="232987BE"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Central, como principio transversal</w:t>
            </w:r>
          </w:p>
        </w:tc>
      </w:tr>
      <w:tr w:rsidR="00894BC7" w:rsidRPr="00894BC7" w14:paraId="53EC7033" w14:textId="77777777" w:rsidTr="00894BC7">
        <w:trPr>
          <w:tblCellSpacing w:w="15" w:type="dxa"/>
          <w:jc w:val="center"/>
        </w:trPr>
        <w:tc>
          <w:tcPr>
            <w:tcW w:w="0" w:type="auto"/>
            <w:vAlign w:val="center"/>
            <w:hideMark/>
          </w:tcPr>
          <w:p w14:paraId="14FC82FE"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Participación de víctimas</w:t>
            </w:r>
          </w:p>
        </w:tc>
        <w:tc>
          <w:tcPr>
            <w:tcW w:w="0" w:type="auto"/>
            <w:vAlign w:val="center"/>
            <w:hideMark/>
          </w:tcPr>
          <w:p w14:paraId="3639F9EE"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Limitada y tardía</w:t>
            </w:r>
          </w:p>
        </w:tc>
        <w:tc>
          <w:tcPr>
            <w:tcW w:w="0" w:type="auto"/>
            <w:vAlign w:val="center"/>
            <w:hideMark/>
          </w:tcPr>
          <w:p w14:paraId="6935E704"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Amplia, desde el diseño hasta la implementación</w:t>
            </w:r>
          </w:p>
        </w:tc>
      </w:tr>
      <w:tr w:rsidR="00894BC7" w:rsidRPr="00894BC7" w14:paraId="6546881E" w14:textId="77777777" w:rsidTr="00894BC7">
        <w:trPr>
          <w:tblCellSpacing w:w="15" w:type="dxa"/>
          <w:jc w:val="center"/>
        </w:trPr>
        <w:tc>
          <w:tcPr>
            <w:tcW w:w="0" w:type="auto"/>
            <w:vAlign w:val="center"/>
            <w:hideMark/>
          </w:tcPr>
          <w:p w14:paraId="30993603"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Reparación a víctimas</w:t>
            </w:r>
          </w:p>
        </w:tc>
        <w:tc>
          <w:tcPr>
            <w:tcW w:w="0" w:type="auto"/>
            <w:vAlign w:val="center"/>
            <w:hideMark/>
          </w:tcPr>
          <w:p w14:paraId="00B9D0A2"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Individual, con escasa garantía de cumplimiento</w:t>
            </w:r>
          </w:p>
        </w:tc>
        <w:tc>
          <w:tcPr>
            <w:tcW w:w="0" w:type="auto"/>
            <w:vAlign w:val="center"/>
            <w:hideMark/>
          </w:tcPr>
          <w:p w14:paraId="73858B86"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Integral (colectiva e individual), con mecanismos claros</w:t>
            </w:r>
          </w:p>
        </w:tc>
      </w:tr>
      <w:tr w:rsidR="00894BC7" w:rsidRPr="00894BC7" w14:paraId="3CF72280" w14:textId="77777777" w:rsidTr="00894BC7">
        <w:trPr>
          <w:tblCellSpacing w:w="15" w:type="dxa"/>
          <w:jc w:val="center"/>
        </w:trPr>
        <w:tc>
          <w:tcPr>
            <w:tcW w:w="0" w:type="auto"/>
            <w:vAlign w:val="center"/>
            <w:hideMark/>
          </w:tcPr>
          <w:p w14:paraId="5DE0D69D"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Verdad y memoria</w:t>
            </w:r>
          </w:p>
        </w:tc>
        <w:tc>
          <w:tcPr>
            <w:tcW w:w="0" w:type="auto"/>
            <w:vAlign w:val="center"/>
            <w:hideMark/>
          </w:tcPr>
          <w:p w14:paraId="15963E92"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Confesional, incompleta y dispersa</w:t>
            </w:r>
          </w:p>
        </w:tc>
        <w:tc>
          <w:tcPr>
            <w:tcW w:w="0" w:type="auto"/>
            <w:vAlign w:val="center"/>
            <w:hideMark/>
          </w:tcPr>
          <w:p w14:paraId="3FEB3258"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Coordinada (JEP, Comisión de la Verdad, UBPD)</w:t>
            </w:r>
          </w:p>
        </w:tc>
      </w:tr>
      <w:tr w:rsidR="00894BC7" w:rsidRPr="00894BC7" w14:paraId="2A414D33" w14:textId="77777777" w:rsidTr="00894BC7">
        <w:trPr>
          <w:tblCellSpacing w:w="15" w:type="dxa"/>
          <w:jc w:val="center"/>
        </w:trPr>
        <w:tc>
          <w:tcPr>
            <w:tcW w:w="0" w:type="auto"/>
            <w:vAlign w:val="center"/>
            <w:hideMark/>
          </w:tcPr>
          <w:p w14:paraId="6FF35BBE"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Supervisión internacional</w:t>
            </w:r>
          </w:p>
        </w:tc>
        <w:tc>
          <w:tcPr>
            <w:tcW w:w="0" w:type="auto"/>
            <w:vAlign w:val="center"/>
            <w:hideMark/>
          </w:tcPr>
          <w:p w14:paraId="661380A8"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Mínima</w:t>
            </w:r>
          </w:p>
        </w:tc>
        <w:tc>
          <w:tcPr>
            <w:tcW w:w="0" w:type="auto"/>
            <w:vAlign w:val="center"/>
            <w:hideMark/>
          </w:tcPr>
          <w:p w14:paraId="153B97F5" w14:textId="77777777" w:rsidR="00894BC7" w:rsidRPr="00894BC7" w:rsidRDefault="00894BC7" w:rsidP="00894BC7">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894BC7">
              <w:rPr>
                <w:rFonts w:ascii="Times New Roman" w:eastAsia="Times New Roman" w:hAnsi="Times New Roman" w:cs="Times New Roman"/>
                <w:color w:val="000000" w:themeColor="text1"/>
                <w:sz w:val="24"/>
                <w:szCs w:val="24"/>
              </w:rPr>
              <w:t>Alta (ONU, verificación internacional)</w:t>
            </w:r>
          </w:p>
        </w:tc>
      </w:tr>
    </w:tbl>
    <w:p w14:paraId="0A39ED55" w14:textId="026D956D" w:rsidR="00894BC7" w:rsidRDefault="00894BC7" w:rsidP="066E4FC7">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066E4FC7">
        <w:rPr>
          <w:rFonts w:ascii="Times New Roman" w:eastAsia="Times New Roman" w:hAnsi="Times New Roman" w:cs="Times New Roman"/>
          <w:color w:val="000000" w:themeColor="text1"/>
          <w:sz w:val="24"/>
          <w:szCs w:val="24"/>
        </w:rPr>
        <w:t xml:space="preserve">Nota. </w:t>
      </w:r>
      <w:r w:rsidR="0D00DD3C" w:rsidRPr="066E4FC7">
        <w:rPr>
          <w:rFonts w:ascii="Times New Roman" w:eastAsia="Times New Roman" w:hAnsi="Times New Roman" w:cs="Times New Roman"/>
          <w:color w:val="000000" w:themeColor="text1"/>
          <w:sz w:val="24"/>
          <w:szCs w:val="24"/>
        </w:rPr>
        <w:t>Información relacionada con la revisión documental de trabajos investigados, 2025.</w:t>
      </w:r>
      <w:r w:rsidRPr="066E4FC7">
        <w:rPr>
          <w:rFonts w:ascii="Times New Roman" w:eastAsia="Times New Roman" w:hAnsi="Times New Roman" w:cs="Times New Roman"/>
          <w:color w:val="000000" w:themeColor="text1"/>
          <w:sz w:val="24"/>
          <w:szCs w:val="24"/>
        </w:rPr>
        <w:t xml:space="preserve"> </w:t>
      </w:r>
    </w:p>
    <w:p w14:paraId="28A478B5"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6417F93F" w14:textId="77777777" w:rsidR="00781AC4" w:rsidRPr="003A72E3" w:rsidRDefault="00781AC4" w:rsidP="00781AC4">
      <w:pPr>
        <w:pStyle w:val="Ttulo2"/>
        <w:numPr>
          <w:ilvl w:val="1"/>
          <w:numId w:val="8"/>
        </w:numPr>
        <w:jc w:val="both"/>
        <w:rPr>
          <w:rFonts w:ascii="Times New Roman" w:hAnsi="Times New Roman" w:cs="Times New Roman"/>
          <w:b/>
          <w:bCs/>
          <w:color w:val="000000" w:themeColor="text1"/>
          <w:sz w:val="24"/>
          <w:szCs w:val="24"/>
        </w:rPr>
      </w:pPr>
      <w:bookmarkStart w:id="23" w:name="_Toc232457398"/>
      <w:r w:rsidRPr="003A72E3">
        <w:rPr>
          <w:rFonts w:ascii="Times New Roman" w:hAnsi="Times New Roman" w:cs="Times New Roman"/>
          <w:b/>
          <w:bCs/>
          <w:color w:val="000000" w:themeColor="text1"/>
          <w:sz w:val="24"/>
          <w:szCs w:val="24"/>
        </w:rPr>
        <w:t>Abreviaturas</w:t>
      </w:r>
      <w:bookmarkEnd w:id="23"/>
      <w:r w:rsidRPr="003A72E3">
        <w:rPr>
          <w:rFonts w:ascii="Times New Roman" w:hAnsi="Times New Roman" w:cs="Times New Roman"/>
          <w:b/>
          <w:bCs/>
          <w:color w:val="000000" w:themeColor="text1"/>
          <w:sz w:val="24"/>
          <w:szCs w:val="24"/>
        </w:rPr>
        <w:t xml:space="preserve"> </w:t>
      </w:r>
    </w:p>
    <w:p w14:paraId="06C1D84E" w14:textId="77777777" w:rsidR="00781AC4" w:rsidRPr="003A72E3" w:rsidRDefault="00781AC4" w:rsidP="00781AC4">
      <w:pPr>
        <w:jc w:val="both"/>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AFP (Acuerdo Final de Paz)</w:t>
      </w:r>
    </w:p>
    <w:p w14:paraId="5593E9D3" w14:textId="77777777" w:rsidR="00781AC4" w:rsidRPr="003A72E3" w:rsidRDefault="00781AC4" w:rsidP="00781AC4">
      <w:pPr>
        <w:jc w:val="both"/>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 xml:space="preserve">AUC (Autodefensas Unidas de Colombia) </w:t>
      </w:r>
    </w:p>
    <w:p w14:paraId="267E140D" w14:textId="77777777" w:rsidR="00781AC4" w:rsidRPr="003A72E3" w:rsidRDefault="00781AC4" w:rsidP="00781AC4">
      <w:pPr>
        <w:jc w:val="both"/>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CPI (Corte Penal Internacional)</w:t>
      </w:r>
    </w:p>
    <w:p w14:paraId="4DD40CBD" w14:textId="77777777" w:rsidR="00781AC4" w:rsidRPr="003A72E3" w:rsidRDefault="00781AC4" w:rsidP="00781AC4">
      <w:pPr>
        <w:jc w:val="both"/>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DIDH (derechos humanos)</w:t>
      </w:r>
    </w:p>
    <w:p w14:paraId="5AF99C94" w14:textId="77777777" w:rsidR="00781AC4" w:rsidRPr="003A72E3" w:rsidRDefault="00781AC4" w:rsidP="00781AC4">
      <w:pPr>
        <w:jc w:val="both"/>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 xml:space="preserve">DIH (derecho internacional humanitario) </w:t>
      </w:r>
    </w:p>
    <w:p w14:paraId="34F8C583" w14:textId="77777777" w:rsidR="00781AC4" w:rsidRPr="003A72E3" w:rsidRDefault="00781AC4" w:rsidP="00781AC4">
      <w:pPr>
        <w:jc w:val="both"/>
        <w:rPr>
          <w:rFonts w:ascii="Times New Roman" w:hAnsi="Times New Roman" w:cs="Times New Roman"/>
          <w:color w:val="000000" w:themeColor="text1"/>
          <w:sz w:val="24"/>
          <w:szCs w:val="24"/>
        </w:rPr>
      </w:pPr>
      <w:r w:rsidRPr="003A72E3">
        <w:rPr>
          <w:rFonts w:ascii="Times New Roman" w:hAnsi="Times New Roman" w:cs="Times New Roman"/>
          <w:color w:val="000000" w:themeColor="text1"/>
          <w:sz w:val="24"/>
          <w:szCs w:val="24"/>
        </w:rPr>
        <w:t xml:space="preserve">DPI (Derecho Penal Internacional </w:t>
      </w:r>
    </w:p>
    <w:p w14:paraId="46BE1412" w14:textId="77777777" w:rsidR="00781AC4" w:rsidRPr="003A72E3" w:rsidRDefault="00781AC4" w:rsidP="00781AC4">
      <w:pPr>
        <w:jc w:val="both"/>
        <w:rPr>
          <w:rFonts w:ascii="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 xml:space="preserve">FARC EP (Fuerzas Armadas Revolucionarias de Colombia- Ejército del Pueblo) </w:t>
      </w:r>
      <w:r w:rsidRPr="003A72E3">
        <w:rPr>
          <w:rFonts w:ascii="Times New Roman" w:hAnsi="Times New Roman" w:cs="Times New Roman"/>
          <w:color w:val="000000" w:themeColor="text1"/>
          <w:sz w:val="24"/>
          <w:szCs w:val="24"/>
        </w:rPr>
        <w:t xml:space="preserve"> </w:t>
      </w:r>
    </w:p>
    <w:p w14:paraId="0514DC72" w14:textId="77777777" w:rsidR="00781AC4" w:rsidRPr="003A72E3" w:rsidRDefault="00781AC4" w:rsidP="00781AC4">
      <w:pPr>
        <w:jc w:val="both"/>
        <w:rPr>
          <w:rFonts w:ascii="Times New Roman" w:hAnsi="Times New Roman" w:cs="Times New Roman"/>
          <w:color w:val="000000" w:themeColor="text1"/>
          <w:sz w:val="24"/>
          <w:szCs w:val="24"/>
        </w:rPr>
      </w:pPr>
      <w:r w:rsidRPr="003A72E3">
        <w:rPr>
          <w:rFonts w:ascii="Times New Roman" w:hAnsi="Times New Roman" w:cs="Times New Roman"/>
          <w:color w:val="000000" w:themeColor="text1"/>
          <w:sz w:val="24"/>
          <w:szCs w:val="24"/>
        </w:rPr>
        <w:t>JEP (Jurisdicción Especial para la Paz)</w:t>
      </w:r>
    </w:p>
    <w:p w14:paraId="0C59B618" w14:textId="77777777" w:rsidR="00781AC4" w:rsidRPr="003A72E3" w:rsidRDefault="00781AC4" w:rsidP="00781AC4">
      <w:pPr>
        <w:jc w:val="both"/>
        <w:rPr>
          <w:rFonts w:ascii="Times New Roman" w:hAnsi="Times New Roman" w:cs="Times New Roman"/>
          <w:color w:val="000000" w:themeColor="text1"/>
          <w:sz w:val="24"/>
          <w:szCs w:val="24"/>
        </w:rPr>
      </w:pPr>
      <w:r w:rsidRPr="003A72E3">
        <w:rPr>
          <w:rFonts w:ascii="Times New Roman" w:hAnsi="Times New Roman" w:cs="Times New Roman"/>
          <w:color w:val="000000" w:themeColor="text1"/>
          <w:sz w:val="24"/>
          <w:szCs w:val="24"/>
        </w:rPr>
        <w:t>JT (Justicia Transicional)</w:t>
      </w:r>
    </w:p>
    <w:p w14:paraId="68AB5E6E" w14:textId="77777777" w:rsidR="00781AC4" w:rsidRPr="003A72E3" w:rsidRDefault="00781AC4" w:rsidP="00781AC4">
      <w:pPr>
        <w:jc w:val="both"/>
        <w:rPr>
          <w:rFonts w:ascii="Times New Roman" w:hAnsi="Times New Roman" w:cs="Times New Roman"/>
          <w:color w:val="000000" w:themeColor="text1"/>
          <w:sz w:val="24"/>
          <w:szCs w:val="24"/>
        </w:rPr>
      </w:pPr>
      <w:r w:rsidRPr="003A72E3">
        <w:rPr>
          <w:rFonts w:ascii="Times New Roman" w:hAnsi="Times New Roman" w:cs="Times New Roman"/>
          <w:color w:val="000000" w:themeColor="text1"/>
          <w:sz w:val="24"/>
          <w:szCs w:val="24"/>
        </w:rPr>
        <w:t>ONG (Organizaciones no gubernamentales)</w:t>
      </w:r>
    </w:p>
    <w:p w14:paraId="11528625" w14:textId="77777777" w:rsidR="00781AC4" w:rsidRPr="003A72E3" w:rsidRDefault="00781AC4" w:rsidP="00781AC4">
      <w:pPr>
        <w:jc w:val="both"/>
        <w:rPr>
          <w:rFonts w:ascii="Times New Roman" w:eastAsia="Times New Roman" w:hAnsi="Times New Roman" w:cs="Times New Roman"/>
          <w:color w:val="000000" w:themeColor="text1"/>
          <w:sz w:val="24"/>
          <w:szCs w:val="24"/>
          <w:lang w:val="en-US"/>
        </w:rPr>
      </w:pPr>
      <w:r w:rsidRPr="003A72E3">
        <w:rPr>
          <w:rFonts w:ascii="Times New Roman" w:eastAsia="Times New Roman" w:hAnsi="Times New Roman" w:cs="Times New Roman"/>
          <w:color w:val="000000" w:themeColor="text1"/>
          <w:sz w:val="24"/>
          <w:szCs w:val="24"/>
          <w:lang w:val="en-US"/>
        </w:rPr>
        <w:t xml:space="preserve">QUADAS (Quality Assessment of Diagnostic Accuracy Studies) </w:t>
      </w:r>
    </w:p>
    <w:p w14:paraId="25F0E74D" w14:textId="77777777" w:rsidR="00781AC4" w:rsidRPr="003A72E3" w:rsidRDefault="00781AC4" w:rsidP="00781AC4">
      <w:pPr>
        <w:jc w:val="both"/>
        <w:rPr>
          <w:rFonts w:ascii="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lastRenderedPageBreak/>
        <w:t>SA (Sanciones Alternativas)</w:t>
      </w:r>
    </w:p>
    <w:p w14:paraId="25E62EBF" w14:textId="77777777" w:rsidR="00781AC4" w:rsidRPr="003A72E3" w:rsidRDefault="00781AC4" w:rsidP="00781AC4">
      <w:pPr>
        <w:spacing w:after="0" w:line="480" w:lineRule="auto"/>
        <w:ind w:left="720" w:hanging="720"/>
        <w:jc w:val="both"/>
        <w:rPr>
          <w:rFonts w:ascii="Times New Roman" w:eastAsia="Times New Roman" w:hAnsi="Times New Roman" w:cs="Times New Roman"/>
          <w:color w:val="000000" w:themeColor="text1"/>
          <w:sz w:val="24"/>
          <w:szCs w:val="24"/>
        </w:rPr>
      </w:pPr>
    </w:p>
    <w:p w14:paraId="0A9C0A97" w14:textId="77777777" w:rsidR="00781AC4" w:rsidRPr="003A72E3" w:rsidRDefault="00781AC4" w:rsidP="00781AC4">
      <w:pPr>
        <w:spacing w:after="0" w:line="480" w:lineRule="auto"/>
        <w:jc w:val="both"/>
        <w:rPr>
          <w:rFonts w:ascii="Times New Roman" w:eastAsia="Times New Roman" w:hAnsi="Times New Roman" w:cs="Times New Roman"/>
          <w:color w:val="000000" w:themeColor="text1"/>
          <w:sz w:val="24"/>
          <w:szCs w:val="24"/>
          <w:u w:val="single"/>
        </w:rPr>
      </w:pPr>
    </w:p>
    <w:p w14:paraId="3510A4DF"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26D858EE"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1033C700"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315E7C8A"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381A67F0"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0B9ADBE0"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73E68BFE"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0C2A0071"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15C340BB"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4E1C0BAA"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580D5DFF"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6A3FE95A"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540A6A7E"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70ED3E66"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384D9F2C"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77F87897"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68E5C507"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7CF3306E"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481C5540"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3DF10C04" w14:textId="77777777" w:rsidR="00894BC7" w:rsidRDefault="00894BC7"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125F4503" w14:textId="77777777" w:rsidR="00781AC4" w:rsidRPr="003A72E3"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00000076" w14:textId="64A9B1D2" w:rsidR="00DC70F0" w:rsidRPr="003A72E3" w:rsidRDefault="00F03A87" w:rsidP="00781AC4">
      <w:pPr>
        <w:pStyle w:val="Ttulo1"/>
        <w:numPr>
          <w:ilvl w:val="0"/>
          <w:numId w:val="8"/>
        </w:numPr>
        <w:spacing w:before="0" w:after="0" w:line="480" w:lineRule="auto"/>
        <w:ind w:left="0" w:firstLine="720"/>
        <w:jc w:val="center"/>
        <w:rPr>
          <w:rFonts w:ascii="Times New Roman" w:eastAsia="Times New Roman" w:hAnsi="Times New Roman" w:cs="Times New Roman"/>
          <w:b/>
          <w:color w:val="000000" w:themeColor="text1"/>
          <w:sz w:val="24"/>
          <w:szCs w:val="24"/>
        </w:rPr>
      </w:pPr>
      <w:bookmarkStart w:id="24" w:name="_Toc232457399"/>
      <w:r w:rsidRPr="003A72E3">
        <w:rPr>
          <w:rFonts w:ascii="Times New Roman" w:eastAsia="Times New Roman" w:hAnsi="Times New Roman" w:cs="Times New Roman"/>
          <w:b/>
          <w:color w:val="000000" w:themeColor="text1"/>
          <w:sz w:val="24"/>
          <w:szCs w:val="24"/>
        </w:rPr>
        <w:lastRenderedPageBreak/>
        <w:t>Metodología</w:t>
      </w:r>
      <w:bookmarkEnd w:id="24"/>
    </w:p>
    <w:p w14:paraId="57021E32" w14:textId="6366C52D" w:rsidR="00554A7E" w:rsidRDefault="00384D8B" w:rsidP="00554A7E">
      <w:pPr>
        <w:spacing w:after="0" w:line="480" w:lineRule="auto"/>
        <w:ind w:firstLine="720"/>
        <w:rPr>
          <w:rFonts w:ascii="Times New Roman" w:eastAsia="Times New Roman" w:hAnsi="Times New Roman" w:cs="Times New Roman"/>
          <w:color w:val="000000" w:themeColor="text1"/>
          <w:sz w:val="24"/>
          <w:szCs w:val="24"/>
        </w:rPr>
      </w:pPr>
      <w:r w:rsidRPr="003A72E3">
        <w:rPr>
          <w:rFonts w:ascii="Times New Roman" w:eastAsia="Times New Roman" w:hAnsi="Times New Roman" w:cs="Times New Roman"/>
          <w:color w:val="000000" w:themeColor="text1"/>
          <w:sz w:val="24"/>
          <w:szCs w:val="24"/>
        </w:rPr>
        <w:t xml:space="preserve">Para el análisis e interpretación de las unidades de significado sobre la justicia transicional en Colombia, se utilizó la técnica </w:t>
      </w:r>
      <w:r w:rsidRPr="00346936">
        <w:rPr>
          <w:rFonts w:ascii="Times New Roman" w:eastAsia="Times New Roman" w:hAnsi="Times New Roman" w:cs="Times New Roman"/>
          <w:color w:val="000000" w:themeColor="text1"/>
          <w:sz w:val="24"/>
          <w:szCs w:val="24"/>
        </w:rPr>
        <w:t>de análisis de contenido, priorizando la reflexión crítica y la confrontación de información mediante una revisión sistemática.</w:t>
      </w:r>
    </w:p>
    <w:p w14:paraId="54179942" w14:textId="024314CD" w:rsidR="00554A7E" w:rsidRPr="00541DB1" w:rsidRDefault="00554A7E" w:rsidP="00541DB1">
      <w:pPr>
        <w:pStyle w:val="Prrafodelista"/>
        <w:numPr>
          <w:ilvl w:val="1"/>
          <w:numId w:val="8"/>
        </w:numPr>
        <w:spacing w:after="0" w:line="480" w:lineRule="auto"/>
        <w:rPr>
          <w:rFonts w:ascii="Times New Roman" w:hAnsi="Times New Roman" w:cs="Times New Roman"/>
          <w:i/>
          <w:iCs/>
          <w:color w:val="000000"/>
          <w:sz w:val="24"/>
          <w:szCs w:val="24"/>
        </w:rPr>
      </w:pPr>
      <w:r w:rsidRPr="00541DB1">
        <w:rPr>
          <w:rFonts w:ascii="Times New Roman" w:hAnsi="Times New Roman" w:cs="Times New Roman"/>
          <w:i/>
          <w:iCs/>
          <w:color w:val="000000"/>
          <w:sz w:val="24"/>
          <w:szCs w:val="24"/>
        </w:rPr>
        <w:t>Paradigma de Investigación</w:t>
      </w:r>
    </w:p>
    <w:p w14:paraId="14D0E864" w14:textId="2AD50B58" w:rsidR="00554A7E" w:rsidRPr="00146CDF" w:rsidRDefault="00554A7E" w:rsidP="00894BC7">
      <w:pPr>
        <w:spacing w:after="0" w:line="480" w:lineRule="auto"/>
        <w:ind w:firstLine="720"/>
        <w:rPr>
          <w:rFonts w:ascii="Times New Roman" w:hAnsi="Times New Roman" w:cs="Times New Roman"/>
          <w:color w:val="000000"/>
          <w:sz w:val="24"/>
          <w:szCs w:val="24"/>
        </w:rPr>
      </w:pPr>
      <w:r w:rsidRPr="0C33D2ED">
        <w:rPr>
          <w:rFonts w:ascii="Times New Roman" w:hAnsi="Times New Roman" w:cs="Times New Roman"/>
          <w:color w:val="000000" w:themeColor="text1"/>
          <w:sz w:val="24"/>
          <w:szCs w:val="24"/>
        </w:rPr>
        <w:t xml:space="preserve">El paradigma de investigación que sustenta este análisis de la justicia transicional se orienta desde una perspectiva interpretativa y crítica, dada la naturaleza de los fenómenos sociales que se exploran: la desmovilización de las Autodefensas Unidas de Colombia (AUC) y la entrega de armas de las Fuerzas Armadas Revolucionarias de Colombia (FARC-EP). Este paradigma busca comprender las dinámicas sociales y políticas que dieron forma a estos procesos, tomando en cuenta las subjetividades, los contextos históricos y las percepciones de los actores involucrados. </w:t>
      </w:r>
      <w:r w:rsidR="43BBFEB8" w:rsidRPr="0C33D2ED">
        <w:rPr>
          <w:rFonts w:ascii="Times New Roman" w:hAnsi="Times New Roman" w:cs="Times New Roman"/>
          <w:color w:val="000000" w:themeColor="text1"/>
          <w:sz w:val="24"/>
          <w:szCs w:val="24"/>
        </w:rPr>
        <w:t>La investigación se basa en la premisa de que la justicia transicional debe analizarse mediante sus implicaciones legales y políticas, y desde sus repercusiones sociales y culturales, lo que implica un enfoque crítico que cuestione las narrativas oficiales</w:t>
      </w:r>
      <w:r w:rsidR="00850781">
        <w:rPr>
          <w:rFonts w:ascii="Times New Roman" w:hAnsi="Times New Roman" w:cs="Times New Roman"/>
          <w:color w:val="000000" w:themeColor="text1"/>
          <w:sz w:val="24"/>
          <w:szCs w:val="24"/>
        </w:rPr>
        <w:t xml:space="preserve"> (Hernández, Fernández, Baptista, 2014). </w:t>
      </w:r>
    </w:p>
    <w:p w14:paraId="6B049897" w14:textId="73304763" w:rsidR="00554A7E" w:rsidRPr="00541DB1" w:rsidRDefault="00554A7E" w:rsidP="00541DB1">
      <w:pPr>
        <w:pStyle w:val="Prrafodelista"/>
        <w:numPr>
          <w:ilvl w:val="1"/>
          <w:numId w:val="8"/>
        </w:numPr>
        <w:spacing w:after="0" w:line="480" w:lineRule="auto"/>
        <w:rPr>
          <w:rFonts w:ascii="Times New Roman" w:hAnsi="Times New Roman" w:cs="Times New Roman"/>
          <w:i/>
          <w:iCs/>
          <w:color w:val="000000"/>
          <w:sz w:val="24"/>
          <w:szCs w:val="24"/>
        </w:rPr>
      </w:pPr>
      <w:r w:rsidRPr="00541DB1">
        <w:rPr>
          <w:rFonts w:ascii="Times New Roman" w:hAnsi="Times New Roman" w:cs="Times New Roman"/>
          <w:i/>
          <w:iCs/>
          <w:color w:val="000000"/>
          <w:sz w:val="24"/>
          <w:szCs w:val="24"/>
        </w:rPr>
        <w:t>Enfoque de Investigación</w:t>
      </w:r>
    </w:p>
    <w:p w14:paraId="2A5EB744" w14:textId="4DE68A71" w:rsidR="00554A7E" w:rsidRPr="00146CDF" w:rsidRDefault="00554A7E" w:rsidP="00554A7E">
      <w:pPr>
        <w:spacing w:after="0" w:line="480" w:lineRule="auto"/>
        <w:ind w:firstLine="720"/>
        <w:rPr>
          <w:rFonts w:ascii="Times New Roman" w:hAnsi="Times New Roman" w:cs="Times New Roman"/>
          <w:color w:val="000000"/>
          <w:sz w:val="24"/>
          <w:szCs w:val="24"/>
        </w:rPr>
      </w:pPr>
      <w:r w:rsidRPr="00146CDF">
        <w:rPr>
          <w:rFonts w:ascii="Times New Roman" w:hAnsi="Times New Roman" w:cs="Times New Roman"/>
          <w:color w:val="000000"/>
          <w:sz w:val="24"/>
          <w:szCs w:val="24"/>
        </w:rPr>
        <w:t xml:space="preserve">El enfoque metodológico adoptado es cualitativo, ya que el objetivo central es entender, analizar e interpretar las diferencias entre los procesos de desmovilización de las AUC y la entrega de armas de las FARC-EP, dentro de los marcos legales de la Ley 975 de 2005 y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146CDF">
        <w:rPr>
          <w:rFonts w:ascii="Times New Roman" w:hAnsi="Times New Roman" w:cs="Times New Roman"/>
          <w:color w:val="000000"/>
          <w:sz w:val="24"/>
          <w:szCs w:val="24"/>
        </w:rPr>
        <w:t xml:space="preserve">de 2019. Este enfoque permite explorar los diversos actores, las relaciones de poder, las percepciones y las experiencias subjetivas de las víctimas, los excombatientes, los actores políticos y las autoridades que participaron en estos procesos. Además, se busca profundizar en las diferencias entre los procedimientos y los resultados de cada uno, para establecer cómo la </w:t>
      </w:r>
      <w:r w:rsidRPr="00146CDF">
        <w:rPr>
          <w:rFonts w:ascii="Times New Roman" w:hAnsi="Times New Roman" w:cs="Times New Roman"/>
          <w:color w:val="000000"/>
          <w:sz w:val="24"/>
          <w:szCs w:val="24"/>
        </w:rPr>
        <w:lastRenderedPageBreak/>
        <w:t>justicia transicional ha sido aplicada de manera diversa según el grupo armado, destacando los matices y tensiones que han caracterizado ambos procesos</w:t>
      </w:r>
      <w:r w:rsidR="00850781">
        <w:rPr>
          <w:rFonts w:ascii="Times New Roman" w:hAnsi="Times New Roman" w:cs="Times New Roman"/>
          <w:color w:val="000000"/>
          <w:sz w:val="24"/>
          <w:szCs w:val="24"/>
        </w:rPr>
        <w:t xml:space="preserve"> (Piña, 2023). </w:t>
      </w:r>
    </w:p>
    <w:p w14:paraId="0EA98073" w14:textId="70FB7107" w:rsidR="00554A7E" w:rsidRPr="004845DA" w:rsidRDefault="00554A7E" w:rsidP="004845DA">
      <w:pPr>
        <w:pStyle w:val="Prrafodelista"/>
        <w:numPr>
          <w:ilvl w:val="1"/>
          <w:numId w:val="8"/>
        </w:numPr>
        <w:spacing w:after="0" w:line="480" w:lineRule="auto"/>
        <w:rPr>
          <w:rFonts w:ascii="Times New Roman" w:hAnsi="Times New Roman" w:cs="Times New Roman"/>
          <w:i/>
          <w:iCs/>
          <w:color w:val="000000"/>
          <w:sz w:val="24"/>
          <w:szCs w:val="24"/>
        </w:rPr>
      </w:pPr>
      <w:r w:rsidRPr="004845DA">
        <w:rPr>
          <w:rFonts w:ascii="Times New Roman" w:hAnsi="Times New Roman" w:cs="Times New Roman"/>
          <w:i/>
          <w:iCs/>
          <w:color w:val="000000"/>
          <w:sz w:val="24"/>
          <w:szCs w:val="24"/>
        </w:rPr>
        <w:t>Tipo de Investigación</w:t>
      </w:r>
    </w:p>
    <w:p w14:paraId="17B17FF7" w14:textId="3C87C786" w:rsidR="00554A7E" w:rsidRPr="00146CDF" w:rsidRDefault="00554A7E" w:rsidP="00554A7E">
      <w:pPr>
        <w:spacing w:after="0" w:line="480" w:lineRule="auto"/>
        <w:ind w:firstLine="720"/>
        <w:rPr>
          <w:rFonts w:ascii="Times New Roman" w:hAnsi="Times New Roman" w:cs="Times New Roman"/>
          <w:color w:val="000000"/>
          <w:sz w:val="24"/>
          <w:szCs w:val="24"/>
        </w:rPr>
      </w:pPr>
      <w:r w:rsidRPr="0C33D2ED">
        <w:rPr>
          <w:rFonts w:ascii="Times New Roman" w:hAnsi="Times New Roman" w:cs="Times New Roman"/>
          <w:color w:val="000000" w:themeColor="text1"/>
          <w:sz w:val="24"/>
          <w:szCs w:val="24"/>
        </w:rPr>
        <w:t xml:space="preserve">La investigación es de tipo documental o de revisión bibliográfica, ya que se enfoca en el análisis de fuentes secundarias que permiten profundizar en los aspectos históricos, legales y sociales de la justicia transicional en Colombia. </w:t>
      </w:r>
      <w:r w:rsidR="0414FC98" w:rsidRPr="0C33D2ED">
        <w:rPr>
          <w:rFonts w:ascii="Times New Roman" w:hAnsi="Times New Roman" w:cs="Times New Roman"/>
          <w:color w:val="000000" w:themeColor="text1"/>
          <w:sz w:val="24"/>
          <w:szCs w:val="24"/>
        </w:rPr>
        <w:t>Este tipo de investigación recurre a documentos normativos, como las leyes mencionadas, y a estudios previos, informes oficiales, sentencias judiciales, artículos académicos y otros documentos producidos sobre el tema.</w:t>
      </w:r>
      <w:r w:rsidRPr="0C33D2ED">
        <w:rPr>
          <w:rFonts w:ascii="Times New Roman" w:hAnsi="Times New Roman" w:cs="Times New Roman"/>
          <w:color w:val="000000" w:themeColor="text1"/>
          <w:sz w:val="24"/>
          <w:szCs w:val="24"/>
        </w:rPr>
        <w:t xml:space="preserve"> La revisión de estos materiales permite contextualizar y contrastar los procesos de desmovilización y entrega de armas, evaluando sus resultados, sus críticas y sus implicaciones a nivel nacional e internacional.</w:t>
      </w:r>
    </w:p>
    <w:p w14:paraId="0F86E573" w14:textId="731FBE7F" w:rsidR="00554A7E" w:rsidRPr="004845DA" w:rsidRDefault="00554A7E" w:rsidP="004845DA">
      <w:pPr>
        <w:pStyle w:val="Prrafodelista"/>
        <w:numPr>
          <w:ilvl w:val="1"/>
          <w:numId w:val="8"/>
        </w:numPr>
        <w:spacing w:after="0" w:line="480" w:lineRule="auto"/>
        <w:rPr>
          <w:rFonts w:ascii="Times New Roman" w:hAnsi="Times New Roman" w:cs="Times New Roman"/>
          <w:i/>
          <w:iCs/>
          <w:color w:val="000000"/>
          <w:sz w:val="24"/>
          <w:szCs w:val="24"/>
        </w:rPr>
      </w:pPr>
      <w:r w:rsidRPr="004845DA">
        <w:rPr>
          <w:rFonts w:ascii="Times New Roman" w:hAnsi="Times New Roman" w:cs="Times New Roman"/>
          <w:i/>
          <w:iCs/>
          <w:color w:val="000000"/>
          <w:sz w:val="24"/>
          <w:szCs w:val="24"/>
        </w:rPr>
        <w:t>Diseño de Investigación</w:t>
      </w:r>
    </w:p>
    <w:p w14:paraId="451D2187" w14:textId="043717BB" w:rsidR="00554A7E" w:rsidRPr="00146CDF" w:rsidRDefault="459EB923" w:rsidP="00554A7E">
      <w:pPr>
        <w:spacing w:after="0" w:line="480" w:lineRule="auto"/>
        <w:ind w:firstLine="720"/>
        <w:rPr>
          <w:rFonts w:ascii="Times New Roman" w:hAnsi="Times New Roman" w:cs="Times New Roman"/>
          <w:color w:val="000000"/>
          <w:sz w:val="24"/>
          <w:szCs w:val="24"/>
        </w:rPr>
      </w:pPr>
      <w:r w:rsidRPr="0C33D2ED">
        <w:rPr>
          <w:rFonts w:ascii="Times New Roman" w:hAnsi="Times New Roman" w:cs="Times New Roman"/>
          <w:color w:val="000000" w:themeColor="text1"/>
          <w:sz w:val="24"/>
          <w:szCs w:val="24"/>
        </w:rPr>
        <w:t>El diseño de la investigación es descriptivo-analítico, se pretende describir los procesos de desmovilización de las AUC y la entrega de armas de las FARC-EP, y analizar sus diferencias, evaluando las razones, los métodos y las consecuencias de cada procedimiento.</w:t>
      </w:r>
      <w:r w:rsidR="00554A7E" w:rsidRPr="0C33D2ED">
        <w:rPr>
          <w:rFonts w:ascii="Times New Roman" w:hAnsi="Times New Roman" w:cs="Times New Roman"/>
          <w:color w:val="000000" w:themeColor="text1"/>
          <w:sz w:val="24"/>
          <w:szCs w:val="24"/>
        </w:rPr>
        <w:t xml:space="preserve"> Se buscará identificar patrones y contrastes en la implementación de las leyes de justicia transicional y cómo estos han impactado en la construcción de paz en Colombia. Para ello, se hará uso de una técnica de análisis documental que permitirá clasificar, comparar y sintetizar la información de los documentos revisados</w:t>
      </w:r>
      <w:r w:rsidR="00850781">
        <w:rPr>
          <w:rFonts w:ascii="Times New Roman" w:hAnsi="Times New Roman" w:cs="Times New Roman"/>
          <w:color w:val="000000" w:themeColor="text1"/>
          <w:sz w:val="24"/>
          <w:szCs w:val="24"/>
        </w:rPr>
        <w:t xml:space="preserve"> (López y Linares, 2021). </w:t>
      </w:r>
    </w:p>
    <w:p w14:paraId="099C0D17" w14:textId="49EF3BC4" w:rsidR="00554A7E" w:rsidRPr="004845DA" w:rsidRDefault="00554A7E" w:rsidP="004845DA">
      <w:pPr>
        <w:pStyle w:val="Prrafodelista"/>
        <w:numPr>
          <w:ilvl w:val="1"/>
          <w:numId w:val="8"/>
        </w:numPr>
        <w:spacing w:after="0" w:line="480" w:lineRule="auto"/>
        <w:rPr>
          <w:rFonts w:ascii="Times New Roman" w:hAnsi="Times New Roman" w:cs="Times New Roman"/>
          <w:i/>
          <w:iCs/>
          <w:color w:val="000000"/>
          <w:sz w:val="24"/>
          <w:szCs w:val="24"/>
        </w:rPr>
      </w:pPr>
      <w:r w:rsidRPr="004845DA">
        <w:rPr>
          <w:rFonts w:ascii="Times New Roman" w:hAnsi="Times New Roman" w:cs="Times New Roman"/>
          <w:i/>
          <w:iCs/>
          <w:color w:val="000000"/>
          <w:sz w:val="24"/>
          <w:szCs w:val="24"/>
        </w:rPr>
        <w:t>Bases de Datos Utilizadas</w:t>
      </w:r>
    </w:p>
    <w:p w14:paraId="42AEE50D" w14:textId="4B6A9499" w:rsidR="00554A7E" w:rsidRPr="00146CDF" w:rsidRDefault="3E8B3B9E" w:rsidP="00554A7E">
      <w:pPr>
        <w:spacing w:after="0" w:line="480" w:lineRule="auto"/>
        <w:ind w:firstLine="720"/>
        <w:rPr>
          <w:rFonts w:ascii="Times New Roman" w:hAnsi="Times New Roman" w:cs="Times New Roman"/>
          <w:color w:val="000000"/>
          <w:sz w:val="24"/>
          <w:szCs w:val="24"/>
        </w:rPr>
      </w:pPr>
      <w:r w:rsidRPr="0C33D2ED">
        <w:rPr>
          <w:rFonts w:ascii="Times New Roman" w:hAnsi="Times New Roman" w:cs="Times New Roman"/>
          <w:color w:val="000000" w:themeColor="text1"/>
          <w:sz w:val="24"/>
          <w:szCs w:val="24"/>
        </w:rPr>
        <w:t>Para este análisis, se han consultado diversas bases de datos académicas y jurídicas, esenciales para acceder a una amplia gama de fuentes primarias y secundarias.</w:t>
      </w:r>
      <w:r w:rsidR="00554A7E" w:rsidRPr="0C33D2ED">
        <w:rPr>
          <w:rFonts w:ascii="Times New Roman" w:hAnsi="Times New Roman" w:cs="Times New Roman"/>
          <w:color w:val="000000" w:themeColor="text1"/>
          <w:sz w:val="24"/>
          <w:szCs w:val="24"/>
        </w:rPr>
        <w:t xml:space="preserve"> Algunas de las principales fuentes de información incluyen:</w:t>
      </w:r>
    </w:p>
    <w:p w14:paraId="4A95F851" w14:textId="77777777" w:rsidR="00554A7E" w:rsidRPr="00146CDF" w:rsidRDefault="00554A7E" w:rsidP="00554A7E">
      <w:pPr>
        <w:numPr>
          <w:ilvl w:val="0"/>
          <w:numId w:val="9"/>
        </w:numPr>
        <w:spacing w:after="0" w:line="480" w:lineRule="auto"/>
        <w:ind w:left="0" w:firstLine="720"/>
        <w:rPr>
          <w:rFonts w:ascii="Times New Roman" w:hAnsi="Times New Roman" w:cs="Times New Roman"/>
          <w:color w:val="000000"/>
          <w:sz w:val="24"/>
          <w:szCs w:val="24"/>
        </w:rPr>
      </w:pPr>
      <w:r w:rsidRPr="00146CDF">
        <w:rPr>
          <w:rFonts w:ascii="Times New Roman" w:hAnsi="Times New Roman" w:cs="Times New Roman"/>
          <w:b/>
          <w:bCs/>
          <w:color w:val="000000"/>
          <w:sz w:val="24"/>
          <w:szCs w:val="24"/>
        </w:rPr>
        <w:lastRenderedPageBreak/>
        <w:t>Google Scholar</w:t>
      </w:r>
      <w:r w:rsidRPr="00146CDF">
        <w:rPr>
          <w:rFonts w:ascii="Times New Roman" w:hAnsi="Times New Roman" w:cs="Times New Roman"/>
          <w:color w:val="000000"/>
          <w:sz w:val="24"/>
          <w:szCs w:val="24"/>
        </w:rPr>
        <w:t>: Esta base de datos proporciona acceso a una variedad de artículos académicos, tesis y libros que analizan la justicia transicional, las AUC y las FARC-EP desde diversas disciplinas como el derecho, la sociología y la ciencia política.</w:t>
      </w:r>
    </w:p>
    <w:p w14:paraId="76641809" w14:textId="75324AD2" w:rsidR="00554A7E" w:rsidRPr="00146CDF" w:rsidRDefault="00554A7E" w:rsidP="00554A7E">
      <w:pPr>
        <w:numPr>
          <w:ilvl w:val="0"/>
          <w:numId w:val="9"/>
        </w:numPr>
        <w:spacing w:after="0" w:line="480" w:lineRule="auto"/>
        <w:ind w:left="0" w:firstLine="720"/>
        <w:rPr>
          <w:rFonts w:ascii="Times New Roman" w:hAnsi="Times New Roman" w:cs="Times New Roman"/>
          <w:color w:val="000000"/>
          <w:sz w:val="24"/>
          <w:szCs w:val="24"/>
        </w:rPr>
      </w:pPr>
      <w:r w:rsidRPr="00146CDF">
        <w:rPr>
          <w:rFonts w:ascii="Times New Roman" w:hAnsi="Times New Roman" w:cs="Times New Roman"/>
          <w:b/>
          <w:bCs/>
          <w:color w:val="000000"/>
          <w:sz w:val="24"/>
          <w:szCs w:val="24"/>
        </w:rPr>
        <w:t>Jurisprudencia de la Corte Constitucional de Colombia</w:t>
      </w:r>
      <w:r w:rsidRPr="00146CDF">
        <w:rPr>
          <w:rFonts w:ascii="Times New Roman" w:hAnsi="Times New Roman" w:cs="Times New Roman"/>
          <w:color w:val="000000"/>
          <w:sz w:val="24"/>
          <w:szCs w:val="24"/>
        </w:rPr>
        <w:t xml:space="preserve">: Para examinar las sentencias relevantes relacionadas con las leyes de justicia transicional, se consultó la jurisprudencia de la Corte Constitucional, especialmente aquellas decisiones que abordan la Ley 975 de 2005 y la Ley </w:t>
      </w:r>
      <w:r w:rsidR="00877D84">
        <w:rPr>
          <w:rFonts w:ascii="Times New Roman" w:hAnsi="Times New Roman" w:cs="Times New Roman"/>
          <w:color w:val="000000" w:themeColor="text1"/>
          <w:sz w:val="24"/>
          <w:szCs w:val="24"/>
        </w:rPr>
        <w:t>1957</w:t>
      </w:r>
      <w:r w:rsidR="00877D84" w:rsidRPr="00A15701">
        <w:rPr>
          <w:rFonts w:ascii="Times New Roman" w:hAnsi="Times New Roman" w:cs="Times New Roman"/>
          <w:color w:val="000000" w:themeColor="text1"/>
          <w:sz w:val="24"/>
          <w:szCs w:val="24"/>
        </w:rPr>
        <w:t xml:space="preserve"> </w:t>
      </w:r>
      <w:r w:rsidRPr="00146CDF">
        <w:rPr>
          <w:rFonts w:ascii="Times New Roman" w:hAnsi="Times New Roman" w:cs="Times New Roman"/>
          <w:color w:val="000000"/>
          <w:sz w:val="24"/>
          <w:szCs w:val="24"/>
        </w:rPr>
        <w:t>de 2019.</w:t>
      </w:r>
    </w:p>
    <w:p w14:paraId="78FAFE96" w14:textId="77777777" w:rsidR="00554A7E" w:rsidRPr="00146CDF" w:rsidRDefault="00554A7E" w:rsidP="00554A7E">
      <w:pPr>
        <w:numPr>
          <w:ilvl w:val="0"/>
          <w:numId w:val="9"/>
        </w:numPr>
        <w:spacing w:after="0" w:line="480" w:lineRule="auto"/>
        <w:ind w:left="0" w:firstLine="720"/>
        <w:rPr>
          <w:rFonts w:ascii="Times New Roman" w:hAnsi="Times New Roman" w:cs="Times New Roman"/>
          <w:color w:val="000000"/>
          <w:sz w:val="24"/>
          <w:szCs w:val="24"/>
        </w:rPr>
      </w:pPr>
      <w:r w:rsidRPr="00146CDF">
        <w:rPr>
          <w:rFonts w:ascii="Times New Roman" w:hAnsi="Times New Roman" w:cs="Times New Roman"/>
          <w:b/>
          <w:bCs/>
          <w:color w:val="000000"/>
          <w:sz w:val="24"/>
          <w:szCs w:val="24"/>
        </w:rPr>
        <w:t>Repositorio de Tesis de la Universidad Nacional de Colombia</w:t>
      </w:r>
      <w:r w:rsidRPr="00146CDF">
        <w:rPr>
          <w:rFonts w:ascii="Times New Roman" w:hAnsi="Times New Roman" w:cs="Times New Roman"/>
          <w:color w:val="000000"/>
          <w:sz w:val="24"/>
          <w:szCs w:val="24"/>
        </w:rPr>
        <w:t>: Este repositorio fue utilizado para acceder a investigaciones previas sobre el tema, que proporcionan una visión detallada y actualizada de los procesos de desmovilización y su tratamiento en la literatura jurídica y social.</w:t>
      </w:r>
    </w:p>
    <w:p w14:paraId="5005C14B" w14:textId="77777777" w:rsidR="00554A7E" w:rsidRPr="00146CDF" w:rsidRDefault="00554A7E" w:rsidP="00554A7E">
      <w:pPr>
        <w:numPr>
          <w:ilvl w:val="0"/>
          <w:numId w:val="9"/>
        </w:numPr>
        <w:spacing w:after="0" w:line="480" w:lineRule="auto"/>
        <w:ind w:left="0" w:firstLine="720"/>
        <w:rPr>
          <w:rFonts w:ascii="Times New Roman" w:hAnsi="Times New Roman" w:cs="Times New Roman"/>
          <w:color w:val="000000"/>
          <w:sz w:val="24"/>
          <w:szCs w:val="24"/>
        </w:rPr>
      </w:pPr>
      <w:r w:rsidRPr="6DAF6575">
        <w:rPr>
          <w:rFonts w:ascii="Times New Roman" w:hAnsi="Times New Roman" w:cs="Times New Roman"/>
          <w:b/>
          <w:bCs/>
          <w:color w:val="000000" w:themeColor="text1"/>
          <w:sz w:val="24"/>
          <w:szCs w:val="24"/>
        </w:rPr>
        <w:t>Scopus y JSTOR</w:t>
      </w:r>
      <w:r w:rsidRPr="6DAF6575">
        <w:rPr>
          <w:rFonts w:ascii="Times New Roman" w:hAnsi="Times New Roman" w:cs="Times New Roman"/>
          <w:color w:val="000000" w:themeColor="text1"/>
          <w:sz w:val="24"/>
          <w:szCs w:val="24"/>
        </w:rPr>
        <w:t>: Estas bases de datos académicas ofrecen artículos revisados por pares que abordan los efectos y la efectividad de los procesos de desmovilización, así como estudios comparativos sobre las experiencias de las AUC y las FARC-EP.</w:t>
      </w:r>
    </w:p>
    <w:p w14:paraId="1833FA98" w14:textId="4DA2880E" w:rsidR="00554A7E" w:rsidRPr="004845DA" w:rsidRDefault="00554A7E" w:rsidP="004845DA">
      <w:pPr>
        <w:pStyle w:val="Prrafodelista"/>
        <w:numPr>
          <w:ilvl w:val="1"/>
          <w:numId w:val="8"/>
        </w:numPr>
        <w:spacing w:after="0" w:line="480" w:lineRule="auto"/>
        <w:rPr>
          <w:rFonts w:ascii="Times New Roman" w:hAnsi="Times New Roman" w:cs="Times New Roman"/>
          <w:i/>
          <w:iCs/>
          <w:color w:val="000000"/>
          <w:sz w:val="24"/>
          <w:szCs w:val="24"/>
        </w:rPr>
      </w:pPr>
      <w:r w:rsidRPr="004845DA">
        <w:rPr>
          <w:rFonts w:ascii="Times New Roman" w:hAnsi="Times New Roman" w:cs="Times New Roman"/>
          <w:i/>
          <w:iCs/>
          <w:color w:val="000000"/>
          <w:sz w:val="24"/>
          <w:szCs w:val="24"/>
        </w:rPr>
        <w:t>Criterios de Inclusión y Exclusión</w:t>
      </w:r>
    </w:p>
    <w:p w14:paraId="1D21492D" w14:textId="77777777" w:rsidR="00554A7E" w:rsidRPr="00D6274B" w:rsidRDefault="00554A7E" w:rsidP="00554A7E">
      <w:pPr>
        <w:spacing w:after="0" w:line="480" w:lineRule="auto"/>
        <w:ind w:firstLine="720"/>
        <w:rPr>
          <w:rFonts w:ascii="Times New Roman" w:hAnsi="Times New Roman" w:cs="Times New Roman"/>
          <w:color w:val="000000"/>
          <w:sz w:val="24"/>
          <w:szCs w:val="24"/>
        </w:rPr>
      </w:pPr>
      <w:r w:rsidRPr="00D6274B">
        <w:rPr>
          <w:rFonts w:ascii="Times New Roman" w:hAnsi="Times New Roman" w:cs="Times New Roman"/>
          <w:color w:val="000000"/>
          <w:sz w:val="24"/>
          <w:szCs w:val="24"/>
        </w:rPr>
        <w:t xml:space="preserve"> Para esta revisión, se incluyeron estudios que abordan la justicia transicional en Colombia y los procesos de desmovilización de las AUC y las FARC-EP. Se excluyeron aquellos estudios que no se enfocaban en estos procesos o que no ofrecían un análisis comparativo entre ambos.</w:t>
      </w:r>
    </w:p>
    <w:p w14:paraId="2101006B" w14:textId="23FF4DDC" w:rsidR="00554A7E" w:rsidRPr="00E61957" w:rsidRDefault="00E61957" w:rsidP="00E61957">
      <w:pPr>
        <w:pStyle w:val="Prrafodelista"/>
        <w:numPr>
          <w:ilvl w:val="1"/>
          <w:numId w:val="8"/>
        </w:numPr>
        <w:spacing w:after="0" w:line="480" w:lineRule="auto"/>
        <w:outlineLvl w:val="1"/>
        <w:rPr>
          <w:rFonts w:ascii="Times New Roman" w:hAnsi="Times New Roman" w:cs="Times New Roman"/>
          <w:i/>
          <w:iCs/>
          <w:color w:val="000000"/>
          <w:sz w:val="24"/>
          <w:szCs w:val="24"/>
        </w:rPr>
      </w:pPr>
      <w:bookmarkStart w:id="25" w:name="_Toc232457400"/>
      <w:r w:rsidRPr="00E61957">
        <w:rPr>
          <w:rFonts w:ascii="Times New Roman" w:hAnsi="Times New Roman" w:cs="Times New Roman"/>
          <w:i/>
          <w:iCs/>
          <w:color w:val="000000"/>
          <w:sz w:val="24"/>
          <w:szCs w:val="24"/>
        </w:rPr>
        <w:t>Técnicas de recolección de información</w:t>
      </w:r>
      <w:bookmarkEnd w:id="25"/>
    </w:p>
    <w:p w14:paraId="3256F2E0" w14:textId="73D776C2" w:rsidR="004B0F7A" w:rsidRDefault="00E61957" w:rsidP="00E61957">
      <w:pPr>
        <w:spacing w:after="0" w:line="480" w:lineRule="auto"/>
        <w:rPr>
          <w:rFonts w:ascii="Times New Roman" w:hAnsi="Times New Roman" w:cs="Times New Roman"/>
          <w:color w:val="000000"/>
          <w:sz w:val="24"/>
          <w:szCs w:val="24"/>
        </w:rPr>
      </w:pPr>
      <w:r w:rsidRPr="00E61957">
        <w:rPr>
          <w:rFonts w:ascii="Times New Roman" w:hAnsi="Times New Roman" w:cs="Times New Roman"/>
          <w:color w:val="000000"/>
          <w:sz w:val="24"/>
          <w:szCs w:val="24"/>
        </w:rPr>
        <w:t xml:space="preserve">La técnica de recolección de información utilizada en la investigación fue el análisis documental, el cual permitió examinar de manera sistemática y rigurosa diversas fuentes secundarias relacionadas con la justicia transicional en Colombia. Este procedimiento implicó la revisión de </w:t>
      </w:r>
      <w:r w:rsidRPr="00E61957">
        <w:rPr>
          <w:rFonts w:ascii="Times New Roman" w:hAnsi="Times New Roman" w:cs="Times New Roman"/>
          <w:color w:val="000000"/>
          <w:sz w:val="24"/>
          <w:szCs w:val="24"/>
        </w:rPr>
        <w:lastRenderedPageBreak/>
        <w:t>documentos normativos, como la Ley 975 de 2005 y la Ley 1957 de 2019, así como artículos académicos, informes institucionales, sentencias judiciales y literatura especializada sobre los procesos de desmovilización de las AUC y la entrega de armas de las FARC-EP. A través de esta técnica se logró recopilar información relevante que fue posteriormente clasificada y organizada según categorías de análisis previamente establecidas. Asimismo, el análisis documental facilitó la interpretación crítica de los contenidos, permitiendo identificar similitudes, diferencias y tensiones entre los distintos procesos de justicia transicional</w:t>
      </w:r>
      <w:r w:rsidR="004B0F7A">
        <w:rPr>
          <w:rFonts w:ascii="Times New Roman" w:hAnsi="Times New Roman" w:cs="Times New Roman"/>
          <w:color w:val="000000"/>
          <w:sz w:val="24"/>
          <w:szCs w:val="24"/>
        </w:rPr>
        <w:t xml:space="preserve"> (Hernández, et al., 2024). </w:t>
      </w:r>
    </w:p>
    <w:p w14:paraId="744DE53B" w14:textId="4CB04CBF" w:rsidR="00E61957" w:rsidRPr="00E61957" w:rsidRDefault="004B0F7A" w:rsidP="00E61957">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E61957" w:rsidRPr="00E61957">
        <w:rPr>
          <w:rFonts w:ascii="Times New Roman" w:hAnsi="Times New Roman" w:cs="Times New Roman"/>
          <w:color w:val="000000"/>
          <w:sz w:val="24"/>
          <w:szCs w:val="24"/>
        </w:rPr>
        <w:t>Este método también posibilitó la contextualización histórica y jurídica de los hechos estudiados, fortaleciendo la comprensión integral del fenómeno investigado. De igual manera, se garantizó una lectura comparativa de las fuentes, lo que permitió contrastar perspectivas académicas y oficiales. Finalmente, esta técnica contribuyó a la construcción de argumentos sólidos basados en evidencia teórica y empírica disponible.</w:t>
      </w:r>
    </w:p>
    <w:p w14:paraId="3E79BDC5" w14:textId="77777777" w:rsidR="00554A7E" w:rsidRPr="00D6274B" w:rsidRDefault="00554A7E" w:rsidP="00554A7E">
      <w:pPr>
        <w:spacing w:after="0" w:line="480" w:lineRule="auto"/>
        <w:ind w:firstLine="720"/>
        <w:rPr>
          <w:rFonts w:ascii="Times New Roman" w:hAnsi="Times New Roman" w:cs="Times New Roman"/>
          <w:color w:val="000000"/>
          <w:sz w:val="24"/>
          <w:szCs w:val="24"/>
        </w:rPr>
      </w:pPr>
    </w:p>
    <w:p w14:paraId="5F72118C" w14:textId="77777777" w:rsidR="00554A7E" w:rsidRPr="001B33ED" w:rsidRDefault="00554A7E" w:rsidP="00554A7E">
      <w:pPr>
        <w:spacing w:after="0"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617FFAD" w14:textId="77777777" w:rsidR="00554A7E" w:rsidRDefault="00554A7E" w:rsidP="00554A7E">
      <w:pPr>
        <w:spacing w:line="240" w:lineRule="auto"/>
        <w:jc w:val="both"/>
        <w:rPr>
          <w:rFonts w:ascii="Arial" w:hAnsi="Arial" w:cs="Arial"/>
          <w:color w:val="000000"/>
          <w:sz w:val="24"/>
          <w:szCs w:val="24"/>
        </w:rPr>
      </w:pPr>
    </w:p>
    <w:p w14:paraId="77332E43" w14:textId="77777777" w:rsidR="00E61957" w:rsidRDefault="00E61957" w:rsidP="00554A7E">
      <w:pPr>
        <w:spacing w:line="240" w:lineRule="auto"/>
        <w:jc w:val="both"/>
        <w:rPr>
          <w:rFonts w:ascii="Arial" w:hAnsi="Arial" w:cs="Arial"/>
          <w:color w:val="000000"/>
          <w:sz w:val="24"/>
          <w:szCs w:val="24"/>
        </w:rPr>
      </w:pPr>
    </w:p>
    <w:p w14:paraId="1046C47D" w14:textId="77777777" w:rsidR="00E61957" w:rsidRDefault="00E61957" w:rsidP="00554A7E">
      <w:pPr>
        <w:spacing w:line="240" w:lineRule="auto"/>
        <w:jc w:val="both"/>
        <w:rPr>
          <w:rFonts w:ascii="Arial" w:hAnsi="Arial" w:cs="Arial"/>
          <w:color w:val="000000"/>
          <w:sz w:val="24"/>
          <w:szCs w:val="24"/>
        </w:rPr>
      </w:pPr>
    </w:p>
    <w:p w14:paraId="6598B473" w14:textId="77777777" w:rsidR="00E61957" w:rsidRDefault="00E61957" w:rsidP="00554A7E">
      <w:pPr>
        <w:spacing w:line="240" w:lineRule="auto"/>
        <w:jc w:val="both"/>
        <w:rPr>
          <w:rFonts w:ascii="Arial" w:hAnsi="Arial" w:cs="Arial"/>
          <w:color w:val="000000"/>
          <w:sz w:val="24"/>
          <w:szCs w:val="24"/>
        </w:rPr>
      </w:pPr>
    </w:p>
    <w:p w14:paraId="3EB22DA7" w14:textId="77777777" w:rsidR="00E61957" w:rsidRDefault="00E61957" w:rsidP="00554A7E">
      <w:pPr>
        <w:spacing w:line="240" w:lineRule="auto"/>
        <w:jc w:val="both"/>
        <w:rPr>
          <w:rFonts w:ascii="Arial" w:hAnsi="Arial" w:cs="Arial"/>
          <w:color w:val="000000"/>
          <w:sz w:val="24"/>
          <w:szCs w:val="24"/>
        </w:rPr>
      </w:pPr>
    </w:p>
    <w:p w14:paraId="6DAE9400" w14:textId="77777777" w:rsidR="00E61957" w:rsidRDefault="00E61957" w:rsidP="00554A7E">
      <w:pPr>
        <w:spacing w:line="240" w:lineRule="auto"/>
        <w:jc w:val="both"/>
        <w:rPr>
          <w:rFonts w:ascii="Arial" w:hAnsi="Arial" w:cs="Arial"/>
          <w:color w:val="000000"/>
          <w:sz w:val="24"/>
          <w:szCs w:val="24"/>
        </w:rPr>
      </w:pPr>
    </w:p>
    <w:p w14:paraId="4A4C0ED4" w14:textId="77777777" w:rsidR="00E61957" w:rsidRDefault="00E61957" w:rsidP="00554A7E">
      <w:pPr>
        <w:spacing w:line="240" w:lineRule="auto"/>
        <w:jc w:val="both"/>
        <w:rPr>
          <w:rFonts w:ascii="Arial" w:hAnsi="Arial" w:cs="Arial"/>
          <w:color w:val="000000"/>
          <w:sz w:val="24"/>
          <w:szCs w:val="24"/>
        </w:rPr>
      </w:pPr>
    </w:p>
    <w:p w14:paraId="05F87D59" w14:textId="77777777" w:rsidR="00E61957" w:rsidRDefault="00E61957" w:rsidP="00554A7E">
      <w:pPr>
        <w:spacing w:line="240" w:lineRule="auto"/>
        <w:jc w:val="both"/>
        <w:rPr>
          <w:rFonts w:ascii="Arial" w:hAnsi="Arial" w:cs="Arial"/>
          <w:color w:val="000000"/>
          <w:sz w:val="24"/>
          <w:szCs w:val="24"/>
        </w:rPr>
      </w:pPr>
    </w:p>
    <w:p w14:paraId="3A684935" w14:textId="77777777" w:rsidR="00E61957" w:rsidRDefault="00E61957" w:rsidP="00554A7E">
      <w:pPr>
        <w:spacing w:line="240" w:lineRule="auto"/>
        <w:jc w:val="both"/>
        <w:rPr>
          <w:rFonts w:ascii="Arial" w:hAnsi="Arial" w:cs="Arial"/>
          <w:color w:val="000000"/>
          <w:sz w:val="24"/>
          <w:szCs w:val="24"/>
        </w:rPr>
      </w:pPr>
    </w:p>
    <w:p w14:paraId="54AC86C0" w14:textId="77777777" w:rsidR="00E61957" w:rsidRPr="001B33ED" w:rsidRDefault="00E61957" w:rsidP="00554A7E">
      <w:pPr>
        <w:spacing w:line="240" w:lineRule="auto"/>
        <w:jc w:val="both"/>
        <w:rPr>
          <w:rFonts w:ascii="Arial" w:hAnsi="Arial" w:cs="Arial"/>
          <w:color w:val="000000"/>
          <w:sz w:val="24"/>
          <w:szCs w:val="24"/>
        </w:rPr>
      </w:pPr>
    </w:p>
    <w:p w14:paraId="61CBC9B6" w14:textId="77777777" w:rsidR="00781AC4" w:rsidRDefault="00781AC4" w:rsidP="003A72E3">
      <w:pPr>
        <w:spacing w:after="0" w:line="480" w:lineRule="auto"/>
        <w:ind w:firstLine="720"/>
        <w:rPr>
          <w:rFonts w:ascii="Times New Roman" w:eastAsia="Times New Roman" w:hAnsi="Times New Roman" w:cs="Times New Roman"/>
          <w:color w:val="000000" w:themeColor="text1"/>
          <w:sz w:val="24"/>
          <w:szCs w:val="24"/>
        </w:rPr>
      </w:pPr>
    </w:p>
    <w:p w14:paraId="00000097" w14:textId="009601FB" w:rsidR="00DC70F0" w:rsidRPr="003A72E3" w:rsidRDefault="00F03A87" w:rsidP="00346936">
      <w:pPr>
        <w:pStyle w:val="Ttulo1"/>
        <w:numPr>
          <w:ilvl w:val="0"/>
          <w:numId w:val="8"/>
        </w:numPr>
        <w:spacing w:before="0" w:after="0" w:line="480" w:lineRule="auto"/>
        <w:jc w:val="center"/>
        <w:rPr>
          <w:rFonts w:ascii="Times New Roman" w:eastAsia="Times New Roman" w:hAnsi="Times New Roman" w:cs="Times New Roman"/>
          <w:b/>
          <w:color w:val="000000" w:themeColor="text1"/>
          <w:sz w:val="24"/>
          <w:szCs w:val="24"/>
        </w:rPr>
      </w:pPr>
      <w:bookmarkStart w:id="26" w:name="_Toc232457401"/>
      <w:r w:rsidRPr="003A72E3">
        <w:rPr>
          <w:rFonts w:ascii="Times New Roman" w:eastAsia="Times New Roman" w:hAnsi="Times New Roman" w:cs="Times New Roman"/>
          <w:b/>
          <w:color w:val="000000" w:themeColor="text1"/>
          <w:sz w:val="24"/>
          <w:szCs w:val="24"/>
        </w:rPr>
        <w:lastRenderedPageBreak/>
        <w:t>Discusión</w:t>
      </w:r>
      <w:bookmarkEnd w:id="26"/>
    </w:p>
    <w:p w14:paraId="56E6E26B" w14:textId="77777777"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Tras más de cuatro años de negociaciones complejas, el Estado colombiano y las Fuerzas Armadas Revolucionarias de Colombia–Ejército del Pueblo (FARC-EP) suscribieron en 2016 el Acuerdo Final de Paz, con el propósito explícito de poner fin a un conflicto armado interno de más de cinco décadas. Este conflicto, caracterizado por la participación simultánea de actores estatales, guerrillas, grupos paramilitares y terceros civiles, produjo una victimización masiva y estructural que desbordó los marcos tradicionales de respuesta penal. A diferencia de intentos previos de pacificación, el AFP fue concebido como un modelo integral de justicia transicional, reconocido internacionalmente como una experiencia innovadora en la gestión negociada de conflictos armados prolongados (Barco, 2020).</w:t>
      </w:r>
    </w:p>
    <w:p w14:paraId="106434FA" w14:textId="7DBF1969" w:rsidR="0052602A" w:rsidRPr="0052602A" w:rsidRDefault="12C96C8C" w:rsidP="6DAF6575">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6DAF6575">
        <w:rPr>
          <w:rFonts w:ascii="Times New Roman" w:eastAsia="Times New Roman" w:hAnsi="Times New Roman" w:cs="Times New Roman"/>
          <w:color w:val="000000" w:themeColor="text1"/>
          <w:sz w:val="24"/>
          <w:szCs w:val="24"/>
        </w:rPr>
        <w:t>Uno de los aspectos más controvertidos del AFP es su régimen sancionatorio, que se aparta deliberadamente de una concepción retributiva del castigo.</w:t>
      </w:r>
      <w:r w:rsidR="0052602A" w:rsidRPr="6DAF6575">
        <w:rPr>
          <w:rFonts w:ascii="Times New Roman" w:eastAsia="Times New Roman" w:hAnsi="Times New Roman" w:cs="Times New Roman"/>
          <w:color w:val="000000" w:themeColor="text1"/>
          <w:sz w:val="24"/>
          <w:szCs w:val="24"/>
        </w:rPr>
        <w:t xml:space="preserve"> En particular, la introducción de sanciones no privativas de la libertad —denominadas sanciones propias— para responsables de crímenes internacionales ha suscitado críticas persistentes por parte de sectores políticos, académicos y sociales que cuestionan su suficiencia punitiva. Estas críticas se sustentan, en gran medida, en una lectura tradicional del derecho penal internacional que asocia la gravedad de los crímenes de guerra, lesa humanidad y genocidio con la imposición necesaria de penas de prisión efectivas y prolongadas (García y Nárdiz, 2022).</w:t>
      </w:r>
    </w:p>
    <w:p w14:paraId="1433C48F" w14:textId="0A0DAF46"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 xml:space="preserve">No obstante, una aproximación crítica exige reconocer que el AFP no surge en un vacío normativo ni político, sino en un contexto transicional específico en el que la finalidad primordial no es únicamente sancionar, sino desactivar las causas estructurales del conflicto y garantizar la no repetición. Desde esta perspectiva, las sanciones propias deben evaluarse no solo en términos de severidad punitiva, sino también en función de su capacidad para satisfacer los </w:t>
      </w:r>
      <w:r w:rsidRPr="0052602A">
        <w:rPr>
          <w:rFonts w:ascii="Times New Roman" w:eastAsia="Times New Roman" w:hAnsi="Times New Roman" w:cs="Times New Roman"/>
          <w:color w:val="000000" w:themeColor="text1"/>
          <w:sz w:val="24"/>
          <w:szCs w:val="24"/>
        </w:rPr>
        <w:lastRenderedPageBreak/>
        <w:t>derechos de las víctimas, promover la verdad y facilitar la reconstrucción del tejido social dañado por décadas de violencia (Betancourt, 2020).</w:t>
      </w:r>
    </w:p>
    <w:p w14:paraId="5A17ED5E" w14:textId="717FC60A"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El carácter restaurativo del régimen sancionatorio del AFP implica una redefinición de los fines de la pena en contextos de transición. En lugar de priorizar la retribución como respuesta moral al daño causado, se privilegia una lógica de responsabilidad activa que obliga al perpetrador a reconocer públicamente su participación, contribuir a la verdad y ejecutar acciones concretas de reparación. Este desplazamiento conceptual ha sido defendido por diversos autores como una respuesta más adecuada frente a crímenes de violencia colectiva, cuya comisión no puede explicarse únicamente desde la culpabilidad individual, sino desde entramados sociales, políticos y económicos más amplios (Bueno, 2020).</w:t>
      </w:r>
    </w:p>
    <w:p w14:paraId="30EC38E8" w14:textId="41CE87DF"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 xml:space="preserve">En este sentido, la creación de la Jurisdicción Especial para la Paz (JEP) representa el núcleo institucional del Sistema Integral de Verdad, Justicia, Reparación y No Repetición. La JEP no solo investiga y sanciona, sino que opera como un espacio dialógico en el que las víctimas adquieren un rol central en la definición del sentido del castigo. Esta configuración rompe con el modelo penal clásico, en el que la víctima es desplazada por la lógica Estado-infractor, y se alinea con enfoques contemporáneos de justicia restaurativa que conciben el daño como una ruptura relacional que exige respuestas colectivas y transformadoras (Correa </w:t>
      </w:r>
      <w:r>
        <w:rPr>
          <w:rFonts w:ascii="Times New Roman" w:eastAsia="Times New Roman" w:hAnsi="Times New Roman" w:cs="Times New Roman"/>
          <w:color w:val="000000" w:themeColor="text1"/>
          <w:sz w:val="24"/>
          <w:szCs w:val="24"/>
        </w:rPr>
        <w:t>y</w:t>
      </w:r>
      <w:r w:rsidRPr="0052602A">
        <w:rPr>
          <w:rFonts w:ascii="Times New Roman" w:eastAsia="Times New Roman" w:hAnsi="Times New Roman" w:cs="Times New Roman"/>
          <w:color w:val="000000" w:themeColor="text1"/>
          <w:sz w:val="24"/>
          <w:szCs w:val="24"/>
        </w:rPr>
        <w:t xml:space="preserve"> Martín, 2020).</w:t>
      </w:r>
    </w:p>
    <w:p w14:paraId="20FB7375" w14:textId="018A0551" w:rsidR="0052602A" w:rsidRPr="0052602A" w:rsidRDefault="0052602A" w:rsidP="6DAF6575">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6DAF6575">
        <w:rPr>
          <w:rFonts w:ascii="Times New Roman" w:eastAsia="Times New Roman" w:hAnsi="Times New Roman" w:cs="Times New Roman"/>
          <w:color w:val="000000" w:themeColor="text1"/>
          <w:sz w:val="24"/>
          <w:szCs w:val="24"/>
        </w:rPr>
        <w:t xml:space="preserve">Desde una mirada crítica, resulta evidente que la proporcionalidad de las sanciones propias no puede medirse exclusivamente con los parámetros del derecho penal ordinario. La magnitud y sistematicidad de los crímenes internacionales obligan a repensar la proporcionalidad no solo en términos de duración de la sanción, sino también de su contenido material, su impacto comunitario y su potencial transformador. En este punto, las sanciones propias —que incluyen </w:t>
      </w:r>
      <w:r w:rsidRPr="6DAF6575">
        <w:rPr>
          <w:rFonts w:ascii="Times New Roman" w:eastAsia="Times New Roman" w:hAnsi="Times New Roman" w:cs="Times New Roman"/>
          <w:color w:val="000000" w:themeColor="text1"/>
          <w:sz w:val="24"/>
          <w:szCs w:val="24"/>
        </w:rPr>
        <w:lastRenderedPageBreak/>
        <w:t>trabajos restaurativos como la sustitución de cultivos ilícitos, la reconstrucción de infraestructura comunitaria o la remoción de minas— adquieren un valor expresivo que trasciende el castigo individual y se proyecta hacia la reparación colectiva (</w:t>
      </w:r>
      <w:bookmarkStart w:id="27" w:name="_Int_tCwK2edA"/>
      <w:r w:rsidRPr="6DAF6575">
        <w:rPr>
          <w:rFonts w:ascii="Times New Roman" w:eastAsia="Times New Roman" w:hAnsi="Times New Roman" w:cs="Times New Roman"/>
          <w:color w:val="000000" w:themeColor="text1"/>
          <w:sz w:val="24"/>
          <w:szCs w:val="24"/>
        </w:rPr>
        <w:t>Gallego</w:t>
      </w:r>
      <w:bookmarkEnd w:id="27"/>
      <w:r w:rsidRPr="6DAF6575">
        <w:rPr>
          <w:rFonts w:ascii="Times New Roman" w:eastAsia="Times New Roman" w:hAnsi="Times New Roman" w:cs="Times New Roman"/>
          <w:color w:val="000000" w:themeColor="text1"/>
          <w:sz w:val="24"/>
          <w:szCs w:val="24"/>
        </w:rPr>
        <w:t>, 2020).</w:t>
      </w:r>
    </w:p>
    <w:p w14:paraId="4A3E1218" w14:textId="77777777"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La experiencia colombiana también pone en evidencia las limitaciones de un enfoque puramente retributivo frente a crímenes cometidos en contextos de violencia estructural. Diversos estudios han señalado que la insistencia exclusiva en penas privativas de la libertad puede obstaculizar procesos de desmovilización, inhibir la confesión de la verdad y perpetuar dinámicas de exclusión social que, lejos de prevenir, pueden reproducir ciclos de violencia (Muñoz, 2021). En este sentido, las sanciones propias operan como incentivos condicionados que buscan equilibrar la exigencia de justicia con la necesidad pragmática de poner fin a las hostilidades.</w:t>
      </w:r>
    </w:p>
    <w:p w14:paraId="6D868630" w14:textId="77777777"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Un elemento particularmente problemático del sistema transicional colombiano ha sido la incorporación de terceros civiles y agentes estatales no combatientes. La historia previa de la Ley de Justicia y Paz evidenció graves déficits en la identificación de redes de apoyo político, económico y social del paramilitarismo. La JEP, aunque limitada por decisiones posteriores de la Corte Constitucional, abrió un espacio inédito para que estos actores comparecieran voluntariamente, lo que plantea tensiones significativas entre verdad, legitimidad y percepción social de impunidad (Suárez, 2021).</w:t>
      </w:r>
    </w:p>
    <w:p w14:paraId="374C0AFC" w14:textId="2F34A64A"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 xml:space="preserve">La admisión condicionada de civiles a la JEP ha obligado a desarrollar criterios más exigentes para evaluar su compromiso con la reparación y la no repetición. La exigencia de planes concretos, verificables y financiados de reparación ha sido interpretada por algunos sectores como una mercantilización de la justicia; sin embargo, desde una perspectiva crítica, puede entenderse como una forma de responsabilización material que supera el simbolismo vacío </w:t>
      </w:r>
      <w:r w:rsidRPr="0052602A">
        <w:rPr>
          <w:rFonts w:ascii="Times New Roman" w:eastAsia="Times New Roman" w:hAnsi="Times New Roman" w:cs="Times New Roman"/>
          <w:color w:val="000000" w:themeColor="text1"/>
          <w:sz w:val="24"/>
          <w:szCs w:val="24"/>
        </w:rPr>
        <w:lastRenderedPageBreak/>
        <w:t>del castigo formal y produce beneficios tangibles para las comunidades afectadas (Yepe</w:t>
      </w:r>
      <w:r w:rsidR="00211474">
        <w:rPr>
          <w:rFonts w:ascii="Times New Roman" w:eastAsia="Times New Roman" w:hAnsi="Times New Roman" w:cs="Times New Roman"/>
          <w:color w:val="000000" w:themeColor="text1"/>
          <w:sz w:val="24"/>
          <w:szCs w:val="24"/>
        </w:rPr>
        <w:t>s</w:t>
      </w:r>
      <w:r w:rsidRPr="0052602A">
        <w:rPr>
          <w:rFonts w:ascii="Times New Roman" w:eastAsia="Times New Roman" w:hAnsi="Times New Roman" w:cs="Times New Roman"/>
          <w:color w:val="000000" w:themeColor="text1"/>
          <w:sz w:val="24"/>
          <w:szCs w:val="24"/>
        </w:rPr>
        <w:t xml:space="preserve"> &amp; Girald</w:t>
      </w:r>
      <w:r w:rsidR="00211474">
        <w:rPr>
          <w:rFonts w:ascii="Times New Roman" w:eastAsia="Times New Roman" w:hAnsi="Times New Roman" w:cs="Times New Roman"/>
          <w:color w:val="000000" w:themeColor="text1"/>
          <w:sz w:val="24"/>
          <w:szCs w:val="24"/>
        </w:rPr>
        <w:t>o</w:t>
      </w:r>
      <w:r w:rsidRPr="0052602A">
        <w:rPr>
          <w:rFonts w:ascii="Times New Roman" w:eastAsia="Times New Roman" w:hAnsi="Times New Roman" w:cs="Times New Roman"/>
          <w:color w:val="000000" w:themeColor="text1"/>
          <w:sz w:val="24"/>
          <w:szCs w:val="24"/>
        </w:rPr>
        <w:t>, 2023).</w:t>
      </w:r>
    </w:p>
    <w:p w14:paraId="03A62D5B" w14:textId="45FAF7EF"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Ahora bien, el modelo colombiano no está exento de riesgos. La coexistencia de múltiples mecanismos transicionales, con competencias parcialmente superpuestas, ha generado incertidumbre jurídica y percepciones de selectividad. Además, la resistencia política y los intentos de deslegitimar instituciones como la JEP o el Centro Nacional de Memoria Histórica revelan que la justicia transicional no es solo un proceso jurídico, sino un campo de disputa por la narrativa del conflicto y la asignación de responsabilidades (González et al., 2022).</w:t>
      </w:r>
    </w:p>
    <w:p w14:paraId="7D931C25" w14:textId="566CF487" w:rsidR="0052602A" w:rsidRPr="0052602A"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 xml:space="preserve">Desde una perspectiva más amplia, la experiencia colombiana invita a repensar el lugar de la justicia penal internacional en contextos de transición. La flexibilización observada en la evaluación de la complementariedad, como en el cierre del examen preliminar de la Corte Penal Internacional, sugiere un reconocimiento implícito de que la adecuación de las sanciones debe analizarse a la luz de los objetivos transicionales y no exclusivamente desde estándares abstractos de punición (Oviedo </w:t>
      </w:r>
      <w:r w:rsidR="00211474">
        <w:rPr>
          <w:rFonts w:ascii="Times New Roman" w:eastAsia="Times New Roman" w:hAnsi="Times New Roman" w:cs="Times New Roman"/>
          <w:color w:val="000000" w:themeColor="text1"/>
          <w:sz w:val="24"/>
          <w:szCs w:val="24"/>
        </w:rPr>
        <w:t>y</w:t>
      </w:r>
      <w:r w:rsidRPr="0052602A">
        <w:rPr>
          <w:rFonts w:ascii="Times New Roman" w:eastAsia="Times New Roman" w:hAnsi="Times New Roman" w:cs="Times New Roman"/>
          <w:color w:val="000000" w:themeColor="text1"/>
          <w:sz w:val="24"/>
          <w:szCs w:val="24"/>
        </w:rPr>
        <w:t xml:space="preserve"> </w:t>
      </w:r>
      <w:proofErr w:type="spellStart"/>
      <w:r w:rsidRPr="0052602A">
        <w:rPr>
          <w:rFonts w:ascii="Times New Roman" w:eastAsia="Times New Roman" w:hAnsi="Times New Roman" w:cs="Times New Roman"/>
          <w:color w:val="000000" w:themeColor="text1"/>
          <w:sz w:val="24"/>
          <w:szCs w:val="24"/>
        </w:rPr>
        <w:t>Pungo</w:t>
      </w:r>
      <w:proofErr w:type="spellEnd"/>
      <w:r w:rsidRPr="0052602A">
        <w:rPr>
          <w:rFonts w:ascii="Times New Roman" w:eastAsia="Times New Roman" w:hAnsi="Times New Roman" w:cs="Times New Roman"/>
          <w:color w:val="000000" w:themeColor="text1"/>
          <w:sz w:val="24"/>
          <w:szCs w:val="24"/>
        </w:rPr>
        <w:t>, 2024).</w:t>
      </w:r>
    </w:p>
    <w:p w14:paraId="00191C60" w14:textId="468C2AE6" w:rsidR="00781AC4" w:rsidRDefault="0052602A"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52602A">
        <w:rPr>
          <w:rFonts w:ascii="Times New Roman" w:eastAsia="Times New Roman" w:hAnsi="Times New Roman" w:cs="Times New Roman"/>
          <w:color w:val="000000" w:themeColor="text1"/>
          <w:sz w:val="24"/>
          <w:szCs w:val="24"/>
        </w:rPr>
        <w:t>En definitiva, las sanciones propias del AFP solo pueden considerarse adecuadas si se entienden como parte de un sistema coherente orientado a la transformación social. Su legitimidad no depende únicamente de su severidad formal, sino de su capacidad real para satisfacer los derechos de las víctimas, promover la verdad, garantizar la no repetición y contribuir a una paz sostenible. Como advierte Zabalza (2021), la justicia transicional no debe medirse por su parecido con la justicia ordinaria, sino por su eficacia ética y política en contextos de violencia masiva.</w:t>
      </w:r>
    </w:p>
    <w:p w14:paraId="71B0BC4D" w14:textId="77777777" w:rsidR="00211474" w:rsidRDefault="00211474"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1AB2E68B" w14:textId="77777777" w:rsidR="00211474" w:rsidRDefault="00211474"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0DC60692" w14:textId="77777777" w:rsidR="00211474" w:rsidRPr="00211474" w:rsidRDefault="00211474" w:rsidP="00211474">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211474">
        <w:rPr>
          <w:rFonts w:ascii="Times New Roman" w:eastAsia="Times New Roman" w:hAnsi="Times New Roman" w:cs="Times New Roman"/>
          <w:color w:val="000000" w:themeColor="text1"/>
          <w:sz w:val="24"/>
          <w:szCs w:val="24"/>
        </w:rPr>
        <w:lastRenderedPageBreak/>
        <w:t>Desde esta óptica, no se ofrecen respuestas cerradas ni soluciones normativas definitivas, sino un escenario de experimentación jurídica y política que desafía las categorías tradicionales del castigo penal y obliga a repensar críticamente qué significa hacer justicia después de la guerra. Más que un modelo acabado, se trata de una experiencia transicional que pone en evidencia las limitaciones estructurales del derecho penal clásico cuando se enfrenta a violencias masivas, prolongadas y socialmente arraigadas. En este contexto, la justicia deja de ser únicamente un mecanismo de sanción para convertirse en un proceso complejo de reconstrucción social, reconocimiento del daño y transformación institucional.</w:t>
      </w:r>
    </w:p>
    <w:p w14:paraId="00F6B5DB" w14:textId="144E9540" w:rsidR="00211474" w:rsidRPr="00211474" w:rsidRDefault="00211474" w:rsidP="00211474">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211474">
        <w:rPr>
          <w:rFonts w:ascii="Times New Roman" w:eastAsia="Times New Roman" w:hAnsi="Times New Roman" w:cs="Times New Roman"/>
          <w:color w:val="000000" w:themeColor="text1"/>
          <w:sz w:val="24"/>
          <w:szCs w:val="24"/>
        </w:rPr>
        <w:t>Uno de los principales cuestionamientos que surge es la centralidad histórica de la prisión como respuesta casi automática frente a los crímenes más graves. El paradigma penal tradicional, sustentado en la retribución y la disuasión, asume que el sufrimiento impuesto al infractor constituye el núcleo de la justicia. Sin embargo, diversos análisis han mostrado que este enfoque resulta insuficiente en escenarios de violencia colectiva, donde los crímenes no son meramente actos individuales desviados, sino expresiones de dinámicas estructurales y organizadas de poder (Barco, 2020; Betancourt, 2020). En estos contextos, el encarcelamiento masivo no garantiza, por sí mismo, ni la satisfacción de los derechos de las víctimas ni la transformación de las condiciones que hicieron posible la violencia.</w:t>
      </w:r>
    </w:p>
    <w:p w14:paraId="13AB497C" w14:textId="7B24A70F" w:rsidR="00211474" w:rsidRPr="00211474" w:rsidRDefault="00211474" w:rsidP="00211474">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211474">
        <w:rPr>
          <w:rFonts w:ascii="Times New Roman" w:eastAsia="Times New Roman" w:hAnsi="Times New Roman" w:cs="Times New Roman"/>
          <w:color w:val="000000" w:themeColor="text1"/>
          <w:sz w:val="24"/>
          <w:szCs w:val="24"/>
        </w:rPr>
        <w:t xml:space="preserve">A partir de ello, se cuestiona también la noción clásica de proporcionalidad penal, entendida exclusivamente como una correspondencia cuantitativa entre la gravedad del delito y la duración de la pena. Este enfoque tiende a ignorar el contenido material y el impacto social del castigo. Las sanciones con componentes restaurativos desplazan el eje de la proporcionalidad hacia una lógica cualitativa, en la que adquieren relevancia los efectos reparadores, simbólicos y comunitarios de la sanción. Así, la pregunta central deja de ser cuánto castigo se impone y pasa a </w:t>
      </w:r>
      <w:r w:rsidRPr="00211474">
        <w:rPr>
          <w:rFonts w:ascii="Times New Roman" w:eastAsia="Times New Roman" w:hAnsi="Times New Roman" w:cs="Times New Roman"/>
          <w:color w:val="000000" w:themeColor="text1"/>
          <w:sz w:val="24"/>
          <w:szCs w:val="24"/>
        </w:rPr>
        <w:lastRenderedPageBreak/>
        <w:t>ser qué tipo de respuesta contribuye efectivamente a reparar el daño causado y a prevenir su repetición</w:t>
      </w:r>
      <w:r>
        <w:rPr>
          <w:rFonts w:ascii="Times New Roman" w:eastAsia="Times New Roman" w:hAnsi="Times New Roman" w:cs="Times New Roman"/>
          <w:color w:val="000000" w:themeColor="text1"/>
          <w:sz w:val="24"/>
          <w:szCs w:val="24"/>
        </w:rPr>
        <w:t xml:space="preserve">. </w:t>
      </w:r>
    </w:p>
    <w:p w14:paraId="2D2ED2FF" w14:textId="0B2FF997" w:rsidR="00211474" w:rsidRPr="00211474" w:rsidRDefault="00211474" w:rsidP="00211474">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211474">
        <w:rPr>
          <w:rFonts w:ascii="Times New Roman" w:eastAsia="Times New Roman" w:hAnsi="Times New Roman" w:cs="Times New Roman"/>
          <w:color w:val="000000" w:themeColor="text1"/>
          <w:sz w:val="24"/>
          <w:szCs w:val="24"/>
        </w:rPr>
        <w:t>Otro elemento clave de este replanteamiento es la redefinición de la responsabilidad penal. Si bien los procesos transicionales juzgan a individuos concretos, reconocen que los crímenes internacionales no pueden comprenderse sin atender a los entramados sociales, políticos y económicos que los sustentaron. Esta perspectiva estructural permite superar una visión reduccionista de la culpabilidad y avanzar hacia una comprensión más amplia de la responsabilidad, en la que la verdad sobre los patrones de violencia adquiere un valor central. La sanción, en consecuencia, no se limita a reprochar un acto pasado, sino que busca desarticular narrativas de negación, justificar la violencia o normalizar el daño (Bueno, 2020).</w:t>
      </w:r>
    </w:p>
    <w:p w14:paraId="78614169" w14:textId="0CE76FF6" w:rsidR="00211474" w:rsidRPr="00211474" w:rsidRDefault="00211474" w:rsidP="00211474">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211474">
        <w:rPr>
          <w:rFonts w:ascii="Times New Roman" w:eastAsia="Times New Roman" w:hAnsi="Times New Roman" w:cs="Times New Roman"/>
          <w:color w:val="000000" w:themeColor="text1"/>
          <w:sz w:val="24"/>
          <w:szCs w:val="24"/>
        </w:rPr>
        <w:t>En este marco, el papel de las víctimas se resignifica profundamente. A diferencia del proceso penal ordinario, donde suelen ocupar un lugar marginal, los enfoques transicionales las sitúan en el centro del sistema de justicia. La legitimidad de las sanciones depende, en buena medida, de su capacidad para satisfacer los derechos a la verdad, la reparación y la no repetición. Esto implica reconocer que la justicia después de la guerra no puede reducirse a la imposición de penas, sino que debe generar espacios de reconocimiento, dignificación y participación efectiva de quienes sufrieron la violencia</w:t>
      </w:r>
      <w:r w:rsidR="00830F6F">
        <w:rPr>
          <w:rFonts w:ascii="Times New Roman" w:eastAsia="Times New Roman" w:hAnsi="Times New Roman" w:cs="Times New Roman"/>
          <w:color w:val="000000" w:themeColor="text1"/>
          <w:sz w:val="24"/>
          <w:szCs w:val="24"/>
        </w:rPr>
        <w:t xml:space="preserve"> (Huertas, 2022).</w:t>
      </w:r>
    </w:p>
    <w:p w14:paraId="46174740" w14:textId="28377E59" w:rsidR="00211474" w:rsidRPr="00211474" w:rsidRDefault="00211474" w:rsidP="6DAF6575">
      <w:pP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6DAF6575">
        <w:rPr>
          <w:rFonts w:ascii="Times New Roman" w:eastAsia="Times New Roman" w:hAnsi="Times New Roman" w:cs="Times New Roman"/>
          <w:color w:val="000000" w:themeColor="text1"/>
          <w:sz w:val="24"/>
          <w:szCs w:val="24"/>
        </w:rPr>
        <w:t xml:space="preserve">No obstante, este replanteamiento del castigo no está exento de tensiones. </w:t>
      </w:r>
      <w:r w:rsidR="0980EB73" w:rsidRPr="6DAF6575">
        <w:rPr>
          <w:rFonts w:ascii="Times New Roman" w:eastAsia="Times New Roman" w:hAnsi="Times New Roman" w:cs="Times New Roman"/>
          <w:color w:val="000000" w:themeColor="text1"/>
          <w:sz w:val="24"/>
          <w:szCs w:val="24"/>
        </w:rPr>
        <w:t>La flexibilización normativa de la justicia transicional se percibe como indulgencia o impunidad, en sociedades polarizadas.</w:t>
      </w:r>
      <w:r w:rsidRPr="6DAF6575">
        <w:rPr>
          <w:rFonts w:ascii="Times New Roman" w:eastAsia="Times New Roman" w:hAnsi="Times New Roman" w:cs="Times New Roman"/>
          <w:color w:val="000000" w:themeColor="text1"/>
          <w:sz w:val="24"/>
          <w:szCs w:val="24"/>
        </w:rPr>
        <w:t xml:space="preserve"> Por ello, las sanciones no privativas de la libertad requieren condiciones estrictas de acceso, mecanismos robustos de verificación y un esfuerzo constante de pedagogía social que explique sus fundamentos y alcances. Sin legitimidad social, incluso las propuestas </w:t>
      </w:r>
      <w:r w:rsidRPr="6DAF6575">
        <w:rPr>
          <w:rFonts w:ascii="Times New Roman" w:eastAsia="Times New Roman" w:hAnsi="Times New Roman" w:cs="Times New Roman"/>
          <w:color w:val="000000" w:themeColor="text1"/>
          <w:sz w:val="24"/>
          <w:szCs w:val="24"/>
        </w:rPr>
        <w:lastRenderedPageBreak/>
        <w:t>más innovadoras corren el riesgo de perder credibilidad y ser instrumentalizadas políticamente (Suárez, 2021).</w:t>
      </w:r>
    </w:p>
    <w:p w14:paraId="06154C47" w14:textId="5478EDB2" w:rsidR="00211474" w:rsidRPr="00211474" w:rsidRDefault="00211474" w:rsidP="00211474">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211474">
        <w:rPr>
          <w:rFonts w:ascii="Times New Roman" w:eastAsia="Times New Roman" w:hAnsi="Times New Roman" w:cs="Times New Roman"/>
          <w:color w:val="000000" w:themeColor="text1"/>
          <w:sz w:val="24"/>
          <w:szCs w:val="24"/>
        </w:rPr>
        <w:t xml:space="preserve">Desde una perspectiva internacional, estas experiencias también interpelan los estándares tradicionales del derecho penal internacional. La evaluación de la adecuación del castigo comienza a considerar no solo la severidad formal de la sanción, sino su coherencia con los objetivos transicionales y la voluntad genuina de los Estados de investigar, juzgar y sancionar. Este giro no supone relativizar la gravedad de los crímenes internacionales, sino reconocer que su tratamiento jurídico debe ser sensible a los contextos históricos y sociales en los que se produjeron (Oviedo </w:t>
      </w:r>
      <w:r>
        <w:rPr>
          <w:rFonts w:ascii="Times New Roman" w:eastAsia="Times New Roman" w:hAnsi="Times New Roman" w:cs="Times New Roman"/>
          <w:color w:val="000000" w:themeColor="text1"/>
          <w:sz w:val="24"/>
          <w:szCs w:val="24"/>
        </w:rPr>
        <w:t>y</w:t>
      </w:r>
      <w:r w:rsidRPr="00211474">
        <w:rPr>
          <w:rFonts w:ascii="Times New Roman" w:eastAsia="Times New Roman" w:hAnsi="Times New Roman" w:cs="Times New Roman"/>
          <w:color w:val="000000" w:themeColor="text1"/>
          <w:sz w:val="24"/>
          <w:szCs w:val="24"/>
        </w:rPr>
        <w:t xml:space="preserve"> </w:t>
      </w:r>
      <w:proofErr w:type="spellStart"/>
      <w:r w:rsidRPr="00211474">
        <w:rPr>
          <w:rFonts w:ascii="Times New Roman" w:eastAsia="Times New Roman" w:hAnsi="Times New Roman" w:cs="Times New Roman"/>
          <w:color w:val="000000" w:themeColor="text1"/>
          <w:sz w:val="24"/>
          <w:szCs w:val="24"/>
        </w:rPr>
        <w:t>Pungo</w:t>
      </w:r>
      <w:proofErr w:type="spellEnd"/>
      <w:r w:rsidRPr="00211474">
        <w:rPr>
          <w:rFonts w:ascii="Times New Roman" w:eastAsia="Times New Roman" w:hAnsi="Times New Roman" w:cs="Times New Roman"/>
          <w:color w:val="000000" w:themeColor="text1"/>
          <w:sz w:val="24"/>
          <w:szCs w:val="24"/>
        </w:rPr>
        <w:t>, 2024).</w:t>
      </w:r>
    </w:p>
    <w:p w14:paraId="7A1BF417" w14:textId="77777777" w:rsidR="00211474" w:rsidRPr="00211474" w:rsidRDefault="00211474" w:rsidP="00211474">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211474">
        <w:rPr>
          <w:rFonts w:ascii="Times New Roman" w:eastAsia="Times New Roman" w:hAnsi="Times New Roman" w:cs="Times New Roman"/>
          <w:color w:val="000000" w:themeColor="text1"/>
          <w:sz w:val="24"/>
          <w:szCs w:val="24"/>
        </w:rPr>
        <w:t>En definitiva, hacer justicia después de la guerra implica aceptar que no existe una fórmula única ni universalmente válida. La justicia transicional no elimina la tensión entre paz y justicia, sino que la gestiona de manera explícita y consciente. El castigo, en este marco, puede cumplir funciones distintas a la mera retribución: puede ser un vehículo para la verdad, un instrumento de reparación y un catalizador de transformación social. Lejos de clausurar el debate, estas experiencias amplían el horizonte crítico y obligan a repensar los fundamentos éticos, jurídicos y políticos del castigo en sociedades que buscan dejar atrás la violencia sin renunciar a la justicia (Zabalza, 2021).</w:t>
      </w:r>
    </w:p>
    <w:p w14:paraId="14C2E23A" w14:textId="77777777" w:rsidR="00211474" w:rsidRDefault="00211474" w:rsidP="0052602A">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2FB2BEBB"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4F1D7B76" w14:textId="77777777" w:rsidR="004B0F7A" w:rsidRDefault="004B0F7A"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25807FA0" w14:textId="77777777" w:rsidR="004B0F7A" w:rsidRDefault="004B0F7A"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16E7D42A" w14:textId="77777777" w:rsidR="00211474" w:rsidRDefault="0021147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0A397FF2" w14:textId="77777777" w:rsidR="00781AC4" w:rsidRDefault="00781AC4" w:rsidP="003A72E3">
      <w:pPr>
        <w:shd w:val="clear" w:color="auto" w:fill="FFFFFF"/>
        <w:spacing w:after="0" w:line="480" w:lineRule="auto"/>
        <w:ind w:firstLine="720"/>
        <w:rPr>
          <w:rFonts w:ascii="Times New Roman" w:eastAsia="Times New Roman" w:hAnsi="Times New Roman" w:cs="Times New Roman"/>
          <w:color w:val="000000" w:themeColor="text1"/>
          <w:sz w:val="24"/>
          <w:szCs w:val="24"/>
        </w:rPr>
      </w:pPr>
    </w:p>
    <w:p w14:paraId="000000C1" w14:textId="2D6FF795" w:rsidR="00DC70F0" w:rsidRPr="00E62A41" w:rsidRDefault="00F03A87" w:rsidP="00346936">
      <w:pPr>
        <w:pStyle w:val="Ttulo1"/>
        <w:spacing w:before="0" w:after="0" w:line="480" w:lineRule="auto"/>
        <w:ind w:left="720"/>
        <w:jc w:val="center"/>
        <w:rPr>
          <w:rFonts w:ascii="Times New Roman" w:eastAsia="Times New Roman" w:hAnsi="Times New Roman" w:cs="Times New Roman"/>
          <w:b/>
          <w:color w:val="000000" w:themeColor="text1"/>
          <w:sz w:val="24"/>
          <w:szCs w:val="24"/>
        </w:rPr>
      </w:pPr>
      <w:bookmarkStart w:id="28" w:name="_Toc232457402"/>
      <w:r w:rsidRPr="00E62A41">
        <w:rPr>
          <w:rFonts w:ascii="Times New Roman" w:eastAsia="Times New Roman" w:hAnsi="Times New Roman" w:cs="Times New Roman"/>
          <w:b/>
          <w:color w:val="000000" w:themeColor="text1"/>
          <w:sz w:val="24"/>
          <w:szCs w:val="24"/>
        </w:rPr>
        <w:lastRenderedPageBreak/>
        <w:t>Conclusiones</w:t>
      </w:r>
      <w:bookmarkEnd w:id="28"/>
    </w:p>
    <w:p w14:paraId="74CAA3E2" w14:textId="77777777" w:rsidR="004B0F7A" w:rsidRPr="004B0F7A" w:rsidRDefault="004B0F7A" w:rsidP="004B0F7A">
      <w:pPr>
        <w:pBdr>
          <w:top w:val="nil"/>
          <w:left w:val="nil"/>
          <w:bottom w:val="nil"/>
          <w:right w:val="nil"/>
          <w:between w:val="nil"/>
        </w:pBdr>
        <w:shd w:val="clear" w:color="auto" w:fill="FFFFFF" w:themeFill="background1"/>
        <w:spacing w:after="0" w:line="480" w:lineRule="auto"/>
        <w:ind w:firstLine="720"/>
        <w:rPr>
          <w:rFonts w:ascii="Times New Roman" w:hAnsi="Times New Roman" w:cs="Times New Roman"/>
          <w:color w:val="000000" w:themeColor="text1"/>
          <w:sz w:val="24"/>
          <w:szCs w:val="24"/>
        </w:rPr>
      </w:pPr>
      <w:r w:rsidRPr="004B0F7A">
        <w:rPr>
          <w:rFonts w:ascii="Times New Roman" w:hAnsi="Times New Roman" w:cs="Times New Roman"/>
          <w:b/>
          <w:bCs/>
          <w:color w:val="000000" w:themeColor="text1"/>
          <w:sz w:val="24"/>
          <w:szCs w:val="24"/>
        </w:rPr>
        <w:t>1. Identificar las dinámicas sobre el acuerdo final de paz de Colombia y su régimen sancionador acorde a la realidad del conflicto de las FARC-EP</w:t>
      </w:r>
      <w:r w:rsidRPr="004B0F7A">
        <w:rPr>
          <w:rFonts w:ascii="Times New Roman" w:hAnsi="Times New Roman" w:cs="Times New Roman"/>
          <w:color w:val="000000" w:themeColor="text1"/>
          <w:sz w:val="24"/>
          <w:szCs w:val="24"/>
        </w:rPr>
        <w:br/>
        <w:t>El Acuerdo Final de Paz con las FARC-EP (2016) introduce un modelo de justicia transicional más complejo y estructurado que el aplicado previamente en Colombia, ajustado a la naturaleza prolongada y político-militar del conflicto. Su régimen sancionador combina medidas retributivas y restaurativas, donde la responsabilidad se determina mediante el reconocimiento de verdad y el grado de colaboración con el Sistema Integral. A diferencia de modelos anteriores, las sanciones no se limitan a la privación de libertad, sino que incorporan sanciones propias de carácter restaurativo, orientadas a la reparación del daño y a la reconstrucción del tejido social. Este diseño responde a la necesidad de garantizar verdad, justicia y reparación sin recurrir a la impunidad, fortaleciendo la legitimidad del proceso de paz.</w:t>
      </w:r>
    </w:p>
    <w:p w14:paraId="1CFE0C2A" w14:textId="77777777" w:rsidR="004B0F7A" w:rsidRPr="004B0F7A" w:rsidRDefault="004B0F7A" w:rsidP="004B0F7A">
      <w:pPr>
        <w:pBdr>
          <w:top w:val="nil"/>
          <w:left w:val="nil"/>
          <w:bottom w:val="nil"/>
          <w:right w:val="nil"/>
          <w:between w:val="nil"/>
        </w:pBdr>
        <w:shd w:val="clear" w:color="auto" w:fill="FFFFFF" w:themeFill="background1"/>
        <w:spacing w:after="0" w:line="480" w:lineRule="auto"/>
        <w:ind w:firstLine="720"/>
        <w:rPr>
          <w:rFonts w:ascii="Times New Roman" w:hAnsi="Times New Roman" w:cs="Times New Roman"/>
          <w:color w:val="000000" w:themeColor="text1"/>
          <w:sz w:val="24"/>
          <w:szCs w:val="24"/>
        </w:rPr>
      </w:pPr>
      <w:r w:rsidRPr="004B0F7A">
        <w:rPr>
          <w:rFonts w:ascii="Times New Roman" w:hAnsi="Times New Roman" w:cs="Times New Roman"/>
          <w:b/>
          <w:bCs/>
          <w:color w:val="000000" w:themeColor="text1"/>
          <w:sz w:val="24"/>
          <w:szCs w:val="24"/>
        </w:rPr>
        <w:t>2. Determinar el contexto aplicativo de la justicia transicional en Justicia y Paz y la Jurisdicción Especial para la Paz</w:t>
      </w:r>
      <w:r w:rsidRPr="004B0F7A">
        <w:rPr>
          <w:rFonts w:ascii="Times New Roman" w:hAnsi="Times New Roman" w:cs="Times New Roman"/>
          <w:color w:val="000000" w:themeColor="text1"/>
          <w:sz w:val="24"/>
          <w:szCs w:val="24"/>
        </w:rPr>
        <w:br/>
        <w:t xml:space="preserve">El análisis comparativo evidencia que la Ley de Justicia y Paz (Ley 975 de 2005) se centró en un modelo predominantemente judicial y punitivo, con fuerte dependencia del sistema penal ordinario y limitaciones estructurales para investigar y juzgar la totalidad de los crímenes cometidos por las AUC. Esto generó dificultades en la garantía plena de los derechos de las víctimas, especialmente en materia de verdad y reparación integral. En contraste, la Jurisdicción Especial para la Paz (JEP), como parte del Sistema Integral de Verdad, Justicia, Reparación y No Repetición, representa una evolución institucional significativa, al articular mecanismos judiciales y extrajudiciales que permiten mayor cobertura de casos, participación de víctimas y </w:t>
      </w:r>
      <w:r w:rsidRPr="004B0F7A">
        <w:rPr>
          <w:rFonts w:ascii="Times New Roman" w:hAnsi="Times New Roman" w:cs="Times New Roman"/>
          <w:color w:val="000000" w:themeColor="text1"/>
          <w:sz w:val="24"/>
          <w:szCs w:val="24"/>
        </w:rPr>
        <w:lastRenderedPageBreak/>
        <w:t>eficiencia en la administración de justicia transicional. En este sentido, la JEP fortalece la capacidad estatal para enfrentar la magnitud del conflicto y reduce la impunidad estructural.</w:t>
      </w:r>
    </w:p>
    <w:p w14:paraId="592572DC" w14:textId="74437746" w:rsidR="004B0F7A" w:rsidRPr="004B0F7A" w:rsidRDefault="004B0F7A" w:rsidP="004B0F7A">
      <w:pPr>
        <w:pBdr>
          <w:top w:val="nil"/>
          <w:left w:val="nil"/>
          <w:bottom w:val="nil"/>
          <w:right w:val="nil"/>
          <w:between w:val="nil"/>
        </w:pBdr>
        <w:shd w:val="clear" w:color="auto" w:fill="FFFFFF" w:themeFill="background1"/>
        <w:spacing w:after="0" w:line="480" w:lineRule="auto"/>
        <w:ind w:firstLine="720"/>
        <w:rPr>
          <w:rFonts w:ascii="Times New Roman" w:hAnsi="Times New Roman" w:cs="Times New Roman"/>
          <w:color w:val="000000" w:themeColor="text1"/>
          <w:sz w:val="24"/>
          <w:szCs w:val="24"/>
        </w:rPr>
      </w:pPr>
      <w:r w:rsidRPr="004B0F7A">
        <w:rPr>
          <w:rFonts w:ascii="Times New Roman" w:hAnsi="Times New Roman" w:cs="Times New Roman"/>
          <w:b/>
          <w:bCs/>
          <w:color w:val="000000" w:themeColor="text1"/>
          <w:sz w:val="24"/>
          <w:szCs w:val="24"/>
        </w:rPr>
        <w:t>3. Contrastar la diferencia de eje de la inclusión de civiles participantes en el conflicto dentro de ambos procesos de justicia transicional en Colombia</w:t>
      </w:r>
      <w:r w:rsidRPr="004B0F7A">
        <w:rPr>
          <w:rFonts w:ascii="Times New Roman" w:hAnsi="Times New Roman" w:cs="Times New Roman"/>
          <w:color w:val="000000" w:themeColor="text1"/>
          <w:sz w:val="24"/>
          <w:szCs w:val="24"/>
        </w:rPr>
        <w:br/>
        <w:t xml:space="preserve">La comparación muestra diferencias sustanciales en el grado de inclusión de actores civiles dentro de los procesos de justicia transicional. En el modelo de Justicia y Paz, la participación de civiles y víctimas fue limitada y menos estructurada, con un enfoque centrado principalmente en los excombatientes de las AUC y una participación indirecta de las víctimas en los procedimientos judiciales. En cambio, el sistema implementado con las FARC-EP incorpora un eje central de </w:t>
      </w:r>
      <w:r w:rsidRPr="004B0F7A">
        <w:rPr>
          <w:rFonts w:ascii="Times New Roman" w:hAnsi="Times New Roman" w:cs="Times New Roman"/>
          <w:color w:val="000000" w:themeColor="text1"/>
          <w:sz w:val="24"/>
          <w:szCs w:val="24"/>
        </w:rPr>
        <w:t>participación</w:t>
      </w:r>
      <w:r w:rsidRPr="004B0F7A">
        <w:rPr>
          <w:rFonts w:ascii="Times New Roman" w:hAnsi="Times New Roman" w:cs="Times New Roman"/>
          <w:color w:val="000000" w:themeColor="text1"/>
          <w:sz w:val="24"/>
          <w:szCs w:val="24"/>
        </w:rPr>
        <w:t xml:space="preserve"> de las víctimas y reconoce de manera más amplia la responsabilidad colectiva de los actores involucrados, incluidos terceros civiles en determinados casos. Este enfoque amplía la dimensión restaurativa de la justicia transicional, fortaleciendo la legitimidad del proceso y consolidando la centralidad de las víctimas en la construcción de verdad, reparación y garantías de no repetición.</w:t>
      </w:r>
    </w:p>
    <w:p w14:paraId="099DF248" w14:textId="77777777" w:rsidR="004B0F7A" w:rsidRDefault="004B0F7A" w:rsidP="004B0F7A">
      <w:pPr>
        <w:rPr>
          <w:rFonts w:ascii="Times New Roman" w:eastAsia="Times New Roman" w:hAnsi="Times New Roman" w:cs="Times New Roman"/>
          <w:b/>
          <w:bCs/>
          <w:color w:val="000000" w:themeColor="text1"/>
          <w:sz w:val="24"/>
          <w:szCs w:val="24"/>
        </w:rPr>
      </w:pPr>
    </w:p>
    <w:p w14:paraId="25CEA4B0" w14:textId="77777777" w:rsidR="004B0F7A" w:rsidRDefault="004B0F7A" w:rsidP="004B0F7A">
      <w:pPr>
        <w:rPr>
          <w:rFonts w:ascii="Times New Roman" w:eastAsia="Times New Roman" w:hAnsi="Times New Roman" w:cs="Times New Roman"/>
          <w:b/>
          <w:bCs/>
          <w:color w:val="000000" w:themeColor="text1"/>
          <w:sz w:val="24"/>
          <w:szCs w:val="24"/>
        </w:rPr>
      </w:pPr>
    </w:p>
    <w:p w14:paraId="64F0FFF0" w14:textId="77777777" w:rsidR="004B0F7A" w:rsidRDefault="004B0F7A" w:rsidP="004B0F7A">
      <w:pPr>
        <w:rPr>
          <w:rFonts w:ascii="Times New Roman" w:eastAsia="Times New Roman" w:hAnsi="Times New Roman" w:cs="Times New Roman"/>
          <w:b/>
          <w:bCs/>
          <w:color w:val="000000" w:themeColor="text1"/>
          <w:sz w:val="24"/>
          <w:szCs w:val="24"/>
        </w:rPr>
      </w:pPr>
    </w:p>
    <w:p w14:paraId="2BEE83D3" w14:textId="77777777" w:rsidR="004B0F7A" w:rsidRDefault="004B0F7A" w:rsidP="004B0F7A">
      <w:pPr>
        <w:rPr>
          <w:rFonts w:ascii="Times New Roman" w:eastAsia="Times New Roman" w:hAnsi="Times New Roman" w:cs="Times New Roman"/>
          <w:b/>
          <w:bCs/>
          <w:color w:val="000000" w:themeColor="text1"/>
          <w:sz w:val="24"/>
          <w:szCs w:val="24"/>
        </w:rPr>
      </w:pPr>
    </w:p>
    <w:p w14:paraId="649A9763" w14:textId="77777777" w:rsidR="004B0F7A" w:rsidRDefault="004B0F7A" w:rsidP="004B0F7A">
      <w:pPr>
        <w:rPr>
          <w:rFonts w:ascii="Times New Roman" w:eastAsia="Times New Roman" w:hAnsi="Times New Roman" w:cs="Times New Roman"/>
          <w:b/>
          <w:bCs/>
          <w:color w:val="000000" w:themeColor="text1"/>
          <w:sz w:val="24"/>
          <w:szCs w:val="24"/>
        </w:rPr>
      </w:pPr>
    </w:p>
    <w:p w14:paraId="586BCE5E" w14:textId="77777777" w:rsidR="004B0F7A" w:rsidRDefault="004B0F7A" w:rsidP="004B0F7A">
      <w:pPr>
        <w:rPr>
          <w:rFonts w:ascii="Times New Roman" w:eastAsia="Times New Roman" w:hAnsi="Times New Roman" w:cs="Times New Roman"/>
          <w:b/>
          <w:bCs/>
          <w:color w:val="000000" w:themeColor="text1"/>
          <w:sz w:val="24"/>
          <w:szCs w:val="24"/>
        </w:rPr>
      </w:pPr>
    </w:p>
    <w:p w14:paraId="2C5AE81D" w14:textId="77777777" w:rsidR="004B0F7A" w:rsidRDefault="004B0F7A" w:rsidP="00346936">
      <w:pPr>
        <w:pStyle w:val="Ttulo1"/>
        <w:jc w:val="center"/>
        <w:rPr>
          <w:rFonts w:ascii="Times New Roman" w:eastAsia="Times New Roman" w:hAnsi="Times New Roman" w:cs="Times New Roman"/>
          <w:b/>
          <w:bCs/>
          <w:color w:val="000000" w:themeColor="text1"/>
          <w:sz w:val="24"/>
          <w:szCs w:val="24"/>
        </w:rPr>
      </w:pPr>
    </w:p>
    <w:p w14:paraId="04AE1ABA" w14:textId="77777777" w:rsidR="004B0F7A" w:rsidRDefault="004B0F7A" w:rsidP="004B0F7A"/>
    <w:p w14:paraId="190CBFD9" w14:textId="77777777" w:rsidR="004B0F7A" w:rsidRDefault="004B0F7A" w:rsidP="004B0F7A"/>
    <w:p w14:paraId="4595FA7A" w14:textId="77777777" w:rsidR="004B0F7A" w:rsidRPr="004B0F7A" w:rsidRDefault="004B0F7A" w:rsidP="004B0F7A"/>
    <w:p w14:paraId="6A3E4B1D" w14:textId="3AD8DB1E" w:rsidR="00781AC4" w:rsidRPr="00346936" w:rsidRDefault="00346936" w:rsidP="00346936">
      <w:pPr>
        <w:pStyle w:val="Ttulo1"/>
        <w:jc w:val="center"/>
        <w:rPr>
          <w:rFonts w:ascii="Times New Roman" w:eastAsia="Times New Roman" w:hAnsi="Times New Roman" w:cs="Times New Roman"/>
          <w:b/>
          <w:bCs/>
          <w:color w:val="000000" w:themeColor="text1"/>
          <w:sz w:val="24"/>
          <w:szCs w:val="24"/>
        </w:rPr>
      </w:pPr>
      <w:bookmarkStart w:id="29" w:name="_Toc232457403"/>
      <w:r w:rsidRPr="00346936">
        <w:rPr>
          <w:rFonts w:ascii="Times New Roman" w:eastAsia="Times New Roman" w:hAnsi="Times New Roman" w:cs="Times New Roman"/>
          <w:b/>
          <w:bCs/>
          <w:color w:val="000000" w:themeColor="text1"/>
          <w:sz w:val="24"/>
          <w:szCs w:val="24"/>
        </w:rPr>
        <w:lastRenderedPageBreak/>
        <w:t>Recomendaciones</w:t>
      </w:r>
      <w:bookmarkEnd w:id="29"/>
    </w:p>
    <w:p w14:paraId="4B884194" w14:textId="77777777" w:rsidR="005E4004" w:rsidRPr="005E4004" w:rsidRDefault="005E4004" w:rsidP="005E4004">
      <w:pPr>
        <w:pBdr>
          <w:top w:val="nil"/>
          <w:left w:val="nil"/>
          <w:bottom w:val="nil"/>
          <w:right w:val="nil"/>
          <w:between w:val="nil"/>
        </w:pBd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005E4004">
        <w:rPr>
          <w:rFonts w:ascii="Times New Roman" w:eastAsia="Times New Roman" w:hAnsi="Times New Roman" w:cs="Times New Roman"/>
          <w:color w:val="000000" w:themeColor="text1"/>
          <w:sz w:val="24"/>
          <w:szCs w:val="24"/>
        </w:rPr>
        <w:t>A partir del análisis comparativo entre la desmovilización de las AUC y la entrega de armas de las FARC-EP, se recomienda fortalecer los mecanismos de seguimiento y evaluación de la justicia transicional en Colombia, garantizando que los compromisos asumidos en los acuerdos se materialicen en acciones efectivas para la verdad, la justicia, la reparación y la no repetición. En el caso de las AUC, la limitada participación de las víctimas y la insuficiencia en la obtención de verdad plena dejaron vacíos que no deben repetirse; mientras que en el proceso con las FARC-EP, aunque se avanzó en un diseño institucional más robusto con la JEP y el Sistema Integral, la lentitud en su implementación y la persistencia de la violencia en los territorios plantean riesgos de revictimización. Por tanto, se sugiere priorizar la protección y seguridad de las comunidades, garantizar el acceso efectivo a la justicia y acelerar los procesos de reparación colectiva e individual, de modo que la legitimidad del modelo se fortalezca y la confianza social aumente.</w:t>
      </w:r>
    </w:p>
    <w:p w14:paraId="4E6323D9" w14:textId="3FEF0662" w:rsidR="00781AC4" w:rsidRDefault="005E4004" w:rsidP="005E4004">
      <w:pPr>
        <w:pBdr>
          <w:top w:val="nil"/>
          <w:left w:val="nil"/>
          <w:bottom w:val="nil"/>
          <w:right w:val="nil"/>
          <w:between w:val="nil"/>
        </w:pBd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r w:rsidRPr="005E4004">
        <w:rPr>
          <w:rFonts w:ascii="Times New Roman" w:eastAsia="Times New Roman" w:hAnsi="Times New Roman" w:cs="Times New Roman"/>
          <w:color w:val="000000" w:themeColor="text1"/>
          <w:sz w:val="24"/>
          <w:szCs w:val="24"/>
        </w:rPr>
        <w:t>Asimismo, resulta indispensable profundizar en un enfoque que combine justicia retributiva y restaurativa, promoviendo la participación de las víctimas en los procesos y consolidando la reincorporación económica y social de los excombatientes. La experiencia demuestra que la impunidad o la falta de garantías integrales generan un terreno fértil para la reincidencia y la continuidad del conflicto. En este sentido, la recomendación central es avanzar hacia una mayor coordinación entre el sistema de justicia transicional y el sistema de justicia ordinaria, complementada con políticas públicas de desarrollo rural, inclusión social y fortalecimiento institucional en los territorios más afectados por la guerra. Solo así se podrá consolidar una paz estable y duradera, cumpliendo con los estándares internacionales y, sobre todo, con las demandas de las víctimas como eje central de la transición.</w:t>
      </w:r>
    </w:p>
    <w:p w14:paraId="17861475" w14:textId="77777777" w:rsidR="00781AC4" w:rsidRDefault="00781AC4" w:rsidP="003A72E3">
      <w:pPr>
        <w:pBdr>
          <w:top w:val="nil"/>
          <w:left w:val="nil"/>
          <w:bottom w:val="nil"/>
          <w:right w:val="nil"/>
          <w:between w:val="nil"/>
        </w:pBdr>
        <w:shd w:val="clear" w:color="auto" w:fill="FFFFFF" w:themeFill="background1"/>
        <w:spacing w:after="0" w:line="480" w:lineRule="auto"/>
        <w:ind w:firstLine="720"/>
        <w:rPr>
          <w:rFonts w:ascii="Times New Roman" w:eastAsia="Times New Roman" w:hAnsi="Times New Roman" w:cs="Times New Roman"/>
          <w:color w:val="000000" w:themeColor="text1"/>
          <w:sz w:val="24"/>
          <w:szCs w:val="24"/>
        </w:rPr>
      </w:pPr>
    </w:p>
    <w:p w14:paraId="000000CD" w14:textId="7D9FBEA7" w:rsidR="00DC70F0" w:rsidRPr="003A72E3" w:rsidRDefault="00F03A87" w:rsidP="00346936">
      <w:pPr>
        <w:pStyle w:val="Ttulo1"/>
        <w:jc w:val="center"/>
        <w:rPr>
          <w:rFonts w:ascii="Times New Roman" w:eastAsia="Times New Roman" w:hAnsi="Times New Roman" w:cs="Times New Roman"/>
          <w:b/>
          <w:color w:val="000000" w:themeColor="text1"/>
          <w:sz w:val="24"/>
          <w:szCs w:val="24"/>
        </w:rPr>
      </w:pPr>
      <w:bookmarkStart w:id="30" w:name="_Toc232457404"/>
      <w:r w:rsidRPr="003A72E3">
        <w:rPr>
          <w:rFonts w:ascii="Times New Roman" w:eastAsia="Times New Roman" w:hAnsi="Times New Roman" w:cs="Times New Roman"/>
          <w:b/>
          <w:color w:val="000000" w:themeColor="text1"/>
          <w:sz w:val="24"/>
          <w:szCs w:val="24"/>
        </w:rPr>
        <w:lastRenderedPageBreak/>
        <w:t>Referencias</w:t>
      </w:r>
      <w:bookmarkEnd w:id="30"/>
    </w:p>
    <w:p w14:paraId="60A6AABA" w14:textId="77777777" w:rsidR="00850781" w:rsidRPr="00830F6F" w:rsidRDefault="00850781" w:rsidP="00211474">
      <w:pPr>
        <w:spacing w:after="0" w:line="480" w:lineRule="auto"/>
        <w:ind w:left="720" w:hanging="720"/>
        <w:jc w:val="both"/>
        <w:rPr>
          <w:rFonts w:ascii="Times New Roman" w:eastAsia="Times New Roman" w:hAnsi="Times New Roman" w:cs="Times New Roman"/>
          <w:iCs/>
          <w:color w:val="000000" w:themeColor="text1"/>
          <w:sz w:val="24"/>
          <w:szCs w:val="24"/>
        </w:rPr>
      </w:pPr>
      <w:bookmarkStart w:id="31" w:name="_Hlk219293546"/>
      <w:r w:rsidRPr="00830F6F">
        <w:rPr>
          <w:rFonts w:ascii="Times New Roman" w:eastAsia="Times New Roman" w:hAnsi="Times New Roman" w:cs="Times New Roman"/>
          <w:color w:val="000000" w:themeColor="text1"/>
          <w:sz w:val="24"/>
          <w:szCs w:val="24"/>
        </w:rPr>
        <w:t>Amado, J. Y. (2021). La reparación simbólica en la justicia transicional. </w:t>
      </w:r>
      <w:r w:rsidRPr="00830F6F">
        <w:rPr>
          <w:rFonts w:ascii="Times New Roman" w:eastAsia="Times New Roman" w:hAnsi="Times New Roman" w:cs="Times New Roman"/>
          <w:i/>
          <w:color w:val="000000" w:themeColor="text1"/>
          <w:sz w:val="24"/>
          <w:szCs w:val="24"/>
        </w:rPr>
        <w:t xml:space="preserve">Tercer Encuentro Nacional e Internacional de Socio Jurídica, 2 (23), 79-86. </w:t>
      </w:r>
      <w:r w:rsidRPr="00830F6F">
        <w:rPr>
          <w:rFonts w:ascii="Times New Roman" w:eastAsia="Times New Roman" w:hAnsi="Times New Roman" w:cs="Times New Roman"/>
          <w:iCs/>
          <w:color w:val="000000" w:themeColor="text1"/>
          <w:sz w:val="24"/>
          <w:szCs w:val="24"/>
        </w:rPr>
        <w:t>Recuperado a partir de</w:t>
      </w:r>
      <w:r w:rsidRPr="00830F6F">
        <w:rPr>
          <w:sz w:val="24"/>
          <w:szCs w:val="24"/>
        </w:rPr>
        <w:t xml:space="preserve"> </w:t>
      </w:r>
      <w:hyperlink r:id="rId9" w:history="1">
        <w:r w:rsidRPr="00830F6F">
          <w:rPr>
            <w:rStyle w:val="Hipervnculo"/>
            <w:rFonts w:ascii="Times New Roman" w:eastAsia="Times New Roman" w:hAnsi="Times New Roman" w:cs="Times New Roman"/>
            <w:iCs/>
            <w:sz w:val="24"/>
            <w:szCs w:val="24"/>
            <w:u w:val="none"/>
          </w:rPr>
          <w:t>https://repositorio.uptc.edu.co/server/api/core/bitstreams/2174b585-fada-44ef-83dd-2f8361bfa896/content</w:t>
        </w:r>
      </w:hyperlink>
    </w:p>
    <w:p w14:paraId="74F0866C"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Aponte García, M. S., &amp; Llano Franco, J. V. (2022). Preceptos de la Justicia Transicional reconocidos por la jurisprudencia constitucional colombiana. </w:t>
      </w:r>
      <w:r w:rsidRPr="00830F6F">
        <w:rPr>
          <w:rFonts w:ascii="Times New Roman" w:eastAsia="Times New Roman" w:hAnsi="Times New Roman" w:cs="Times New Roman"/>
          <w:i/>
          <w:iCs/>
          <w:color w:val="000000" w:themeColor="text1"/>
          <w:sz w:val="24"/>
          <w:szCs w:val="24"/>
        </w:rPr>
        <w:t>Cuestiones Constitucionales. Revista Mexicana De Derecho Constitucional</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1</w:t>
      </w:r>
      <w:r w:rsidRPr="00830F6F">
        <w:rPr>
          <w:rFonts w:ascii="Times New Roman" w:eastAsia="Times New Roman" w:hAnsi="Times New Roman" w:cs="Times New Roman"/>
          <w:color w:val="000000" w:themeColor="text1"/>
          <w:sz w:val="24"/>
          <w:szCs w:val="24"/>
        </w:rPr>
        <w:t xml:space="preserve">(47), 3–35. </w:t>
      </w:r>
      <w:hyperlink r:id="rId10" w:history="1">
        <w:r w:rsidRPr="00830F6F">
          <w:rPr>
            <w:rStyle w:val="Hipervnculo"/>
            <w:rFonts w:ascii="Times New Roman" w:eastAsia="Times New Roman" w:hAnsi="Times New Roman" w:cs="Times New Roman"/>
            <w:sz w:val="24"/>
            <w:szCs w:val="24"/>
            <w:u w:val="none"/>
          </w:rPr>
          <w:t>https://doi.org/10.22201/iij.24484881e.2022.47.17521</w:t>
        </w:r>
      </w:hyperlink>
      <w:r w:rsidRPr="00830F6F">
        <w:rPr>
          <w:rFonts w:ascii="Times New Roman" w:eastAsia="Times New Roman" w:hAnsi="Times New Roman" w:cs="Times New Roman"/>
          <w:color w:val="000000" w:themeColor="text1"/>
          <w:sz w:val="24"/>
          <w:szCs w:val="24"/>
        </w:rPr>
        <w:t xml:space="preserve"> </w:t>
      </w:r>
    </w:p>
    <w:p w14:paraId="4A61C9CE"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Arias Henao, D. P. (2020). La implementación del acuerdo de paz y la transformación del conflicto armado en Colombia. </w:t>
      </w:r>
      <w:r w:rsidRPr="00830F6F">
        <w:rPr>
          <w:rFonts w:ascii="Times New Roman" w:eastAsia="Times New Roman" w:hAnsi="Times New Roman" w:cs="Times New Roman"/>
          <w:i/>
          <w:iCs/>
          <w:color w:val="000000" w:themeColor="text1"/>
          <w:sz w:val="24"/>
          <w:szCs w:val="24"/>
        </w:rPr>
        <w:t>Revista Científica General José María Córdova</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18</w:t>
      </w:r>
      <w:r w:rsidRPr="00830F6F">
        <w:rPr>
          <w:rFonts w:ascii="Times New Roman" w:eastAsia="Times New Roman" w:hAnsi="Times New Roman" w:cs="Times New Roman"/>
          <w:color w:val="000000" w:themeColor="text1"/>
          <w:sz w:val="24"/>
          <w:szCs w:val="24"/>
        </w:rPr>
        <w:t xml:space="preserve">(31), 565–584. </w:t>
      </w:r>
      <w:hyperlink r:id="rId11" w:history="1">
        <w:r w:rsidRPr="00830F6F">
          <w:rPr>
            <w:rStyle w:val="Hipervnculo"/>
            <w:rFonts w:ascii="Times New Roman" w:eastAsia="Times New Roman" w:hAnsi="Times New Roman" w:cs="Times New Roman"/>
            <w:sz w:val="24"/>
            <w:szCs w:val="24"/>
            <w:u w:val="none"/>
          </w:rPr>
          <w:t>https://doi.org/10.21830/19006586.621</w:t>
        </w:r>
      </w:hyperlink>
    </w:p>
    <w:p w14:paraId="2487C552"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Arias Henao, Diana Patricia, Arias Henao, Humberto Enrique, &amp; García Perilla, Juan Carlos. (2022). Nueva Violencia colombiana y el rol de la fuerza pública en los escenarios de justicia transicional a 2021. </w:t>
      </w:r>
      <w:r w:rsidRPr="00830F6F">
        <w:rPr>
          <w:rFonts w:ascii="Times New Roman" w:eastAsia="Times New Roman" w:hAnsi="Times New Roman" w:cs="Times New Roman"/>
          <w:i/>
          <w:iCs/>
          <w:color w:val="000000" w:themeColor="text1"/>
          <w:sz w:val="24"/>
          <w:szCs w:val="24"/>
        </w:rPr>
        <w:t>Opinión Jurídica</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21</w:t>
      </w:r>
      <w:r w:rsidRPr="00830F6F">
        <w:rPr>
          <w:rFonts w:ascii="Times New Roman" w:eastAsia="Times New Roman" w:hAnsi="Times New Roman" w:cs="Times New Roman"/>
          <w:color w:val="000000" w:themeColor="text1"/>
          <w:sz w:val="24"/>
          <w:szCs w:val="24"/>
        </w:rPr>
        <w:t>(45), e3. Epub June 13, 2024.</w:t>
      </w:r>
      <w:hyperlink r:id="rId12" w:history="1">
        <w:r w:rsidRPr="00830F6F">
          <w:rPr>
            <w:rStyle w:val="Hipervnculo"/>
            <w:rFonts w:ascii="Times New Roman" w:eastAsia="Times New Roman" w:hAnsi="Times New Roman" w:cs="Times New Roman"/>
            <w:sz w:val="24"/>
            <w:szCs w:val="24"/>
            <w:u w:val="none"/>
          </w:rPr>
          <w:t>https://doi.org/10.22395/ojum.v21n45a3</w:t>
        </w:r>
      </w:hyperlink>
    </w:p>
    <w:p w14:paraId="07A99A55"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Barco, G. E. C. (2020). El carácter dialógico del proceso con reconocimiento de responsabilidad ante la Jurisdicción Especial para la Paz: Retos del derecho penal en contextos de justicia transicional. </w:t>
      </w:r>
      <w:proofErr w:type="spellStart"/>
      <w:r w:rsidRPr="00830F6F">
        <w:rPr>
          <w:rFonts w:ascii="Times New Roman" w:eastAsia="Times New Roman" w:hAnsi="Times New Roman" w:cs="Times New Roman"/>
          <w:i/>
          <w:iCs/>
          <w:color w:val="000000" w:themeColor="text1"/>
          <w:sz w:val="24"/>
          <w:szCs w:val="24"/>
        </w:rPr>
        <w:t>Vniversitas</w:t>
      </w:r>
      <w:proofErr w:type="spellEnd"/>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69</w:t>
      </w:r>
      <w:r w:rsidRPr="00830F6F">
        <w:rPr>
          <w:rFonts w:ascii="Times New Roman" w:eastAsia="Times New Roman" w:hAnsi="Times New Roman" w:cs="Times New Roman"/>
          <w:color w:val="000000" w:themeColor="text1"/>
          <w:sz w:val="24"/>
          <w:szCs w:val="24"/>
        </w:rPr>
        <w:t>, 1-30. </w:t>
      </w:r>
      <w:hyperlink r:id="rId13" w:history="1">
        <w:r w:rsidRPr="00830F6F">
          <w:rPr>
            <w:rStyle w:val="Hipervnculo"/>
            <w:rFonts w:ascii="Times New Roman" w:eastAsia="Times New Roman" w:hAnsi="Times New Roman" w:cs="Times New Roman"/>
            <w:sz w:val="24"/>
            <w:szCs w:val="24"/>
            <w:u w:val="none"/>
          </w:rPr>
          <w:t>https://doi.org/10.11144/JAVERIANA.VJ69.CDPR</w:t>
        </w:r>
      </w:hyperlink>
    </w:p>
    <w:p w14:paraId="1092638F" w14:textId="2BF0048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Barrera Acosta, L. </w:t>
      </w:r>
      <w:bookmarkStart w:id="32" w:name="_Int_bezfAAwh"/>
      <w:r w:rsidRPr="00830F6F">
        <w:rPr>
          <w:rFonts w:ascii="Times New Roman" w:eastAsia="Times New Roman" w:hAnsi="Times New Roman" w:cs="Times New Roman"/>
          <w:color w:val="000000" w:themeColor="text1"/>
          <w:sz w:val="24"/>
          <w:szCs w:val="24"/>
        </w:rPr>
        <w:t>M. .</w:t>
      </w:r>
      <w:bookmarkEnd w:id="32"/>
      <w:r w:rsidRPr="00830F6F">
        <w:rPr>
          <w:rFonts w:ascii="Times New Roman" w:eastAsia="Times New Roman" w:hAnsi="Times New Roman" w:cs="Times New Roman"/>
          <w:color w:val="000000" w:themeColor="text1"/>
          <w:sz w:val="24"/>
          <w:szCs w:val="24"/>
        </w:rPr>
        <w:t xml:space="preserve"> (202</w:t>
      </w:r>
      <w:r w:rsidR="005F1CD1" w:rsidRPr="00830F6F">
        <w:rPr>
          <w:rFonts w:ascii="Times New Roman" w:eastAsia="Times New Roman" w:hAnsi="Times New Roman" w:cs="Times New Roman"/>
          <w:color w:val="000000" w:themeColor="text1"/>
          <w:sz w:val="24"/>
          <w:szCs w:val="24"/>
        </w:rPr>
        <w:t>2</w:t>
      </w:r>
      <w:r w:rsidRPr="00830F6F">
        <w:rPr>
          <w:rFonts w:ascii="Times New Roman" w:eastAsia="Times New Roman" w:hAnsi="Times New Roman" w:cs="Times New Roman"/>
          <w:color w:val="000000" w:themeColor="text1"/>
          <w:sz w:val="24"/>
          <w:szCs w:val="24"/>
        </w:rPr>
        <w:t>). Resiliencia en mujeres víctimas de violencia sexual dentro del conflicto armado, Villavicencio-Colombia. </w:t>
      </w:r>
      <w:r w:rsidRPr="00830F6F">
        <w:rPr>
          <w:rFonts w:ascii="Times New Roman" w:eastAsia="Times New Roman" w:hAnsi="Times New Roman" w:cs="Times New Roman"/>
          <w:i/>
          <w:iCs/>
          <w:color w:val="000000" w:themeColor="text1"/>
          <w:sz w:val="24"/>
          <w:szCs w:val="24"/>
        </w:rPr>
        <w:t>Horizonte De Enfermería</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31</w:t>
      </w:r>
      <w:r w:rsidRPr="00830F6F">
        <w:rPr>
          <w:rFonts w:ascii="Times New Roman" w:eastAsia="Times New Roman" w:hAnsi="Times New Roman" w:cs="Times New Roman"/>
          <w:color w:val="000000" w:themeColor="text1"/>
          <w:sz w:val="24"/>
          <w:szCs w:val="24"/>
        </w:rPr>
        <w:t xml:space="preserve">(3), 268–290. Recuperado a partir de </w:t>
      </w:r>
      <w:hyperlink r:id="rId14">
        <w:r w:rsidRPr="00830F6F">
          <w:rPr>
            <w:rStyle w:val="Hipervnculo"/>
            <w:rFonts w:ascii="Times New Roman" w:eastAsia="Times New Roman" w:hAnsi="Times New Roman" w:cs="Times New Roman"/>
            <w:sz w:val="24"/>
            <w:szCs w:val="24"/>
            <w:u w:val="none"/>
          </w:rPr>
          <w:t>https://horizonteenfermeria.uc.cl/index.php/RHE/article/view/Horiz_Enferm.31.3.268-290</w:t>
        </w:r>
      </w:hyperlink>
    </w:p>
    <w:p w14:paraId="5B020CA9" w14:textId="4B05B090"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lastRenderedPageBreak/>
        <w:t xml:space="preserve">Betancourt Torres, V. </w:t>
      </w:r>
      <w:r w:rsidR="00830F6F" w:rsidRPr="00830F6F">
        <w:rPr>
          <w:rFonts w:ascii="Times New Roman" w:eastAsia="Times New Roman" w:hAnsi="Times New Roman" w:cs="Times New Roman"/>
          <w:color w:val="000000" w:themeColor="text1"/>
          <w:sz w:val="24"/>
          <w:szCs w:val="24"/>
        </w:rPr>
        <w:t>(</w:t>
      </w:r>
      <w:r w:rsidRPr="00830F6F">
        <w:rPr>
          <w:rFonts w:ascii="Times New Roman" w:eastAsia="Times New Roman" w:hAnsi="Times New Roman" w:cs="Times New Roman"/>
          <w:color w:val="000000" w:themeColor="text1"/>
          <w:sz w:val="24"/>
          <w:szCs w:val="24"/>
        </w:rPr>
        <w:t>2020</w:t>
      </w:r>
      <w:r w:rsidR="00830F6F" w:rsidRPr="00830F6F">
        <w:rPr>
          <w:rFonts w:ascii="Times New Roman" w:eastAsia="Times New Roman" w:hAnsi="Times New Roman" w:cs="Times New Roman"/>
          <w:color w:val="000000" w:themeColor="text1"/>
          <w:sz w:val="24"/>
          <w:szCs w:val="24"/>
        </w:rPr>
        <w:t>)</w:t>
      </w:r>
      <w:r w:rsidRPr="00830F6F">
        <w:rPr>
          <w:rFonts w:ascii="Times New Roman" w:eastAsia="Times New Roman" w:hAnsi="Times New Roman" w:cs="Times New Roman"/>
          <w:color w:val="000000" w:themeColor="text1"/>
          <w:sz w:val="24"/>
          <w:szCs w:val="24"/>
        </w:rPr>
        <w:t>. Entre el realismo y el constructivismo: una forma de comprender la justicia transicional en Colombia. </w:t>
      </w:r>
      <w:r w:rsidRPr="00830F6F">
        <w:rPr>
          <w:rFonts w:ascii="Times New Roman" w:eastAsia="Times New Roman" w:hAnsi="Times New Roman" w:cs="Times New Roman"/>
          <w:i/>
          <w:iCs/>
          <w:color w:val="000000" w:themeColor="text1"/>
          <w:sz w:val="24"/>
          <w:szCs w:val="24"/>
        </w:rPr>
        <w:t>Revista derecha del Estado</w:t>
      </w:r>
      <w:r w:rsidRPr="00830F6F">
        <w:rPr>
          <w:rFonts w:ascii="Times New Roman" w:eastAsia="Times New Roman" w:hAnsi="Times New Roman" w:cs="Times New Roman"/>
          <w:color w:val="000000" w:themeColor="text1"/>
          <w:sz w:val="24"/>
          <w:szCs w:val="24"/>
        </w:rPr>
        <w:t xml:space="preserve">. 48 (dic. 2020), 113–148. DOI: </w:t>
      </w:r>
      <w:hyperlink r:id="rId15">
        <w:r w:rsidRPr="00830F6F">
          <w:rPr>
            <w:rStyle w:val="Hipervnculo"/>
            <w:rFonts w:ascii="Times New Roman" w:eastAsia="Times New Roman" w:hAnsi="Times New Roman" w:cs="Times New Roman"/>
            <w:sz w:val="24"/>
            <w:szCs w:val="24"/>
            <w:u w:val="none"/>
          </w:rPr>
          <w:t>https://doi.org/10.18601/01229893.n48.05</w:t>
        </w:r>
      </w:hyperlink>
      <w:r w:rsidRPr="00830F6F">
        <w:rPr>
          <w:rFonts w:ascii="Times New Roman" w:eastAsia="Times New Roman" w:hAnsi="Times New Roman" w:cs="Times New Roman"/>
          <w:color w:val="000000" w:themeColor="text1"/>
          <w:sz w:val="24"/>
          <w:szCs w:val="24"/>
        </w:rPr>
        <w:t>.</w:t>
      </w:r>
    </w:p>
    <w:p w14:paraId="78AC9392"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Bueno-Hansen, P. (2020). </w:t>
      </w:r>
      <w:r w:rsidRPr="00830F6F">
        <w:rPr>
          <w:rFonts w:ascii="Times New Roman" w:eastAsia="Times New Roman" w:hAnsi="Times New Roman" w:cs="Times New Roman"/>
          <w:i/>
          <w:iCs/>
          <w:color w:val="000000" w:themeColor="text1"/>
          <w:sz w:val="24"/>
          <w:szCs w:val="24"/>
        </w:rPr>
        <w:t>Derechos feministas y humanos en el Perú: descolonizando la justicia transicional</w:t>
      </w:r>
      <w:r w:rsidRPr="00830F6F">
        <w:rPr>
          <w:rFonts w:ascii="Times New Roman" w:eastAsia="Times New Roman" w:hAnsi="Times New Roman" w:cs="Times New Roman"/>
          <w:color w:val="000000" w:themeColor="text1"/>
          <w:sz w:val="24"/>
          <w:szCs w:val="24"/>
        </w:rPr>
        <w:t>. Instituto de Estudios Peruanos.</w:t>
      </w:r>
      <w:r w:rsidRPr="00830F6F">
        <w:rPr>
          <w:sz w:val="24"/>
          <w:szCs w:val="24"/>
        </w:rPr>
        <w:t xml:space="preserve"> </w:t>
      </w:r>
      <w:hyperlink r:id="rId16" w:history="1">
        <w:r w:rsidRPr="00830F6F">
          <w:rPr>
            <w:rStyle w:val="Hipervnculo"/>
            <w:rFonts w:ascii="Times New Roman" w:eastAsia="Times New Roman" w:hAnsi="Times New Roman" w:cs="Times New Roman"/>
            <w:sz w:val="24"/>
            <w:szCs w:val="24"/>
            <w:u w:val="none"/>
          </w:rPr>
          <w:t>https://fondoeditorial.iep.org.pe/producto/derechos-feministas-y-humanos-en-el-peru-decolonizando-la-justicia-transicional/</w:t>
        </w:r>
      </w:hyperlink>
    </w:p>
    <w:p w14:paraId="0FA642A0"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Ceballos-López, Noelia, &amp; Saiz-Linares, Ángela. (2021). Metodologías cualitativas participativas en educación: </w:t>
      </w:r>
      <w:proofErr w:type="spellStart"/>
      <w:r w:rsidRPr="00830F6F">
        <w:rPr>
          <w:rFonts w:ascii="Times New Roman" w:eastAsia="Times New Roman" w:hAnsi="Times New Roman" w:cs="Times New Roman"/>
          <w:color w:val="000000" w:themeColor="text1"/>
          <w:sz w:val="24"/>
          <w:szCs w:val="24"/>
        </w:rPr>
        <w:t>Photovoice</w:t>
      </w:r>
      <w:proofErr w:type="spellEnd"/>
      <w:r w:rsidRPr="00830F6F">
        <w:rPr>
          <w:rFonts w:ascii="Times New Roman" w:eastAsia="Times New Roman" w:hAnsi="Times New Roman" w:cs="Times New Roman"/>
          <w:color w:val="000000" w:themeColor="text1"/>
          <w:sz w:val="24"/>
          <w:szCs w:val="24"/>
        </w:rPr>
        <w:t xml:space="preserve">, viñetas y </w:t>
      </w:r>
      <w:proofErr w:type="spellStart"/>
      <w:r w:rsidRPr="00830F6F">
        <w:rPr>
          <w:rFonts w:ascii="Times New Roman" w:eastAsia="Times New Roman" w:hAnsi="Times New Roman" w:cs="Times New Roman"/>
          <w:color w:val="000000" w:themeColor="text1"/>
          <w:sz w:val="24"/>
          <w:szCs w:val="24"/>
        </w:rPr>
        <w:t>Ketso</w:t>
      </w:r>
      <w:proofErr w:type="spellEnd"/>
      <w:r w:rsidRPr="00830F6F">
        <w:rPr>
          <w:rFonts w:ascii="Times New Roman" w:eastAsia="Times New Roman" w:hAnsi="Times New Roman" w:cs="Times New Roman"/>
          <w:color w:val="000000" w:themeColor="text1"/>
          <w:sz w:val="24"/>
          <w:szCs w:val="24"/>
        </w:rPr>
        <w:t>. </w:t>
      </w:r>
      <w:proofErr w:type="spellStart"/>
      <w:r w:rsidRPr="00830F6F">
        <w:rPr>
          <w:rFonts w:ascii="Times New Roman" w:eastAsia="Times New Roman" w:hAnsi="Times New Roman" w:cs="Times New Roman"/>
          <w:i/>
          <w:iCs/>
          <w:color w:val="000000" w:themeColor="text1"/>
          <w:sz w:val="24"/>
          <w:szCs w:val="24"/>
        </w:rPr>
        <w:t>Psicoperspectivas</w:t>
      </w:r>
      <w:proofErr w:type="spellEnd"/>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20</w:t>
      </w:r>
      <w:r w:rsidRPr="00830F6F">
        <w:rPr>
          <w:rFonts w:ascii="Times New Roman" w:eastAsia="Times New Roman" w:hAnsi="Times New Roman" w:cs="Times New Roman"/>
          <w:color w:val="000000" w:themeColor="text1"/>
          <w:sz w:val="24"/>
          <w:szCs w:val="24"/>
        </w:rPr>
        <w:t>(1), 56-69. </w:t>
      </w:r>
      <w:hyperlink r:id="rId17" w:history="1">
        <w:r w:rsidRPr="00830F6F">
          <w:rPr>
            <w:rStyle w:val="Hipervnculo"/>
            <w:rFonts w:ascii="Times New Roman" w:eastAsia="Times New Roman" w:hAnsi="Times New Roman" w:cs="Times New Roman"/>
            <w:sz w:val="24"/>
            <w:szCs w:val="24"/>
          </w:rPr>
          <w:t>https://dx.doi.org/10.5027/psicoperspectivas-vol20-issue1-fulltext-2003</w:t>
        </w:r>
      </w:hyperlink>
    </w:p>
    <w:p w14:paraId="7856ADE4"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Chaparro Moreno, L., Barraza Morelle, C., Rodríguez Cuéllar, M. y Velásquez Gil, L.C. 2022. La violencia sexual y la justicia transicional en Colombia. Análisis de la violencia sexual como parte del patrón de macro criminalidad de violencia basada en género en las sentencias de Justicia y Paz (2010 - 2021). </w:t>
      </w:r>
      <w:r w:rsidRPr="00830F6F">
        <w:rPr>
          <w:rFonts w:ascii="Times New Roman" w:eastAsia="Times New Roman" w:hAnsi="Times New Roman" w:cs="Times New Roman"/>
          <w:i/>
          <w:iCs/>
          <w:color w:val="000000" w:themeColor="text1"/>
          <w:sz w:val="24"/>
          <w:szCs w:val="24"/>
        </w:rPr>
        <w:t>derecho Penal y Criminología</w:t>
      </w:r>
      <w:r w:rsidRPr="00830F6F">
        <w:rPr>
          <w:rFonts w:ascii="Times New Roman" w:eastAsia="Times New Roman" w:hAnsi="Times New Roman" w:cs="Times New Roman"/>
          <w:color w:val="000000" w:themeColor="text1"/>
          <w:sz w:val="24"/>
          <w:szCs w:val="24"/>
        </w:rPr>
        <w:t xml:space="preserve">. 43, 114 (nov. 2022), 115–177. DOI: </w:t>
      </w:r>
      <w:hyperlink r:id="rId18">
        <w:r w:rsidRPr="00830F6F">
          <w:rPr>
            <w:rStyle w:val="Hipervnculo"/>
            <w:rFonts w:ascii="Times New Roman" w:eastAsia="Times New Roman" w:hAnsi="Times New Roman" w:cs="Times New Roman"/>
            <w:sz w:val="24"/>
            <w:szCs w:val="24"/>
            <w:u w:val="none"/>
          </w:rPr>
          <w:t>https://doi.org/10.18601/01210483.v43n114.05</w:t>
        </w:r>
      </w:hyperlink>
      <w:r w:rsidRPr="00830F6F">
        <w:rPr>
          <w:rFonts w:ascii="Times New Roman" w:eastAsia="Times New Roman" w:hAnsi="Times New Roman" w:cs="Times New Roman"/>
          <w:color w:val="000000" w:themeColor="text1"/>
          <w:sz w:val="24"/>
          <w:szCs w:val="24"/>
        </w:rPr>
        <w:t>.</w:t>
      </w:r>
    </w:p>
    <w:p w14:paraId="305A05C1"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Charria-García, F. (2020). La reparación cultural: un avance ineludible en la justicia transicional. </w:t>
      </w:r>
      <w:r w:rsidRPr="00830F6F">
        <w:rPr>
          <w:rFonts w:ascii="Times New Roman" w:eastAsia="Times New Roman" w:hAnsi="Times New Roman" w:cs="Times New Roman"/>
          <w:i/>
          <w:iCs/>
          <w:color w:val="000000" w:themeColor="text1"/>
          <w:sz w:val="24"/>
          <w:szCs w:val="24"/>
        </w:rPr>
        <w:t>Revista Omnia</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3</w:t>
      </w:r>
      <w:r w:rsidRPr="00830F6F">
        <w:rPr>
          <w:rFonts w:ascii="Times New Roman" w:eastAsia="Times New Roman" w:hAnsi="Times New Roman" w:cs="Times New Roman"/>
          <w:color w:val="000000" w:themeColor="text1"/>
          <w:sz w:val="24"/>
          <w:szCs w:val="24"/>
        </w:rPr>
        <w:t xml:space="preserve">(3), 37-54. </w:t>
      </w:r>
      <w:hyperlink r:id="rId19" w:history="1">
        <w:r w:rsidRPr="00830F6F">
          <w:rPr>
            <w:rStyle w:val="Hipervnculo"/>
            <w:rFonts w:ascii="Times New Roman" w:eastAsia="Times New Roman" w:hAnsi="Times New Roman" w:cs="Times New Roman"/>
            <w:sz w:val="24"/>
            <w:szCs w:val="24"/>
            <w:u w:val="none"/>
          </w:rPr>
          <w:t>https://doi.org/10.53794/ro.v3i3.313</w:t>
        </w:r>
      </w:hyperlink>
    </w:p>
    <w:p w14:paraId="089B95C2"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Collins, C., &amp; Ordoñez, A. (2021). “conversar con el pasado, transformar este presente”: justicia transicional como justicia constituyente. In </w:t>
      </w:r>
      <w:r w:rsidRPr="00830F6F">
        <w:rPr>
          <w:rFonts w:ascii="Times New Roman" w:eastAsia="Times New Roman" w:hAnsi="Times New Roman" w:cs="Times New Roman"/>
          <w:i/>
          <w:iCs/>
          <w:color w:val="000000" w:themeColor="text1"/>
          <w:sz w:val="24"/>
          <w:szCs w:val="24"/>
        </w:rPr>
        <w:t>Informe Anual Derechos Humanos en Chile 2021</w:t>
      </w:r>
      <w:r w:rsidRPr="00830F6F">
        <w:rPr>
          <w:rFonts w:ascii="Times New Roman" w:eastAsia="Times New Roman" w:hAnsi="Times New Roman" w:cs="Times New Roman"/>
          <w:color w:val="000000" w:themeColor="text1"/>
          <w:sz w:val="24"/>
          <w:szCs w:val="24"/>
        </w:rPr>
        <w:t> (p. 29). Universidad Diego Portales.</w:t>
      </w:r>
      <w:r w:rsidRPr="00830F6F">
        <w:rPr>
          <w:sz w:val="24"/>
          <w:szCs w:val="24"/>
        </w:rPr>
        <w:t xml:space="preserve"> </w:t>
      </w:r>
      <w:hyperlink r:id="rId20" w:history="1">
        <w:r w:rsidRPr="00830F6F">
          <w:rPr>
            <w:rStyle w:val="Hipervnculo"/>
            <w:rFonts w:ascii="Times New Roman" w:eastAsia="Times New Roman" w:hAnsi="Times New Roman" w:cs="Times New Roman"/>
            <w:sz w:val="24"/>
            <w:szCs w:val="24"/>
            <w:u w:val="none"/>
          </w:rPr>
          <w:t>https://pure.ulster.ac.uk/en/publications/conversar-con-el-pasado-transformar-este-presente-justicia-transi/</w:t>
        </w:r>
      </w:hyperlink>
    </w:p>
    <w:p w14:paraId="53CCE261"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lastRenderedPageBreak/>
        <w:t>Correa, M. C. C., &amp; Martín, A. F. M. (2020). Jurisdicción Especial para la Paz: un modelo de justicia transicional en Colombia. </w:t>
      </w:r>
      <w:r w:rsidRPr="00830F6F">
        <w:rPr>
          <w:rFonts w:ascii="Times New Roman" w:eastAsia="Times New Roman" w:hAnsi="Times New Roman" w:cs="Times New Roman"/>
          <w:i/>
          <w:color w:val="000000" w:themeColor="text1"/>
          <w:sz w:val="24"/>
          <w:szCs w:val="24"/>
        </w:rPr>
        <w:t>Revista Electrónica de Derecho Internacional Contemporáneo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3</w:t>
      </w:r>
      <w:r w:rsidRPr="00830F6F">
        <w:rPr>
          <w:rFonts w:ascii="Times New Roman" w:eastAsia="Times New Roman" w:hAnsi="Times New Roman" w:cs="Times New Roman"/>
          <w:color w:val="000000" w:themeColor="text1"/>
          <w:sz w:val="24"/>
          <w:szCs w:val="24"/>
        </w:rPr>
        <w:t>(3), 30-50.</w:t>
      </w:r>
      <w:r w:rsidRPr="00830F6F">
        <w:rPr>
          <w:sz w:val="24"/>
          <w:szCs w:val="24"/>
        </w:rPr>
        <w:t xml:space="preserve"> </w:t>
      </w:r>
      <w:hyperlink r:id="rId21" w:history="1">
        <w:r w:rsidRPr="00830F6F">
          <w:rPr>
            <w:rStyle w:val="Hipervnculo"/>
            <w:rFonts w:ascii="Times New Roman" w:eastAsia="Times New Roman" w:hAnsi="Times New Roman" w:cs="Times New Roman"/>
            <w:sz w:val="24"/>
            <w:szCs w:val="24"/>
            <w:u w:val="none"/>
          </w:rPr>
          <w:t>https://revistas.unlp.edu.ar/Redic/article/view/10583</w:t>
        </w:r>
      </w:hyperlink>
    </w:p>
    <w:p w14:paraId="76159833"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Domínguez de la Ossa, E., &amp; </w:t>
      </w:r>
      <w:bookmarkStart w:id="33" w:name="_Int_NXcYjrqW"/>
      <w:r w:rsidRPr="00830F6F">
        <w:rPr>
          <w:rFonts w:ascii="Times New Roman" w:eastAsia="Times New Roman" w:hAnsi="Times New Roman" w:cs="Times New Roman"/>
          <w:color w:val="000000" w:themeColor="text1"/>
          <w:sz w:val="24"/>
          <w:szCs w:val="24"/>
        </w:rPr>
        <w:t>Aleán</w:t>
      </w:r>
      <w:bookmarkEnd w:id="33"/>
      <w:r w:rsidRPr="00830F6F">
        <w:rPr>
          <w:rFonts w:ascii="Times New Roman" w:eastAsia="Times New Roman" w:hAnsi="Times New Roman" w:cs="Times New Roman"/>
          <w:color w:val="000000" w:themeColor="text1"/>
          <w:sz w:val="24"/>
          <w:szCs w:val="24"/>
        </w:rPr>
        <w:t xml:space="preserve"> Romero, M. A. (2020). Narrativas para la emergencia del perdón, la reparación y la reconciliación en víctimas del conflicto armado en Colombia.</w:t>
      </w:r>
      <w:r w:rsidRPr="00830F6F">
        <w:rPr>
          <w:sz w:val="24"/>
          <w:szCs w:val="24"/>
        </w:rPr>
        <w:t xml:space="preserve"> </w:t>
      </w:r>
      <w:hyperlink r:id="rId22" w:history="1">
        <w:r w:rsidRPr="00830F6F">
          <w:rPr>
            <w:rStyle w:val="Hipervnculo"/>
            <w:rFonts w:ascii="Times New Roman" w:eastAsia="Times New Roman" w:hAnsi="Times New Roman" w:cs="Times New Roman"/>
            <w:sz w:val="24"/>
            <w:szCs w:val="24"/>
            <w:u w:val="none"/>
          </w:rPr>
          <w:t>https://www.redalyc.org/journal/4959/495964701004/html/</w:t>
        </w:r>
      </w:hyperlink>
    </w:p>
    <w:p w14:paraId="357CCB1F"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Flórez Muñoz, D. E., y Villareal Ordosgoitia, C. (2020). Contextos y transiciones: la justicia transicional en Sudáfrica y Colombia. </w:t>
      </w:r>
      <w:r w:rsidRPr="00830F6F">
        <w:rPr>
          <w:rFonts w:ascii="Times New Roman" w:eastAsia="Times New Roman" w:hAnsi="Times New Roman" w:cs="Times New Roman"/>
          <w:i/>
          <w:iCs/>
          <w:color w:val="000000" w:themeColor="text1"/>
          <w:sz w:val="24"/>
          <w:szCs w:val="24"/>
        </w:rPr>
        <w:t>Revista Jurídica Mario Alario D´Filippo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12</w:t>
      </w:r>
      <w:r w:rsidRPr="00830F6F">
        <w:rPr>
          <w:rFonts w:ascii="Times New Roman" w:eastAsia="Times New Roman" w:hAnsi="Times New Roman" w:cs="Times New Roman"/>
          <w:color w:val="000000" w:themeColor="text1"/>
          <w:sz w:val="24"/>
          <w:szCs w:val="24"/>
        </w:rPr>
        <w:t xml:space="preserve">(23), 159–177. </w:t>
      </w:r>
      <w:hyperlink r:id="rId23">
        <w:r w:rsidRPr="00830F6F">
          <w:rPr>
            <w:rStyle w:val="Hipervnculo"/>
            <w:rFonts w:ascii="Times New Roman" w:eastAsia="Times New Roman" w:hAnsi="Times New Roman" w:cs="Times New Roman"/>
            <w:sz w:val="24"/>
            <w:szCs w:val="24"/>
            <w:u w:val="none"/>
          </w:rPr>
          <w:t>https://doi.org/10.32997/2256-2796-vol.12-num.23-2020-2661</w:t>
        </w:r>
      </w:hyperlink>
    </w:p>
    <w:p w14:paraId="0F894200"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Gallego-Montes, Gabriel. (2020). Prostitución en contextos de conflicto armado en Colombia. </w:t>
      </w:r>
      <w:r w:rsidRPr="00830F6F">
        <w:rPr>
          <w:rFonts w:ascii="Times New Roman" w:eastAsia="Times New Roman" w:hAnsi="Times New Roman" w:cs="Times New Roman"/>
          <w:i/>
          <w:iCs/>
          <w:color w:val="000000" w:themeColor="text1"/>
          <w:sz w:val="24"/>
          <w:szCs w:val="24"/>
        </w:rPr>
        <w:t>CS</w:t>
      </w:r>
      <w:r w:rsidRPr="00830F6F">
        <w:rPr>
          <w:rFonts w:ascii="Times New Roman" w:eastAsia="Times New Roman" w:hAnsi="Times New Roman" w:cs="Times New Roman"/>
          <w:color w:val="000000" w:themeColor="text1"/>
          <w:sz w:val="24"/>
          <w:szCs w:val="24"/>
        </w:rPr>
        <w:t>, (31), 413-437. </w:t>
      </w:r>
      <w:hyperlink r:id="rId24" w:history="1">
        <w:r w:rsidRPr="00830F6F">
          <w:rPr>
            <w:rStyle w:val="Hipervnculo"/>
            <w:rFonts w:ascii="Times New Roman" w:eastAsia="Times New Roman" w:hAnsi="Times New Roman" w:cs="Times New Roman"/>
            <w:sz w:val="24"/>
            <w:szCs w:val="24"/>
            <w:u w:val="none"/>
          </w:rPr>
          <w:t>https://doi.org/10.18046/recs.i31.3508</w:t>
        </w:r>
      </w:hyperlink>
    </w:p>
    <w:p w14:paraId="1FB5B665"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García, A. L. (2022). Reconciliar justicia y legalidad en contextos de justicia transicional. </w:t>
      </w:r>
      <w:r w:rsidRPr="00830F6F">
        <w:rPr>
          <w:rFonts w:ascii="Times New Roman" w:eastAsia="Times New Roman" w:hAnsi="Times New Roman" w:cs="Times New Roman"/>
          <w:i/>
          <w:color w:val="000000" w:themeColor="text1"/>
          <w:sz w:val="24"/>
          <w:szCs w:val="24"/>
        </w:rPr>
        <w:t>Oñati Socio-Legal Series</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12</w:t>
      </w:r>
      <w:r w:rsidRPr="00830F6F">
        <w:rPr>
          <w:rFonts w:ascii="Times New Roman" w:eastAsia="Times New Roman" w:hAnsi="Times New Roman" w:cs="Times New Roman"/>
          <w:color w:val="000000" w:themeColor="text1"/>
          <w:sz w:val="24"/>
          <w:szCs w:val="24"/>
        </w:rPr>
        <w:t>(5), 1053-1080.</w:t>
      </w:r>
      <w:r w:rsidRPr="00830F6F">
        <w:rPr>
          <w:sz w:val="24"/>
          <w:szCs w:val="24"/>
        </w:rPr>
        <w:t xml:space="preserve"> </w:t>
      </w:r>
      <w:hyperlink r:id="rId25" w:history="1">
        <w:r w:rsidRPr="00830F6F">
          <w:rPr>
            <w:rStyle w:val="Hipervnculo"/>
            <w:rFonts w:ascii="Times New Roman" w:eastAsia="Times New Roman" w:hAnsi="Times New Roman" w:cs="Times New Roman"/>
            <w:sz w:val="24"/>
            <w:szCs w:val="24"/>
            <w:u w:val="none"/>
          </w:rPr>
          <w:t>https://dialnet.unirioja.es/servlet/articulo?codigo=8584693</w:t>
        </w:r>
      </w:hyperlink>
    </w:p>
    <w:p w14:paraId="1923039B"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García, M. R., &amp; Nárdiz, A. R. (2022). Justicia transicional en Colombia y participación ciudadana. </w:t>
      </w:r>
      <w:r w:rsidRPr="00830F6F">
        <w:rPr>
          <w:rFonts w:ascii="Times New Roman" w:eastAsia="Times New Roman" w:hAnsi="Times New Roman" w:cs="Times New Roman"/>
          <w:i/>
          <w:color w:val="000000" w:themeColor="text1"/>
          <w:sz w:val="24"/>
          <w:szCs w:val="24"/>
        </w:rPr>
        <w:t>Amauta</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20</w:t>
      </w:r>
      <w:r w:rsidRPr="00830F6F">
        <w:rPr>
          <w:rFonts w:ascii="Times New Roman" w:eastAsia="Times New Roman" w:hAnsi="Times New Roman" w:cs="Times New Roman"/>
          <w:color w:val="000000" w:themeColor="text1"/>
          <w:sz w:val="24"/>
          <w:szCs w:val="24"/>
        </w:rPr>
        <w:t>(39), 61-82.</w:t>
      </w:r>
      <w:r w:rsidRPr="00830F6F">
        <w:rPr>
          <w:sz w:val="24"/>
          <w:szCs w:val="24"/>
        </w:rPr>
        <w:t xml:space="preserve"> </w:t>
      </w:r>
      <w:hyperlink r:id="rId26" w:history="1">
        <w:r w:rsidRPr="00830F6F">
          <w:rPr>
            <w:rStyle w:val="Hipervnculo"/>
            <w:rFonts w:ascii="Times New Roman" w:eastAsia="Times New Roman" w:hAnsi="Times New Roman" w:cs="Times New Roman"/>
            <w:sz w:val="24"/>
            <w:szCs w:val="24"/>
            <w:u w:val="none"/>
          </w:rPr>
          <w:t>https://dialnet.unirioja.es/servlet/articulo?codigo=8528348</w:t>
        </w:r>
      </w:hyperlink>
    </w:p>
    <w:p w14:paraId="6F4E0CA6"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Giraldo Aguirre, Sebastián, &amp; Gallego Montes, Gabriel. (2020). Regulación y victimización del homoerotismo entre hombres en contextos de conflicto armado en Colombia. Debate feminista, 60, 75-99. Epub 27 de noviembre de 2020. </w:t>
      </w:r>
      <w:hyperlink r:id="rId27" w:history="1">
        <w:r w:rsidRPr="00830F6F">
          <w:rPr>
            <w:rStyle w:val="Hipervnculo"/>
            <w:rFonts w:ascii="Times New Roman" w:eastAsia="Times New Roman" w:hAnsi="Times New Roman" w:cs="Times New Roman"/>
            <w:sz w:val="24"/>
            <w:szCs w:val="24"/>
            <w:u w:val="none"/>
          </w:rPr>
          <w:t>https://doi.org/10.22201/cieg.2594066xe.2020.60.04</w:t>
        </w:r>
      </w:hyperlink>
    </w:p>
    <w:p w14:paraId="2048371D"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Giraldo Jaramillo, Francisco. (2021). Cortés Rodas, Francisco. Del arte de la paz. Reflexiones filosóficas sobre justicia transicional. Bogotá: Siglo del Hombre Editores, 2020. 192 </w:t>
      </w:r>
      <w:r w:rsidRPr="00830F6F">
        <w:rPr>
          <w:rFonts w:ascii="Times New Roman" w:eastAsia="Times New Roman" w:hAnsi="Times New Roman" w:cs="Times New Roman"/>
          <w:color w:val="000000" w:themeColor="text1"/>
          <w:sz w:val="24"/>
          <w:szCs w:val="24"/>
        </w:rPr>
        <w:lastRenderedPageBreak/>
        <w:t>pp. </w:t>
      </w:r>
      <w:r w:rsidRPr="00830F6F">
        <w:rPr>
          <w:rFonts w:ascii="Times New Roman" w:eastAsia="Times New Roman" w:hAnsi="Times New Roman" w:cs="Times New Roman"/>
          <w:i/>
          <w:iCs/>
          <w:color w:val="000000" w:themeColor="text1"/>
          <w:sz w:val="24"/>
          <w:szCs w:val="24"/>
        </w:rPr>
        <w:t>Ideas y Valores</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70</w:t>
      </w:r>
      <w:r w:rsidRPr="00830F6F">
        <w:rPr>
          <w:rFonts w:ascii="Times New Roman" w:eastAsia="Times New Roman" w:hAnsi="Times New Roman" w:cs="Times New Roman"/>
          <w:color w:val="000000" w:themeColor="text1"/>
          <w:sz w:val="24"/>
          <w:szCs w:val="24"/>
        </w:rPr>
        <w:t>(175), 193-200. Epub May 20, 2021.</w:t>
      </w:r>
      <w:hyperlink r:id="rId28" w:history="1">
        <w:r w:rsidRPr="00830F6F">
          <w:rPr>
            <w:rStyle w:val="Hipervnculo"/>
            <w:rFonts w:ascii="Times New Roman" w:eastAsia="Times New Roman" w:hAnsi="Times New Roman" w:cs="Times New Roman"/>
            <w:sz w:val="24"/>
            <w:szCs w:val="24"/>
            <w:u w:val="none"/>
          </w:rPr>
          <w:t>https://doi.org/10.15446/ideasyvalores.v70.n175.91226</w:t>
        </w:r>
      </w:hyperlink>
    </w:p>
    <w:p w14:paraId="0D77224A"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Giraldo-Aguirre, S. (2020). Victimización y sobrevivencia de mujeres y hombres considerados homosexuales en el marco del conflicto armado en Colombia. </w:t>
      </w:r>
      <w:bookmarkStart w:id="34" w:name="_Int_C3Q6zM93"/>
      <w:proofErr w:type="spellStart"/>
      <w:r w:rsidRPr="00830F6F">
        <w:rPr>
          <w:rFonts w:ascii="Times New Roman" w:eastAsia="Times New Roman" w:hAnsi="Times New Roman" w:cs="Times New Roman"/>
          <w:i/>
          <w:iCs/>
          <w:color w:val="000000" w:themeColor="text1"/>
          <w:sz w:val="24"/>
          <w:szCs w:val="24"/>
        </w:rPr>
        <w:t>cadernos</w:t>
      </w:r>
      <w:bookmarkEnd w:id="34"/>
      <w:proofErr w:type="spellEnd"/>
      <w:r w:rsidRPr="00830F6F">
        <w:rPr>
          <w:rFonts w:ascii="Times New Roman" w:eastAsia="Times New Roman" w:hAnsi="Times New Roman" w:cs="Times New Roman"/>
          <w:i/>
          <w:iCs/>
          <w:color w:val="000000" w:themeColor="text1"/>
          <w:sz w:val="24"/>
          <w:szCs w:val="24"/>
        </w:rPr>
        <w:t xml:space="preserve"> </w:t>
      </w:r>
      <w:bookmarkStart w:id="35" w:name="_Int_mtM36KsY"/>
      <w:proofErr w:type="spellStart"/>
      <w:r w:rsidRPr="00830F6F">
        <w:rPr>
          <w:rFonts w:ascii="Times New Roman" w:eastAsia="Times New Roman" w:hAnsi="Times New Roman" w:cs="Times New Roman"/>
          <w:i/>
          <w:iCs/>
          <w:color w:val="000000" w:themeColor="text1"/>
          <w:sz w:val="24"/>
          <w:szCs w:val="24"/>
        </w:rPr>
        <w:t>pagu</w:t>
      </w:r>
      <w:bookmarkEnd w:id="35"/>
      <w:proofErr w:type="spellEnd"/>
      <w:r w:rsidRPr="00830F6F">
        <w:rPr>
          <w:rFonts w:ascii="Times New Roman" w:eastAsia="Times New Roman" w:hAnsi="Times New Roman" w:cs="Times New Roman"/>
          <w:color w:val="000000" w:themeColor="text1"/>
          <w:sz w:val="24"/>
          <w:szCs w:val="24"/>
        </w:rPr>
        <w:t>, e205808.</w:t>
      </w:r>
      <w:r w:rsidRPr="00830F6F">
        <w:rPr>
          <w:sz w:val="24"/>
          <w:szCs w:val="24"/>
        </w:rPr>
        <w:t xml:space="preserve"> </w:t>
      </w:r>
      <w:hyperlink r:id="rId29" w:history="1">
        <w:r w:rsidRPr="00830F6F">
          <w:rPr>
            <w:rStyle w:val="Hipervnculo"/>
            <w:rFonts w:ascii="Times New Roman" w:eastAsia="Times New Roman" w:hAnsi="Times New Roman" w:cs="Times New Roman"/>
            <w:sz w:val="24"/>
            <w:szCs w:val="24"/>
            <w:u w:val="none"/>
          </w:rPr>
          <w:t>https://www.scielo.br/j/cpa/a/jdSWFhLkZmT9jhFMjFrDw6Q/?lang=es</w:t>
        </w:r>
      </w:hyperlink>
    </w:p>
    <w:p w14:paraId="2E6B20B0"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Gómez, L. (2024). La justicia restaurativa en los procesos de paz en Colombia: Retos y perspectivas. Editorial Universitaria.</w:t>
      </w:r>
      <w:r w:rsidRPr="00830F6F">
        <w:rPr>
          <w:sz w:val="24"/>
          <w:szCs w:val="24"/>
        </w:rPr>
        <w:t xml:space="preserve"> </w:t>
      </w:r>
      <w:hyperlink r:id="rId30" w:history="1">
        <w:r w:rsidRPr="00830F6F">
          <w:rPr>
            <w:rStyle w:val="Hipervnculo"/>
            <w:rFonts w:ascii="Times New Roman" w:eastAsia="Times New Roman" w:hAnsi="Times New Roman" w:cs="Times New Roman"/>
            <w:sz w:val="24"/>
            <w:szCs w:val="24"/>
            <w:u w:val="none"/>
          </w:rPr>
          <w:t>https://bonga.unisimon.edu.co/server/api/core/bitstreams/0bfdc9de-e27d-4afe-880b-90871641ae8b/content</w:t>
        </w:r>
      </w:hyperlink>
    </w:p>
    <w:p w14:paraId="5ED1D56E"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González, M. (2020). Justicia transicional en Colombia: Lecciones y desafíos. Revista de Derecho, 45(3), 234-249.</w:t>
      </w:r>
      <w:r w:rsidRPr="00830F6F">
        <w:rPr>
          <w:sz w:val="24"/>
          <w:szCs w:val="24"/>
        </w:rPr>
        <w:t xml:space="preserve"> </w:t>
      </w:r>
      <w:hyperlink r:id="rId31" w:history="1">
        <w:r w:rsidRPr="00830F6F">
          <w:rPr>
            <w:rStyle w:val="Hipervnculo"/>
            <w:rFonts w:ascii="Times New Roman" w:eastAsia="Times New Roman" w:hAnsi="Times New Roman" w:cs="Times New Roman"/>
            <w:sz w:val="24"/>
            <w:szCs w:val="24"/>
            <w:u w:val="none"/>
          </w:rPr>
          <w:t>https://editorial.unisabana.edu.co/subtitulo/lecciones-y-desafios-del-modelo-de-justicia-transicional-en-colombia/</w:t>
        </w:r>
      </w:hyperlink>
    </w:p>
    <w:p w14:paraId="32F5C078" w14:textId="77777777" w:rsidR="00850781" w:rsidRPr="00830F6F" w:rsidRDefault="00850781" w:rsidP="00211474">
      <w:pPr>
        <w:spacing w:after="0" w:line="480" w:lineRule="auto"/>
        <w:ind w:left="720" w:hanging="720"/>
        <w:jc w:val="both"/>
      </w:pPr>
      <w:r w:rsidRPr="00830F6F">
        <w:rPr>
          <w:rFonts w:ascii="Times New Roman" w:eastAsia="Times New Roman" w:hAnsi="Times New Roman" w:cs="Times New Roman"/>
          <w:color w:val="000000" w:themeColor="text1"/>
          <w:sz w:val="24"/>
          <w:szCs w:val="24"/>
        </w:rPr>
        <w:t xml:space="preserve"> González-Arango, Isabel Cristina, Villamizar-Gelves, Adriana Marcela, Chocontá-Piraquive, Alexandra, &amp; Quiceno-Toro, Natalia. (2022). Pedagogías textiles sobre el conflicto armado en Colombia: activismos, trayectorias y transmisión de saberes desde la experiencia de cuatro colectivos de mujeres en Quibdó, Bojayá, Sonsón y María La Baja. </w:t>
      </w:r>
      <w:r w:rsidRPr="00830F6F">
        <w:rPr>
          <w:rFonts w:ascii="Times New Roman" w:eastAsia="Times New Roman" w:hAnsi="Times New Roman" w:cs="Times New Roman"/>
          <w:i/>
          <w:iCs/>
          <w:color w:val="000000" w:themeColor="text1"/>
          <w:sz w:val="24"/>
          <w:szCs w:val="24"/>
        </w:rPr>
        <w:t>Revista de Estudios Sociales</w:t>
      </w:r>
      <w:r w:rsidRPr="00830F6F">
        <w:rPr>
          <w:rFonts w:ascii="Times New Roman" w:eastAsia="Times New Roman" w:hAnsi="Times New Roman" w:cs="Times New Roman"/>
          <w:color w:val="000000" w:themeColor="text1"/>
          <w:sz w:val="24"/>
          <w:szCs w:val="24"/>
        </w:rPr>
        <w:t>, (79), 126-144. Epub January 31, 2022.</w:t>
      </w:r>
      <w:hyperlink r:id="rId32" w:history="1">
        <w:r w:rsidRPr="00830F6F">
          <w:rPr>
            <w:rStyle w:val="Hipervnculo"/>
            <w:rFonts w:ascii="Times New Roman" w:eastAsia="Times New Roman" w:hAnsi="Times New Roman" w:cs="Times New Roman"/>
            <w:sz w:val="24"/>
            <w:szCs w:val="24"/>
            <w:u w:val="none"/>
          </w:rPr>
          <w:t>https://doi.org/10.7440/res79.2022.08</w:t>
        </w:r>
      </w:hyperlink>
    </w:p>
    <w:p w14:paraId="068FBB5A" w14:textId="096244B3"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Hernández Sampieri, R., Fernández Collado, C., &amp; Baptista Lucio, P. (2014). </w:t>
      </w:r>
      <w:r w:rsidRPr="00830F6F">
        <w:rPr>
          <w:rFonts w:ascii="Times New Roman" w:eastAsia="Times New Roman" w:hAnsi="Times New Roman" w:cs="Times New Roman"/>
          <w:i/>
          <w:iCs/>
          <w:color w:val="000000" w:themeColor="text1"/>
          <w:sz w:val="24"/>
          <w:szCs w:val="24"/>
        </w:rPr>
        <w:t>Metodología de la investigación</w:t>
      </w:r>
      <w:r w:rsidRPr="00830F6F">
        <w:rPr>
          <w:rFonts w:ascii="Times New Roman" w:eastAsia="Times New Roman" w:hAnsi="Times New Roman" w:cs="Times New Roman"/>
          <w:color w:val="000000" w:themeColor="text1"/>
          <w:sz w:val="24"/>
          <w:szCs w:val="24"/>
        </w:rPr>
        <w:t xml:space="preserve"> (6.ª ed.). McGraw-Hill Education. </w:t>
      </w:r>
      <w:hyperlink r:id="rId33" w:history="1">
        <w:r w:rsidRPr="00830F6F">
          <w:rPr>
            <w:rStyle w:val="Hipervnculo"/>
            <w:rFonts w:ascii="Times New Roman" w:eastAsia="Times New Roman" w:hAnsi="Times New Roman" w:cs="Times New Roman"/>
            <w:sz w:val="24"/>
            <w:szCs w:val="24"/>
          </w:rPr>
          <w:t>https://dialnet.unirioja.es/servlet/libro?codigo=775008</w:t>
        </w:r>
      </w:hyperlink>
    </w:p>
    <w:p w14:paraId="18E57777"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lastRenderedPageBreak/>
        <w:t>Huertas Diaz, O. (2022). Contribuciones a la crítica desde la filosofía política a la justicia transicional: una revisión de la justicia como equidad en la construcción de justicia de transición en Colombia. </w:t>
      </w:r>
      <w:r w:rsidRPr="00830F6F">
        <w:rPr>
          <w:rFonts w:ascii="Times New Roman" w:eastAsia="Times New Roman" w:hAnsi="Times New Roman" w:cs="Times New Roman"/>
          <w:i/>
          <w:iCs/>
          <w:color w:val="000000" w:themeColor="text1"/>
          <w:sz w:val="24"/>
          <w:szCs w:val="24"/>
        </w:rPr>
        <w:t>Justicia</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27</w:t>
      </w:r>
      <w:r w:rsidRPr="00830F6F">
        <w:rPr>
          <w:rFonts w:ascii="Times New Roman" w:eastAsia="Times New Roman" w:hAnsi="Times New Roman" w:cs="Times New Roman"/>
          <w:color w:val="000000" w:themeColor="text1"/>
          <w:sz w:val="24"/>
          <w:szCs w:val="24"/>
        </w:rPr>
        <w:t xml:space="preserve">(41), 65–78. </w:t>
      </w:r>
      <w:hyperlink r:id="rId34" w:history="1">
        <w:r w:rsidRPr="00830F6F">
          <w:rPr>
            <w:rStyle w:val="Hipervnculo"/>
            <w:rFonts w:ascii="Times New Roman" w:eastAsia="Times New Roman" w:hAnsi="Times New Roman" w:cs="Times New Roman"/>
            <w:sz w:val="24"/>
            <w:szCs w:val="24"/>
            <w:u w:val="none"/>
          </w:rPr>
          <w:t>https://doi.org/10.17081/just.27.41.5013</w:t>
        </w:r>
      </w:hyperlink>
    </w:p>
    <w:p w14:paraId="3624C8BA"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Isaza, A. D. J. C., &amp; Díaz-Posada, L. E. (2021). Habilidades para la vida en jóvenes que han sido víctimas del conflicto armado en Colombia. </w:t>
      </w:r>
      <w:r w:rsidRPr="00830F6F">
        <w:rPr>
          <w:rFonts w:ascii="Times New Roman" w:eastAsia="Times New Roman" w:hAnsi="Times New Roman" w:cs="Times New Roman"/>
          <w:i/>
          <w:color w:val="000000" w:themeColor="text1"/>
          <w:sz w:val="24"/>
          <w:szCs w:val="24"/>
        </w:rPr>
        <w:t>Revista Colombiana de Ciencias Sociales</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12</w:t>
      </w:r>
      <w:r w:rsidRPr="00830F6F">
        <w:rPr>
          <w:rFonts w:ascii="Times New Roman" w:eastAsia="Times New Roman" w:hAnsi="Times New Roman" w:cs="Times New Roman"/>
          <w:color w:val="000000" w:themeColor="text1"/>
          <w:sz w:val="24"/>
          <w:szCs w:val="24"/>
        </w:rPr>
        <w:t>(1), 76-94.</w:t>
      </w:r>
      <w:r w:rsidRPr="00830F6F">
        <w:rPr>
          <w:sz w:val="24"/>
          <w:szCs w:val="24"/>
        </w:rPr>
        <w:t xml:space="preserve"> </w:t>
      </w:r>
      <w:hyperlink r:id="rId35" w:history="1">
        <w:r w:rsidRPr="00830F6F">
          <w:rPr>
            <w:rStyle w:val="Hipervnculo"/>
            <w:rFonts w:ascii="Times New Roman" w:eastAsia="Times New Roman" w:hAnsi="Times New Roman" w:cs="Times New Roman"/>
            <w:sz w:val="24"/>
            <w:szCs w:val="24"/>
            <w:u w:val="none"/>
          </w:rPr>
          <w:t>https://www.redalyc.org/journal/4978/497866589003/html/</w:t>
        </w:r>
      </w:hyperlink>
    </w:p>
    <w:p w14:paraId="3C355FC3" w14:textId="3D174899"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López, D. M. (202</w:t>
      </w:r>
      <w:r w:rsidR="005F1CD1" w:rsidRPr="00830F6F">
        <w:rPr>
          <w:rFonts w:ascii="Times New Roman" w:eastAsia="Times New Roman" w:hAnsi="Times New Roman" w:cs="Times New Roman"/>
          <w:color w:val="000000" w:themeColor="text1"/>
          <w:sz w:val="24"/>
          <w:szCs w:val="24"/>
        </w:rPr>
        <w:t>5</w:t>
      </w:r>
      <w:r w:rsidRPr="00830F6F">
        <w:rPr>
          <w:rFonts w:ascii="Times New Roman" w:eastAsia="Times New Roman" w:hAnsi="Times New Roman" w:cs="Times New Roman"/>
          <w:color w:val="000000" w:themeColor="text1"/>
          <w:sz w:val="24"/>
          <w:szCs w:val="24"/>
        </w:rPr>
        <w:t>). Género, derechos de las víctimas y justicia transicional: Retos en Colombia. </w:t>
      </w:r>
      <w:r w:rsidRPr="00830F6F">
        <w:rPr>
          <w:rFonts w:ascii="Times New Roman" w:eastAsia="Times New Roman" w:hAnsi="Times New Roman" w:cs="Times New Roman"/>
          <w:i/>
          <w:iCs/>
          <w:color w:val="000000" w:themeColor="text1"/>
          <w:sz w:val="24"/>
          <w:szCs w:val="24"/>
        </w:rPr>
        <w:t>Revista De Paz Y Conflictos</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6</w:t>
      </w:r>
      <w:r w:rsidRPr="00830F6F">
        <w:rPr>
          <w:rFonts w:ascii="Times New Roman" w:eastAsia="Times New Roman" w:hAnsi="Times New Roman" w:cs="Times New Roman"/>
          <w:color w:val="000000" w:themeColor="text1"/>
          <w:sz w:val="24"/>
          <w:szCs w:val="24"/>
        </w:rPr>
        <w:t xml:space="preserve">, 124–151. </w:t>
      </w:r>
      <w:hyperlink r:id="rId36" w:history="1">
        <w:r w:rsidRPr="00830F6F">
          <w:rPr>
            <w:rStyle w:val="Hipervnculo"/>
            <w:rFonts w:ascii="Times New Roman" w:eastAsia="Times New Roman" w:hAnsi="Times New Roman" w:cs="Times New Roman"/>
            <w:sz w:val="24"/>
            <w:szCs w:val="24"/>
            <w:u w:val="none"/>
          </w:rPr>
          <w:t>https://doi.org/10.30827/revpaz.v6i0.813</w:t>
        </w:r>
      </w:hyperlink>
    </w:p>
    <w:p w14:paraId="66A78DA9"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López-López, W., Rubio León, D. C., García-Padilla, D., </w:t>
      </w:r>
      <w:proofErr w:type="spellStart"/>
      <w:r w:rsidRPr="00830F6F">
        <w:rPr>
          <w:rFonts w:ascii="Times New Roman" w:eastAsia="Times New Roman" w:hAnsi="Times New Roman" w:cs="Times New Roman"/>
          <w:color w:val="000000" w:themeColor="text1"/>
          <w:sz w:val="24"/>
          <w:szCs w:val="24"/>
        </w:rPr>
        <w:t>Cakal</w:t>
      </w:r>
      <w:proofErr w:type="spellEnd"/>
      <w:r w:rsidRPr="00830F6F">
        <w:rPr>
          <w:rFonts w:ascii="Times New Roman" w:eastAsia="Times New Roman" w:hAnsi="Times New Roman" w:cs="Times New Roman"/>
          <w:color w:val="000000" w:themeColor="text1"/>
          <w:sz w:val="24"/>
          <w:szCs w:val="24"/>
        </w:rPr>
        <w:t>, H., Abitbol, P., Pineda, C., Rocha, D., Reyes Rivera, M. J., &amp; Guzmán Duarte, A. F. (2022). Medición de indicadores de salud mental de población en contexto de conflicto armado en Colombia: revisión de alcance. </w:t>
      </w:r>
      <w:proofErr w:type="spellStart"/>
      <w:r w:rsidRPr="00830F6F">
        <w:rPr>
          <w:rFonts w:ascii="Times New Roman" w:eastAsia="Times New Roman" w:hAnsi="Times New Roman" w:cs="Times New Roman"/>
          <w:i/>
          <w:iCs/>
          <w:color w:val="000000" w:themeColor="text1"/>
          <w:sz w:val="24"/>
          <w:szCs w:val="24"/>
        </w:rPr>
        <w:t>Universitas</w:t>
      </w:r>
      <w:proofErr w:type="spellEnd"/>
      <w:r w:rsidRPr="00830F6F">
        <w:rPr>
          <w:rFonts w:ascii="Times New Roman" w:eastAsia="Times New Roman" w:hAnsi="Times New Roman" w:cs="Times New Roman"/>
          <w:i/>
          <w:iCs/>
          <w:color w:val="000000" w:themeColor="text1"/>
          <w:sz w:val="24"/>
          <w:szCs w:val="24"/>
        </w:rPr>
        <w:t xml:space="preserve"> </w:t>
      </w:r>
      <w:proofErr w:type="spellStart"/>
      <w:r w:rsidRPr="00830F6F">
        <w:rPr>
          <w:rFonts w:ascii="Times New Roman" w:eastAsia="Times New Roman" w:hAnsi="Times New Roman" w:cs="Times New Roman"/>
          <w:i/>
          <w:iCs/>
          <w:color w:val="000000" w:themeColor="text1"/>
          <w:sz w:val="24"/>
          <w:szCs w:val="24"/>
        </w:rPr>
        <w:t>Psychologica</w:t>
      </w:r>
      <w:proofErr w:type="spellEnd"/>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21</w:t>
      </w:r>
      <w:r w:rsidRPr="00830F6F">
        <w:rPr>
          <w:rFonts w:ascii="Times New Roman" w:eastAsia="Times New Roman" w:hAnsi="Times New Roman" w:cs="Times New Roman"/>
          <w:color w:val="000000" w:themeColor="text1"/>
          <w:sz w:val="24"/>
          <w:szCs w:val="24"/>
        </w:rPr>
        <w:t>, 1-17. </w:t>
      </w:r>
      <w:hyperlink r:id="rId37" w:history="1">
        <w:r w:rsidRPr="00830F6F">
          <w:rPr>
            <w:rStyle w:val="Hipervnculo"/>
            <w:rFonts w:ascii="Times New Roman" w:eastAsia="Times New Roman" w:hAnsi="Times New Roman" w:cs="Times New Roman"/>
            <w:sz w:val="24"/>
            <w:szCs w:val="24"/>
            <w:u w:val="none"/>
          </w:rPr>
          <w:t>https://doi.org/10.11144/Javeriana.upsy21.mism</w:t>
        </w:r>
      </w:hyperlink>
    </w:p>
    <w:p w14:paraId="44F273B8"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Martínez, P., &amp; Torres, R. (2023). Violencia sexual y justicia transicional: Un análisis crítico. Revista de Justicia y Género, 18(1), 89-103.</w:t>
      </w:r>
      <w:r w:rsidRPr="00830F6F">
        <w:rPr>
          <w:sz w:val="24"/>
          <w:szCs w:val="24"/>
        </w:rPr>
        <w:t xml:space="preserve"> </w:t>
      </w:r>
      <w:hyperlink r:id="rId38" w:history="1">
        <w:r w:rsidRPr="00830F6F">
          <w:rPr>
            <w:rStyle w:val="Hipervnculo"/>
            <w:rFonts w:ascii="Times New Roman" w:eastAsia="Times New Roman" w:hAnsi="Times New Roman" w:cs="Times New Roman"/>
            <w:sz w:val="24"/>
            <w:szCs w:val="24"/>
            <w:u w:val="none"/>
          </w:rPr>
          <w:t>https://revistas.uexternado.edu.co/index.php/derpen/article/view/8301/13805</w:t>
        </w:r>
      </w:hyperlink>
    </w:p>
    <w:p w14:paraId="244E4631"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Martínez, S. (2024). La Jurisdicción Especial para la Paz y la impunidad en Colombia. Universidad de Bogotá Press.</w:t>
      </w:r>
      <w:r w:rsidRPr="00830F6F">
        <w:rPr>
          <w:sz w:val="24"/>
          <w:szCs w:val="24"/>
        </w:rPr>
        <w:t xml:space="preserve"> </w:t>
      </w:r>
      <w:hyperlink r:id="rId39" w:history="1">
        <w:r w:rsidRPr="00830F6F">
          <w:rPr>
            <w:rStyle w:val="Hipervnculo"/>
            <w:rFonts w:ascii="Times New Roman" w:eastAsia="Times New Roman" w:hAnsi="Times New Roman" w:cs="Times New Roman"/>
            <w:sz w:val="24"/>
            <w:szCs w:val="24"/>
            <w:u w:val="none"/>
          </w:rPr>
          <w:t>http://www.scielo.org.co/scielo.php?script=sci_arttext&amp;pid=S0121-47052019000200003</w:t>
        </w:r>
      </w:hyperlink>
    </w:p>
    <w:p w14:paraId="69E7924D"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Monroy-Sánchez, D. C. (2020). Naturaleza del acceso a los servicios de salud mental de la población adulta víctima del conflicto armado en Colombia. </w:t>
      </w:r>
      <w:r w:rsidRPr="00830F6F">
        <w:rPr>
          <w:rFonts w:ascii="Times New Roman" w:eastAsia="Times New Roman" w:hAnsi="Times New Roman" w:cs="Times New Roman"/>
          <w:i/>
          <w:color w:val="000000" w:themeColor="text1"/>
          <w:sz w:val="24"/>
          <w:szCs w:val="24"/>
        </w:rPr>
        <w:t>Revista Salud Bosque</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10</w:t>
      </w:r>
      <w:r w:rsidRPr="00830F6F">
        <w:rPr>
          <w:rFonts w:ascii="Times New Roman" w:eastAsia="Times New Roman" w:hAnsi="Times New Roman" w:cs="Times New Roman"/>
          <w:color w:val="000000" w:themeColor="text1"/>
          <w:sz w:val="24"/>
          <w:szCs w:val="24"/>
        </w:rPr>
        <w:t>(1).</w:t>
      </w:r>
      <w:r w:rsidRPr="00830F6F">
        <w:rPr>
          <w:sz w:val="24"/>
          <w:szCs w:val="24"/>
        </w:rPr>
        <w:t xml:space="preserve"> </w:t>
      </w:r>
      <w:hyperlink r:id="rId40" w:history="1">
        <w:r w:rsidRPr="00830F6F">
          <w:rPr>
            <w:rStyle w:val="Hipervnculo"/>
            <w:rFonts w:ascii="Times New Roman" w:eastAsia="Times New Roman" w:hAnsi="Times New Roman" w:cs="Times New Roman"/>
            <w:sz w:val="24"/>
            <w:szCs w:val="24"/>
            <w:u w:val="none"/>
          </w:rPr>
          <w:t>https://revistas.unbosque.edu.co/index.php/RSB/article/view/3053/2434</w:t>
        </w:r>
      </w:hyperlink>
    </w:p>
    <w:p w14:paraId="73E47F44"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lastRenderedPageBreak/>
        <w:t>Moreno-Acero, Iván Darío, Díaz-Santos, Sergio Emiro, &amp; Rojas-García, Andrea Del Pilar. (2021). Desintegración y recomposición de la unidad familiar de las víctimas del conflicto armado en Colombia. </w:t>
      </w:r>
      <w:r w:rsidRPr="00830F6F">
        <w:rPr>
          <w:rFonts w:ascii="Times New Roman" w:eastAsia="Times New Roman" w:hAnsi="Times New Roman" w:cs="Times New Roman"/>
          <w:i/>
          <w:iCs/>
          <w:color w:val="000000" w:themeColor="text1"/>
          <w:sz w:val="24"/>
          <w:szCs w:val="24"/>
        </w:rPr>
        <w:t>Entramado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17</w:t>
      </w:r>
      <w:r w:rsidRPr="00830F6F">
        <w:rPr>
          <w:rFonts w:ascii="Times New Roman" w:eastAsia="Times New Roman" w:hAnsi="Times New Roman" w:cs="Times New Roman"/>
          <w:color w:val="000000" w:themeColor="text1"/>
          <w:sz w:val="24"/>
          <w:szCs w:val="24"/>
        </w:rPr>
        <w:t>(1), 98-121. Epub May 05, 2021.</w:t>
      </w:r>
      <w:hyperlink r:id="rId41" w:history="1">
        <w:r w:rsidRPr="00830F6F">
          <w:rPr>
            <w:rStyle w:val="Hipervnculo"/>
            <w:rFonts w:ascii="Times New Roman" w:eastAsia="Times New Roman" w:hAnsi="Times New Roman" w:cs="Times New Roman"/>
            <w:sz w:val="24"/>
            <w:szCs w:val="24"/>
            <w:u w:val="none"/>
          </w:rPr>
          <w:t>https://doi.org/10.18041/1900-3803/entramado.1.7149</w:t>
        </w:r>
      </w:hyperlink>
    </w:p>
    <w:p w14:paraId="1FF3581B"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Moreno-Murcia, L. M., Gómez, M. A., &amp; Bustos Marín, T. (2021). Salud mental y conflicto armado en Colombia: una revisión documental. </w:t>
      </w:r>
      <w:r w:rsidRPr="00830F6F">
        <w:rPr>
          <w:rFonts w:ascii="Times New Roman" w:eastAsia="Times New Roman" w:hAnsi="Times New Roman" w:cs="Times New Roman"/>
          <w:i/>
          <w:iCs/>
          <w:color w:val="000000" w:themeColor="text1"/>
          <w:sz w:val="24"/>
          <w:szCs w:val="24"/>
        </w:rPr>
        <w:t>Inclusión Y Desarrollo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8</w:t>
      </w:r>
      <w:r w:rsidRPr="00830F6F">
        <w:rPr>
          <w:rFonts w:ascii="Times New Roman" w:eastAsia="Times New Roman" w:hAnsi="Times New Roman" w:cs="Times New Roman"/>
          <w:color w:val="000000" w:themeColor="text1"/>
          <w:sz w:val="24"/>
          <w:szCs w:val="24"/>
        </w:rPr>
        <w:t>(2), 26-41. </w:t>
      </w:r>
      <w:hyperlink r:id="rId42" w:history="1">
        <w:r w:rsidRPr="00830F6F">
          <w:rPr>
            <w:rStyle w:val="Hipervnculo"/>
            <w:rFonts w:ascii="Times New Roman" w:eastAsia="Times New Roman" w:hAnsi="Times New Roman" w:cs="Times New Roman"/>
            <w:sz w:val="24"/>
            <w:szCs w:val="24"/>
            <w:u w:val="none"/>
          </w:rPr>
          <w:t>https://doi.org/10.26620/uniminuto.inclusion.8.2.2021.26-41</w:t>
        </w:r>
      </w:hyperlink>
    </w:p>
    <w:p w14:paraId="5587B5C9"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Muñoz, D. F. (2021). Judicialización de la macro criminalidad en el Marco del Derecho Penal Internacional: del análisis sociopolítico de la criminalidad a los modelos dogmático-penales aplicables a la justicia transicional. </w:t>
      </w:r>
      <w:r w:rsidRPr="00830F6F">
        <w:rPr>
          <w:rFonts w:ascii="Times New Roman" w:eastAsia="Times New Roman" w:hAnsi="Times New Roman" w:cs="Times New Roman"/>
          <w:i/>
          <w:iCs/>
          <w:color w:val="000000" w:themeColor="text1"/>
          <w:sz w:val="24"/>
          <w:szCs w:val="24"/>
        </w:rPr>
        <w:t xml:space="preserve">Revista Jurídica Mario </w:t>
      </w:r>
      <w:bookmarkStart w:id="36" w:name="_Int_9wmcoQ6F"/>
      <w:r w:rsidRPr="00830F6F">
        <w:rPr>
          <w:rFonts w:ascii="Times New Roman" w:eastAsia="Times New Roman" w:hAnsi="Times New Roman" w:cs="Times New Roman"/>
          <w:i/>
          <w:iCs/>
          <w:color w:val="000000" w:themeColor="text1"/>
          <w:sz w:val="24"/>
          <w:szCs w:val="24"/>
        </w:rPr>
        <w:t>Alario</w:t>
      </w:r>
      <w:bookmarkEnd w:id="36"/>
      <w:r w:rsidRPr="00830F6F">
        <w:rPr>
          <w:rFonts w:ascii="Times New Roman" w:eastAsia="Times New Roman" w:hAnsi="Times New Roman" w:cs="Times New Roman"/>
          <w:i/>
          <w:iCs/>
          <w:color w:val="000000" w:themeColor="text1"/>
          <w:sz w:val="24"/>
          <w:szCs w:val="24"/>
        </w:rPr>
        <w:t xml:space="preserve"> D´ Filippo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13</w:t>
      </w:r>
      <w:r w:rsidRPr="00830F6F">
        <w:rPr>
          <w:rFonts w:ascii="Times New Roman" w:eastAsia="Times New Roman" w:hAnsi="Times New Roman" w:cs="Times New Roman"/>
          <w:color w:val="000000" w:themeColor="text1"/>
          <w:sz w:val="24"/>
          <w:szCs w:val="24"/>
        </w:rPr>
        <w:t>(26), 222-251.</w:t>
      </w:r>
      <w:r w:rsidRPr="00830F6F">
        <w:rPr>
          <w:sz w:val="24"/>
          <w:szCs w:val="24"/>
        </w:rPr>
        <w:t xml:space="preserve"> </w:t>
      </w:r>
      <w:hyperlink r:id="rId43" w:history="1">
        <w:r w:rsidRPr="00830F6F">
          <w:rPr>
            <w:rStyle w:val="Hipervnculo"/>
            <w:rFonts w:ascii="Times New Roman" w:eastAsia="Times New Roman" w:hAnsi="Times New Roman" w:cs="Times New Roman"/>
            <w:sz w:val="24"/>
            <w:szCs w:val="24"/>
            <w:u w:val="none"/>
          </w:rPr>
          <w:t>https://revistas.unicartagena.edu.co/index.php/marioalariodfilippo/article/view/3622</w:t>
        </w:r>
      </w:hyperlink>
    </w:p>
    <w:p w14:paraId="5255BFC7"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Muñoz, D. F. (2022). Análisis sociopolítico de los orígenes, desarrollos y modelos de la justicia transicional. </w:t>
      </w:r>
      <w:r w:rsidRPr="00830F6F">
        <w:rPr>
          <w:rFonts w:ascii="Times New Roman" w:eastAsia="Times New Roman" w:hAnsi="Times New Roman" w:cs="Times New Roman"/>
          <w:i/>
          <w:iCs/>
          <w:color w:val="000000" w:themeColor="text1"/>
          <w:sz w:val="24"/>
          <w:szCs w:val="24"/>
        </w:rPr>
        <w:t xml:space="preserve">Revista Jurídica Mario </w:t>
      </w:r>
      <w:bookmarkStart w:id="37" w:name="_Int_Idurxhi9"/>
      <w:r w:rsidRPr="00830F6F">
        <w:rPr>
          <w:rFonts w:ascii="Times New Roman" w:eastAsia="Times New Roman" w:hAnsi="Times New Roman" w:cs="Times New Roman"/>
          <w:i/>
          <w:iCs/>
          <w:color w:val="000000" w:themeColor="text1"/>
          <w:sz w:val="24"/>
          <w:szCs w:val="24"/>
        </w:rPr>
        <w:t>Alario</w:t>
      </w:r>
      <w:bookmarkEnd w:id="37"/>
      <w:r w:rsidRPr="00830F6F">
        <w:rPr>
          <w:rFonts w:ascii="Times New Roman" w:eastAsia="Times New Roman" w:hAnsi="Times New Roman" w:cs="Times New Roman"/>
          <w:i/>
          <w:iCs/>
          <w:color w:val="000000" w:themeColor="text1"/>
          <w:sz w:val="24"/>
          <w:szCs w:val="24"/>
        </w:rPr>
        <w:t xml:space="preserve"> D´ Filippo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14</w:t>
      </w:r>
      <w:r w:rsidRPr="00830F6F">
        <w:rPr>
          <w:rFonts w:ascii="Times New Roman" w:eastAsia="Times New Roman" w:hAnsi="Times New Roman" w:cs="Times New Roman"/>
          <w:color w:val="000000" w:themeColor="text1"/>
          <w:sz w:val="24"/>
          <w:szCs w:val="24"/>
        </w:rPr>
        <w:t>(27), 104-120.</w:t>
      </w:r>
      <w:r w:rsidRPr="00830F6F">
        <w:rPr>
          <w:sz w:val="24"/>
          <w:szCs w:val="24"/>
        </w:rPr>
        <w:t xml:space="preserve"> </w:t>
      </w:r>
      <w:hyperlink r:id="rId44" w:history="1">
        <w:r w:rsidRPr="00830F6F">
          <w:rPr>
            <w:rStyle w:val="Hipervnculo"/>
            <w:rFonts w:ascii="Times New Roman" w:eastAsia="Times New Roman" w:hAnsi="Times New Roman" w:cs="Times New Roman"/>
            <w:sz w:val="24"/>
            <w:szCs w:val="24"/>
            <w:u w:val="none"/>
          </w:rPr>
          <w:t>https://revistas.unicartagena.edu.co/index.php/marioalariodfilippo/article/view/3811</w:t>
        </w:r>
      </w:hyperlink>
    </w:p>
    <w:p w14:paraId="3EAB1461"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Ocampo Macías, C. D. (2021). Mecanismos judiciales para garantizar el derecho a la justicia: una reflexión sobre el sistema integral de justicia transicional en Colombia. Revista Misión Jurídica, 14(20), 236 – 260.</w:t>
      </w:r>
      <w:r w:rsidRPr="00830F6F">
        <w:rPr>
          <w:sz w:val="24"/>
          <w:szCs w:val="24"/>
        </w:rPr>
        <w:t xml:space="preserve"> </w:t>
      </w:r>
      <w:hyperlink r:id="rId45" w:history="1">
        <w:r w:rsidRPr="00830F6F">
          <w:rPr>
            <w:rStyle w:val="Hipervnculo"/>
            <w:rFonts w:ascii="Times New Roman" w:eastAsia="Times New Roman" w:hAnsi="Times New Roman" w:cs="Times New Roman"/>
            <w:sz w:val="24"/>
            <w:szCs w:val="24"/>
            <w:u w:val="none"/>
          </w:rPr>
          <w:t>https://www.revistamisionjuridica.com/mecanismos-judiciales-para-garantizar-el-derecho-a-la-justicia-una-reflexion-sobre-el-sistema-integral-de-justicia-transicional-en-colombia/</w:t>
        </w:r>
      </w:hyperlink>
    </w:p>
    <w:p w14:paraId="443993F8"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Ochoa, F. (2022). El papel de la Corte Penal Internacional en la justicia transicional colombiana. Derecho Internacional, 22(4), 112-129.</w:t>
      </w:r>
      <w:r w:rsidRPr="00830F6F">
        <w:rPr>
          <w:sz w:val="24"/>
          <w:szCs w:val="24"/>
        </w:rPr>
        <w:t xml:space="preserve"> </w:t>
      </w:r>
      <w:hyperlink r:id="rId46" w:history="1">
        <w:r w:rsidRPr="00830F6F">
          <w:rPr>
            <w:rStyle w:val="Hipervnculo"/>
            <w:rFonts w:ascii="Times New Roman" w:eastAsia="Times New Roman" w:hAnsi="Times New Roman" w:cs="Times New Roman"/>
            <w:sz w:val="24"/>
            <w:szCs w:val="24"/>
            <w:u w:val="none"/>
          </w:rPr>
          <w:t>https://www.icc-cpi.int/sites/default/files/iccdocs/otp/20180SpeechDP_ESP.pdf</w:t>
        </w:r>
      </w:hyperlink>
    </w:p>
    <w:p w14:paraId="6FEE7CEA"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lastRenderedPageBreak/>
        <w:t>Osorio Calvo, Carlos Alberto, &amp; Satizabal Reyes, Melania. (2020). El movimiento indígena como víctima del conflicto armado en Colombia y su apuesta por una paz desde una visión territorial. </w:t>
      </w:r>
      <w:r w:rsidRPr="00830F6F">
        <w:rPr>
          <w:rFonts w:ascii="Times New Roman" w:eastAsia="Times New Roman" w:hAnsi="Times New Roman" w:cs="Times New Roman"/>
          <w:i/>
          <w:iCs/>
          <w:color w:val="000000" w:themeColor="text1"/>
          <w:sz w:val="24"/>
          <w:szCs w:val="24"/>
        </w:rPr>
        <w:t>Hallazgos</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17</w:t>
      </w:r>
      <w:r w:rsidRPr="00830F6F">
        <w:rPr>
          <w:rFonts w:ascii="Times New Roman" w:eastAsia="Times New Roman" w:hAnsi="Times New Roman" w:cs="Times New Roman"/>
          <w:color w:val="000000" w:themeColor="text1"/>
          <w:sz w:val="24"/>
          <w:szCs w:val="24"/>
        </w:rPr>
        <w:t>(33), 197-219. </w:t>
      </w:r>
      <w:hyperlink r:id="rId47" w:history="1">
        <w:r w:rsidRPr="00830F6F">
          <w:rPr>
            <w:rStyle w:val="Hipervnculo"/>
            <w:rFonts w:ascii="Times New Roman" w:eastAsia="Times New Roman" w:hAnsi="Times New Roman" w:cs="Times New Roman"/>
            <w:sz w:val="24"/>
            <w:szCs w:val="24"/>
            <w:u w:val="none"/>
          </w:rPr>
          <w:t>https://doi.org/10.15332/2422409x.4369</w:t>
        </w:r>
      </w:hyperlink>
    </w:p>
    <w:p w14:paraId="2B3B0576"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 xml:space="preserve">Oviedo Hernández, E. A., &amp; </w:t>
      </w:r>
      <w:proofErr w:type="spellStart"/>
      <w:r w:rsidRPr="00830F6F">
        <w:rPr>
          <w:rFonts w:ascii="Times New Roman" w:eastAsia="Times New Roman" w:hAnsi="Times New Roman" w:cs="Times New Roman"/>
          <w:color w:val="000000" w:themeColor="text1"/>
          <w:sz w:val="24"/>
          <w:szCs w:val="24"/>
        </w:rPr>
        <w:t>Pungo</w:t>
      </w:r>
      <w:proofErr w:type="spellEnd"/>
      <w:r w:rsidRPr="00830F6F">
        <w:rPr>
          <w:rFonts w:ascii="Times New Roman" w:eastAsia="Times New Roman" w:hAnsi="Times New Roman" w:cs="Times New Roman"/>
          <w:color w:val="000000" w:themeColor="text1"/>
          <w:sz w:val="24"/>
          <w:szCs w:val="24"/>
        </w:rPr>
        <w:t xml:space="preserve"> García, D. A. (2024). Experiencias de la reincorporación de excombatientes de las FARC-EP en Caldono, Colombia. </w:t>
      </w:r>
      <w:r w:rsidRPr="00830F6F">
        <w:rPr>
          <w:rFonts w:ascii="Times New Roman" w:eastAsia="Times New Roman" w:hAnsi="Times New Roman" w:cs="Times New Roman"/>
          <w:i/>
          <w:iCs/>
          <w:color w:val="000000" w:themeColor="text1"/>
          <w:sz w:val="24"/>
          <w:szCs w:val="24"/>
        </w:rPr>
        <w:t>Eirene Estudios De Paz Y Conflictos</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iCs/>
          <w:color w:val="000000" w:themeColor="text1"/>
          <w:sz w:val="24"/>
          <w:szCs w:val="24"/>
        </w:rPr>
        <w:t>7</w:t>
      </w:r>
      <w:r w:rsidRPr="00830F6F">
        <w:rPr>
          <w:rFonts w:ascii="Times New Roman" w:eastAsia="Times New Roman" w:hAnsi="Times New Roman" w:cs="Times New Roman"/>
          <w:color w:val="000000" w:themeColor="text1"/>
          <w:sz w:val="24"/>
          <w:szCs w:val="24"/>
        </w:rPr>
        <w:t xml:space="preserve">(12), 53–82. </w:t>
      </w:r>
      <w:hyperlink r:id="rId48" w:history="1">
        <w:r w:rsidRPr="00830F6F">
          <w:rPr>
            <w:rStyle w:val="Hipervnculo"/>
            <w:rFonts w:ascii="Times New Roman" w:eastAsia="Times New Roman" w:hAnsi="Times New Roman" w:cs="Times New Roman"/>
            <w:sz w:val="24"/>
            <w:szCs w:val="24"/>
            <w:u w:val="none"/>
          </w:rPr>
          <w:t>https://doi.org/10.62155/eirene.v7i12.229</w:t>
        </w:r>
      </w:hyperlink>
    </w:p>
    <w:p w14:paraId="124D3B70"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lang w:val="it-IT"/>
        </w:rPr>
      </w:pPr>
      <w:r w:rsidRPr="00830F6F">
        <w:rPr>
          <w:rFonts w:ascii="Times New Roman" w:eastAsia="Times New Roman" w:hAnsi="Times New Roman" w:cs="Times New Roman"/>
          <w:color w:val="000000" w:themeColor="text1"/>
          <w:sz w:val="24"/>
          <w:szCs w:val="24"/>
        </w:rPr>
        <w:t>Páez, E. A. (2021). El derecho a la verdad: eje fundamental de la justicia transicional en Colombia. </w:t>
      </w:r>
      <w:bookmarkStart w:id="38" w:name="_Int_M5GE9X9E"/>
      <w:r w:rsidRPr="00830F6F">
        <w:rPr>
          <w:rFonts w:ascii="Times New Roman" w:eastAsia="Times New Roman" w:hAnsi="Times New Roman" w:cs="Times New Roman"/>
          <w:i/>
          <w:iCs/>
          <w:color w:val="000000" w:themeColor="text1"/>
          <w:sz w:val="24"/>
          <w:szCs w:val="24"/>
          <w:lang w:val="it-IT"/>
        </w:rPr>
        <w:t>Via</w:t>
      </w:r>
      <w:bookmarkEnd w:id="38"/>
      <w:r w:rsidRPr="00830F6F">
        <w:rPr>
          <w:rFonts w:ascii="Times New Roman" w:eastAsia="Times New Roman" w:hAnsi="Times New Roman" w:cs="Times New Roman"/>
          <w:i/>
          <w:iCs/>
          <w:color w:val="000000" w:themeColor="text1"/>
          <w:sz w:val="24"/>
          <w:szCs w:val="24"/>
          <w:lang w:val="it-IT"/>
        </w:rPr>
        <w:t xml:space="preserve"> </w:t>
      </w:r>
      <w:bookmarkStart w:id="39" w:name="_Int_ExtQjaMg"/>
      <w:r w:rsidRPr="00830F6F">
        <w:rPr>
          <w:rFonts w:ascii="Times New Roman" w:eastAsia="Times New Roman" w:hAnsi="Times New Roman" w:cs="Times New Roman"/>
          <w:i/>
          <w:iCs/>
          <w:color w:val="000000" w:themeColor="text1"/>
          <w:sz w:val="24"/>
          <w:szCs w:val="24"/>
          <w:lang w:val="it-IT"/>
        </w:rPr>
        <w:t>Inveniendi</w:t>
      </w:r>
      <w:bookmarkEnd w:id="39"/>
      <w:r w:rsidRPr="00830F6F">
        <w:rPr>
          <w:rFonts w:ascii="Times New Roman" w:eastAsia="Times New Roman" w:hAnsi="Times New Roman" w:cs="Times New Roman"/>
          <w:i/>
          <w:iCs/>
          <w:color w:val="000000" w:themeColor="text1"/>
          <w:sz w:val="24"/>
          <w:szCs w:val="24"/>
          <w:lang w:val="it-IT"/>
        </w:rPr>
        <w:t xml:space="preserve"> Et </w:t>
      </w:r>
      <w:bookmarkStart w:id="40" w:name="_Int_AYXkdvlt"/>
      <w:r w:rsidRPr="00830F6F">
        <w:rPr>
          <w:rFonts w:ascii="Times New Roman" w:eastAsia="Times New Roman" w:hAnsi="Times New Roman" w:cs="Times New Roman"/>
          <w:i/>
          <w:iCs/>
          <w:color w:val="000000" w:themeColor="text1"/>
          <w:sz w:val="24"/>
          <w:szCs w:val="24"/>
          <w:lang w:val="it-IT"/>
        </w:rPr>
        <w:t>Iudicandi</w:t>
      </w:r>
      <w:bookmarkEnd w:id="40"/>
      <w:r w:rsidRPr="00830F6F">
        <w:rPr>
          <w:rFonts w:ascii="Times New Roman" w:eastAsia="Times New Roman" w:hAnsi="Times New Roman" w:cs="Times New Roman"/>
          <w:color w:val="000000" w:themeColor="text1"/>
          <w:sz w:val="24"/>
          <w:szCs w:val="24"/>
          <w:lang w:val="it-IT"/>
        </w:rPr>
        <w:t>, </w:t>
      </w:r>
      <w:r w:rsidRPr="00830F6F">
        <w:rPr>
          <w:rFonts w:ascii="Times New Roman" w:eastAsia="Times New Roman" w:hAnsi="Times New Roman" w:cs="Times New Roman"/>
          <w:i/>
          <w:iCs/>
          <w:color w:val="000000" w:themeColor="text1"/>
          <w:sz w:val="24"/>
          <w:szCs w:val="24"/>
          <w:lang w:val="it-IT"/>
        </w:rPr>
        <w:t>16</w:t>
      </w:r>
      <w:r w:rsidRPr="00830F6F">
        <w:rPr>
          <w:rFonts w:ascii="Times New Roman" w:eastAsia="Times New Roman" w:hAnsi="Times New Roman" w:cs="Times New Roman"/>
          <w:color w:val="000000" w:themeColor="text1"/>
          <w:sz w:val="24"/>
          <w:szCs w:val="24"/>
          <w:lang w:val="it-IT"/>
        </w:rPr>
        <w:t>(1), 1-29.</w:t>
      </w:r>
      <w:r w:rsidRPr="00830F6F">
        <w:rPr>
          <w:sz w:val="24"/>
          <w:szCs w:val="24"/>
          <w:lang w:val="it-IT"/>
        </w:rPr>
        <w:t xml:space="preserve"> </w:t>
      </w:r>
      <w:hyperlink r:id="rId49" w:history="1">
        <w:r w:rsidRPr="00830F6F">
          <w:rPr>
            <w:rStyle w:val="Hipervnculo"/>
            <w:rFonts w:ascii="Times New Roman" w:eastAsia="Times New Roman" w:hAnsi="Times New Roman" w:cs="Times New Roman"/>
            <w:sz w:val="24"/>
            <w:szCs w:val="24"/>
            <w:lang w:val="it-IT"/>
          </w:rPr>
          <w:t>https://revistas.usantotomas.edu.co/index.php/viei/article/view/6481</w:t>
        </w:r>
      </w:hyperlink>
    </w:p>
    <w:p w14:paraId="37EDFAAD"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lang w:val="it-IT"/>
        </w:rPr>
        <w:t xml:space="preserve"> </w:t>
      </w:r>
      <w:r w:rsidRPr="00830F6F">
        <w:rPr>
          <w:rFonts w:ascii="Times New Roman" w:eastAsia="Times New Roman" w:hAnsi="Times New Roman" w:cs="Times New Roman"/>
          <w:color w:val="000000" w:themeColor="text1"/>
          <w:sz w:val="24"/>
          <w:szCs w:val="24"/>
        </w:rPr>
        <w:t>Pérez, M. (2025). Reparación integral a las víctimas del conflicto armado: Un análisis de las políticas públicas en Colombia. Revista de Derecho Penal, 30(3), 56-72.</w:t>
      </w:r>
      <w:r w:rsidRPr="00830F6F">
        <w:rPr>
          <w:sz w:val="24"/>
          <w:szCs w:val="24"/>
        </w:rPr>
        <w:t xml:space="preserve"> </w:t>
      </w:r>
      <w:hyperlink r:id="rId50" w:history="1">
        <w:r w:rsidRPr="00830F6F">
          <w:rPr>
            <w:rStyle w:val="Hipervnculo"/>
            <w:rFonts w:ascii="Times New Roman" w:eastAsia="Times New Roman" w:hAnsi="Times New Roman" w:cs="Times New Roman"/>
            <w:sz w:val="24"/>
            <w:szCs w:val="24"/>
            <w:u w:val="none"/>
          </w:rPr>
          <w:t>https://dialnet.unirioja.es/servlet/tesis?codigo=148748</w:t>
        </w:r>
      </w:hyperlink>
    </w:p>
    <w:p w14:paraId="3FB68129"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Pérez-Mar, A. (2021). Justicia transicional. </w:t>
      </w:r>
      <w:r w:rsidRPr="00830F6F">
        <w:rPr>
          <w:rFonts w:ascii="Times New Roman" w:eastAsia="Times New Roman" w:hAnsi="Times New Roman" w:cs="Times New Roman"/>
          <w:i/>
          <w:color w:val="000000" w:themeColor="text1"/>
          <w:sz w:val="24"/>
          <w:szCs w:val="24"/>
        </w:rPr>
        <w:t>Revista de Investigaciones Universidad del Quindío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33</w:t>
      </w:r>
      <w:r w:rsidRPr="00830F6F">
        <w:rPr>
          <w:rFonts w:ascii="Times New Roman" w:eastAsia="Times New Roman" w:hAnsi="Times New Roman" w:cs="Times New Roman"/>
          <w:color w:val="000000" w:themeColor="text1"/>
          <w:sz w:val="24"/>
          <w:szCs w:val="24"/>
        </w:rPr>
        <w:t>(S2), 61-65.</w:t>
      </w:r>
      <w:r w:rsidRPr="00830F6F">
        <w:rPr>
          <w:sz w:val="24"/>
          <w:szCs w:val="24"/>
        </w:rPr>
        <w:t xml:space="preserve"> </w:t>
      </w:r>
      <w:hyperlink r:id="rId51" w:history="1">
        <w:r w:rsidRPr="00830F6F">
          <w:rPr>
            <w:rStyle w:val="Hipervnculo"/>
            <w:rFonts w:ascii="Times New Roman" w:eastAsia="Times New Roman" w:hAnsi="Times New Roman" w:cs="Times New Roman"/>
            <w:sz w:val="24"/>
            <w:szCs w:val="24"/>
            <w:u w:val="none"/>
          </w:rPr>
          <w:t>https://ojs.uniquindio.edu.co/ojs/index.php/riuq/article/view/613</w:t>
        </w:r>
      </w:hyperlink>
    </w:p>
    <w:p w14:paraId="5785D237" w14:textId="332A71E8"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lang w:val="it-IT"/>
        </w:rPr>
      </w:pPr>
      <w:r w:rsidRPr="00830F6F">
        <w:rPr>
          <w:rFonts w:ascii="Times New Roman" w:eastAsia="Times New Roman" w:hAnsi="Times New Roman" w:cs="Times New Roman"/>
          <w:color w:val="000000" w:themeColor="text1"/>
          <w:sz w:val="24"/>
          <w:szCs w:val="24"/>
        </w:rPr>
        <w:t>Piña-Ferrer Lenys Senovia.</w:t>
      </w:r>
      <w:r w:rsidR="005F1CD1" w:rsidRPr="00830F6F">
        <w:rPr>
          <w:rFonts w:ascii="Times New Roman" w:eastAsia="Times New Roman" w:hAnsi="Times New Roman" w:cs="Times New Roman"/>
          <w:color w:val="000000" w:themeColor="text1"/>
          <w:sz w:val="24"/>
          <w:szCs w:val="24"/>
        </w:rPr>
        <w:t xml:space="preserve"> (2023). </w:t>
      </w:r>
      <w:r w:rsidRPr="00830F6F">
        <w:rPr>
          <w:rFonts w:ascii="Times New Roman" w:eastAsia="Times New Roman" w:hAnsi="Times New Roman" w:cs="Times New Roman"/>
          <w:color w:val="000000" w:themeColor="text1"/>
          <w:sz w:val="24"/>
          <w:szCs w:val="24"/>
        </w:rPr>
        <w:t xml:space="preserve"> El enfoque cualitativo: Una alternativa compleja dentro del mundo de la investigación. Koinonía  [Internet]. 2023  Jun [citado  2026  Ene  14] ;  8( 15 ): 1-3. Disponible en: http://ve.scielo.org/scielo.php?script=sci_arttext&amp;pid=S2542-30882023000100001&amp;lng=es.  </w:t>
      </w:r>
      <w:r w:rsidRPr="00830F6F">
        <w:rPr>
          <w:rFonts w:ascii="Times New Roman" w:eastAsia="Times New Roman" w:hAnsi="Times New Roman" w:cs="Times New Roman"/>
          <w:color w:val="000000" w:themeColor="text1"/>
          <w:sz w:val="24"/>
          <w:szCs w:val="24"/>
          <w:lang w:val="it-IT"/>
        </w:rPr>
        <w:t>Epub 11-Jul-2023.  </w:t>
      </w:r>
      <w:r w:rsidRPr="00830F6F">
        <w:fldChar w:fldCharType="begin"/>
      </w:r>
      <w:r w:rsidRPr="00830F6F">
        <w:rPr>
          <w:lang w:val="it-IT"/>
        </w:rPr>
        <w:instrText>HYPERLINK "https://doi.org/10.35381/r.k.v8i15.2440"</w:instrText>
      </w:r>
      <w:r w:rsidRPr="00830F6F">
        <w:fldChar w:fldCharType="separate"/>
      </w:r>
      <w:r w:rsidRPr="00830F6F">
        <w:rPr>
          <w:rStyle w:val="Hipervnculo"/>
          <w:rFonts w:ascii="Times New Roman" w:eastAsia="Times New Roman" w:hAnsi="Times New Roman" w:cs="Times New Roman"/>
          <w:sz w:val="24"/>
          <w:szCs w:val="24"/>
          <w:lang w:val="it-IT"/>
        </w:rPr>
        <w:t>https://doi.org/10.35381/r.k.v8i15.2440</w:t>
      </w:r>
      <w:r w:rsidRPr="00830F6F">
        <w:fldChar w:fldCharType="end"/>
      </w:r>
      <w:r w:rsidRPr="00830F6F">
        <w:rPr>
          <w:rFonts w:ascii="Times New Roman" w:eastAsia="Times New Roman" w:hAnsi="Times New Roman" w:cs="Times New Roman"/>
          <w:color w:val="000000" w:themeColor="text1"/>
          <w:sz w:val="24"/>
          <w:szCs w:val="24"/>
          <w:lang w:val="it-IT"/>
        </w:rPr>
        <w:t>.</w:t>
      </w:r>
    </w:p>
    <w:p w14:paraId="43DE7D65"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lang w:val="it-IT"/>
        </w:rPr>
        <w:t xml:space="preserve">Ríos Tovar, L. (2020). </w:t>
      </w:r>
      <w:r w:rsidRPr="00830F6F">
        <w:rPr>
          <w:rFonts w:ascii="Times New Roman" w:eastAsia="Times New Roman" w:hAnsi="Times New Roman" w:cs="Times New Roman"/>
          <w:color w:val="000000" w:themeColor="text1"/>
          <w:sz w:val="24"/>
          <w:szCs w:val="24"/>
        </w:rPr>
        <w:t>La reparación de las víctimas: su confinamiento dentro del marco de la Justicia Transicional. </w:t>
      </w:r>
      <w:r w:rsidRPr="00830F6F">
        <w:rPr>
          <w:rFonts w:ascii="Times New Roman" w:eastAsia="Times New Roman" w:hAnsi="Times New Roman" w:cs="Times New Roman"/>
          <w:i/>
          <w:iCs/>
          <w:color w:val="000000" w:themeColor="text1"/>
          <w:sz w:val="24"/>
          <w:szCs w:val="24"/>
        </w:rPr>
        <w:t>Revista derecha del estado</w:t>
      </w:r>
      <w:r w:rsidRPr="00830F6F">
        <w:rPr>
          <w:rFonts w:ascii="Times New Roman" w:eastAsia="Times New Roman" w:hAnsi="Times New Roman" w:cs="Times New Roman"/>
          <w:color w:val="000000" w:themeColor="text1"/>
          <w:sz w:val="24"/>
          <w:szCs w:val="24"/>
        </w:rPr>
        <w:t>, (47), 255-285.</w:t>
      </w:r>
      <w:r w:rsidRPr="00830F6F">
        <w:rPr>
          <w:sz w:val="24"/>
          <w:szCs w:val="24"/>
        </w:rPr>
        <w:t xml:space="preserve"> </w:t>
      </w:r>
      <w:hyperlink r:id="rId52" w:history="1">
        <w:r w:rsidRPr="00830F6F">
          <w:rPr>
            <w:rStyle w:val="Hipervnculo"/>
            <w:rFonts w:ascii="Times New Roman" w:eastAsia="Times New Roman" w:hAnsi="Times New Roman" w:cs="Times New Roman"/>
            <w:sz w:val="24"/>
            <w:szCs w:val="24"/>
            <w:u w:val="none"/>
          </w:rPr>
          <w:t>https://revistas.uexternado.edu.co/index.php/derest/article/view/6767/9784</w:t>
        </w:r>
      </w:hyperlink>
    </w:p>
    <w:p w14:paraId="497D575E"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lang w:val="en-US"/>
        </w:rPr>
      </w:pPr>
      <w:r w:rsidRPr="00830F6F">
        <w:rPr>
          <w:rFonts w:ascii="Times New Roman" w:eastAsia="Times New Roman" w:hAnsi="Times New Roman" w:cs="Times New Roman"/>
          <w:color w:val="000000" w:themeColor="text1"/>
          <w:sz w:val="24"/>
          <w:szCs w:val="24"/>
        </w:rPr>
        <w:lastRenderedPageBreak/>
        <w:t>Rojas-Granada, C., &amp; Cuesta-Borja, R. (2021). Los estudios sobre el conflicto armado y la construcción de paz en Colombia desde una perspectiva territorial: abordajes y desafíos. </w:t>
      </w:r>
      <w:r w:rsidRPr="00830F6F">
        <w:rPr>
          <w:rFonts w:ascii="Times New Roman" w:eastAsia="Times New Roman" w:hAnsi="Times New Roman" w:cs="Times New Roman"/>
          <w:i/>
          <w:color w:val="000000" w:themeColor="text1"/>
          <w:sz w:val="24"/>
          <w:szCs w:val="24"/>
          <w:lang w:val="en-US"/>
        </w:rPr>
        <w:t>CS</w:t>
      </w:r>
      <w:r w:rsidRPr="00830F6F">
        <w:rPr>
          <w:rFonts w:ascii="Times New Roman" w:eastAsia="Times New Roman" w:hAnsi="Times New Roman" w:cs="Times New Roman"/>
          <w:color w:val="000000" w:themeColor="text1"/>
          <w:sz w:val="24"/>
          <w:szCs w:val="24"/>
          <w:lang w:val="en-US"/>
        </w:rPr>
        <w:t>, (33), 205-235.</w:t>
      </w:r>
      <w:r w:rsidRPr="00830F6F">
        <w:rPr>
          <w:sz w:val="24"/>
          <w:szCs w:val="24"/>
          <w:lang w:val="en-US"/>
        </w:rPr>
        <w:t xml:space="preserve"> </w:t>
      </w:r>
      <w:hyperlink r:id="rId53" w:history="1">
        <w:r w:rsidRPr="00830F6F">
          <w:rPr>
            <w:rStyle w:val="Hipervnculo"/>
            <w:rFonts w:ascii="Times New Roman" w:eastAsia="Times New Roman" w:hAnsi="Times New Roman" w:cs="Times New Roman"/>
            <w:sz w:val="24"/>
            <w:szCs w:val="24"/>
            <w:u w:val="none"/>
            <w:lang w:val="en-US"/>
          </w:rPr>
          <w:t>http://www.scielo.org.co/scielo.php?script=sci_arttext&amp;pid=S2011-03242021000100205</w:t>
        </w:r>
      </w:hyperlink>
    </w:p>
    <w:p w14:paraId="688D9C85"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Suárez, V. S. (2021). Subjetividad, literatura y poesía testimonial: las voces de las infancias en contextos de conflicto armado en Colombia. </w:t>
      </w:r>
      <w:r w:rsidRPr="00830F6F">
        <w:rPr>
          <w:rFonts w:ascii="Times New Roman" w:eastAsia="Times New Roman" w:hAnsi="Times New Roman" w:cs="Times New Roman"/>
          <w:i/>
          <w:color w:val="000000" w:themeColor="text1"/>
          <w:sz w:val="24"/>
          <w:szCs w:val="24"/>
        </w:rPr>
        <w:t>Ciudad paz-ando</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14</w:t>
      </w:r>
      <w:r w:rsidRPr="00830F6F">
        <w:rPr>
          <w:rFonts w:ascii="Times New Roman" w:eastAsia="Times New Roman" w:hAnsi="Times New Roman" w:cs="Times New Roman"/>
          <w:color w:val="000000" w:themeColor="text1"/>
          <w:sz w:val="24"/>
          <w:szCs w:val="24"/>
        </w:rPr>
        <w:t>(1), 58-69.</w:t>
      </w:r>
      <w:r w:rsidRPr="00830F6F">
        <w:rPr>
          <w:sz w:val="24"/>
          <w:szCs w:val="24"/>
        </w:rPr>
        <w:t xml:space="preserve"> </w:t>
      </w:r>
      <w:hyperlink r:id="rId54" w:history="1">
        <w:r w:rsidRPr="00830F6F">
          <w:rPr>
            <w:rStyle w:val="Hipervnculo"/>
            <w:rFonts w:ascii="Times New Roman" w:eastAsia="Times New Roman" w:hAnsi="Times New Roman" w:cs="Times New Roman"/>
            <w:sz w:val="24"/>
            <w:szCs w:val="24"/>
            <w:u w:val="none"/>
          </w:rPr>
          <w:t>https://revistas.udistrital.edu.co/index.php/cpaz/article/view/16543</w:t>
        </w:r>
      </w:hyperlink>
    </w:p>
    <w:p w14:paraId="1BBA7F53"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Torres, A. B. (2021). La diáspora colombiana en Europa y su relación con el conflicto armado en Colombia.</w:t>
      </w:r>
      <w:r w:rsidRPr="00830F6F">
        <w:rPr>
          <w:sz w:val="24"/>
          <w:szCs w:val="24"/>
        </w:rPr>
        <w:t xml:space="preserve"> </w:t>
      </w:r>
      <w:hyperlink r:id="rId55" w:history="1">
        <w:r w:rsidRPr="00830F6F">
          <w:rPr>
            <w:rStyle w:val="Hipervnculo"/>
            <w:rFonts w:ascii="Times New Roman" w:eastAsia="Times New Roman" w:hAnsi="Times New Roman" w:cs="Times New Roman"/>
            <w:sz w:val="24"/>
            <w:szCs w:val="24"/>
            <w:u w:val="none"/>
          </w:rPr>
          <w:t>https://www.icip.cat/es/publication/la-diaspora-colombiana-en-europa-y-su-relacion-con-el-conflicto-armado-en-colombia/</w:t>
        </w:r>
      </w:hyperlink>
    </w:p>
    <w:p w14:paraId="5CB340EF"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bookmarkStart w:id="41" w:name="_Int_n1BFqUbA"/>
      <w:r w:rsidRPr="00830F6F">
        <w:rPr>
          <w:rFonts w:ascii="Times New Roman" w:eastAsia="Times New Roman" w:hAnsi="Times New Roman" w:cs="Times New Roman"/>
          <w:color w:val="000000" w:themeColor="text1"/>
          <w:sz w:val="24"/>
          <w:szCs w:val="24"/>
        </w:rPr>
        <w:t>Uriza</w:t>
      </w:r>
      <w:bookmarkEnd w:id="41"/>
      <w:r w:rsidRPr="00830F6F">
        <w:rPr>
          <w:rFonts w:ascii="Times New Roman" w:eastAsia="Times New Roman" w:hAnsi="Times New Roman" w:cs="Times New Roman"/>
          <w:color w:val="000000" w:themeColor="text1"/>
          <w:sz w:val="24"/>
          <w:szCs w:val="24"/>
        </w:rPr>
        <w:t xml:space="preserve">, K. T., &amp; Pérez, M. L. S. (2021). La violencia sexual contra la mujer en zonas de conflicto armado en Colombia: un enfoque a partir de un modelo </w:t>
      </w:r>
      <w:bookmarkStart w:id="42" w:name="_Int_48VI1yDn"/>
      <w:proofErr w:type="spellStart"/>
      <w:r w:rsidRPr="00830F6F">
        <w:rPr>
          <w:rFonts w:ascii="Times New Roman" w:eastAsia="Times New Roman" w:hAnsi="Times New Roman" w:cs="Times New Roman"/>
          <w:color w:val="000000" w:themeColor="text1"/>
          <w:sz w:val="24"/>
          <w:szCs w:val="24"/>
        </w:rPr>
        <w:t>logit</w:t>
      </w:r>
      <w:bookmarkEnd w:id="42"/>
      <w:proofErr w:type="spellEnd"/>
      <w:r w:rsidRPr="00830F6F">
        <w:rPr>
          <w:rFonts w:ascii="Times New Roman" w:eastAsia="Times New Roman" w:hAnsi="Times New Roman" w:cs="Times New Roman"/>
          <w:color w:val="000000" w:themeColor="text1"/>
          <w:sz w:val="24"/>
          <w:szCs w:val="24"/>
        </w:rPr>
        <w:t>. </w:t>
      </w:r>
      <w:bookmarkStart w:id="43" w:name="_Int_FCFVIT5b"/>
      <w:proofErr w:type="spellStart"/>
      <w:r w:rsidRPr="00830F6F">
        <w:rPr>
          <w:rFonts w:ascii="Times New Roman" w:eastAsia="Times New Roman" w:hAnsi="Times New Roman" w:cs="Times New Roman"/>
          <w:i/>
          <w:iCs/>
          <w:color w:val="000000" w:themeColor="text1"/>
          <w:sz w:val="24"/>
          <w:szCs w:val="24"/>
        </w:rPr>
        <w:t>Asparkía</w:t>
      </w:r>
      <w:bookmarkEnd w:id="43"/>
      <w:proofErr w:type="spellEnd"/>
      <w:r w:rsidRPr="00830F6F">
        <w:rPr>
          <w:rFonts w:ascii="Times New Roman" w:eastAsia="Times New Roman" w:hAnsi="Times New Roman" w:cs="Times New Roman"/>
          <w:i/>
          <w:iCs/>
          <w:color w:val="000000" w:themeColor="text1"/>
          <w:sz w:val="24"/>
          <w:szCs w:val="24"/>
        </w:rPr>
        <w:t xml:space="preserve">. </w:t>
      </w:r>
      <w:bookmarkStart w:id="44" w:name="_Int_g98Dl7yW"/>
      <w:proofErr w:type="spellStart"/>
      <w:r w:rsidRPr="00830F6F">
        <w:rPr>
          <w:rFonts w:ascii="Times New Roman" w:eastAsia="Times New Roman" w:hAnsi="Times New Roman" w:cs="Times New Roman"/>
          <w:i/>
          <w:iCs/>
          <w:color w:val="000000" w:themeColor="text1"/>
          <w:sz w:val="24"/>
          <w:szCs w:val="24"/>
        </w:rPr>
        <w:t>Investigació</w:t>
      </w:r>
      <w:bookmarkEnd w:id="44"/>
      <w:proofErr w:type="spellEnd"/>
      <w:r w:rsidRPr="00830F6F">
        <w:rPr>
          <w:rFonts w:ascii="Times New Roman" w:eastAsia="Times New Roman" w:hAnsi="Times New Roman" w:cs="Times New Roman"/>
          <w:i/>
          <w:iCs/>
          <w:color w:val="000000" w:themeColor="text1"/>
          <w:sz w:val="24"/>
          <w:szCs w:val="24"/>
        </w:rPr>
        <w:t xml:space="preserve"> Feminista</w:t>
      </w:r>
      <w:r w:rsidRPr="00830F6F">
        <w:rPr>
          <w:rFonts w:ascii="Times New Roman" w:eastAsia="Times New Roman" w:hAnsi="Times New Roman" w:cs="Times New Roman"/>
          <w:color w:val="000000" w:themeColor="text1"/>
          <w:sz w:val="24"/>
          <w:szCs w:val="24"/>
        </w:rPr>
        <w:t>, (38), 125-148.</w:t>
      </w:r>
      <w:r w:rsidRPr="00830F6F">
        <w:rPr>
          <w:sz w:val="24"/>
          <w:szCs w:val="24"/>
        </w:rPr>
        <w:t xml:space="preserve"> </w:t>
      </w:r>
      <w:hyperlink r:id="rId56" w:history="1">
        <w:r w:rsidRPr="00830F6F">
          <w:rPr>
            <w:rStyle w:val="Hipervnculo"/>
            <w:rFonts w:ascii="Times New Roman" w:eastAsia="Times New Roman" w:hAnsi="Times New Roman" w:cs="Times New Roman"/>
            <w:sz w:val="24"/>
            <w:szCs w:val="24"/>
            <w:u w:val="none"/>
          </w:rPr>
          <w:t>https://produccioncientifica.usal.es/documentos/6142af6827af2147d1445756</w:t>
        </w:r>
      </w:hyperlink>
    </w:p>
    <w:p w14:paraId="63CEE9FD"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Valencia Agudelo, G. D., &amp; Chaverra Colorado, F. A. (2021). Los fondos para la reparación de las víctimas del conflicto armado en Colombia. </w:t>
      </w:r>
      <w:r w:rsidRPr="00830F6F">
        <w:rPr>
          <w:rFonts w:ascii="Times New Roman" w:eastAsia="Times New Roman" w:hAnsi="Times New Roman" w:cs="Times New Roman"/>
          <w:i/>
          <w:color w:val="000000" w:themeColor="text1"/>
          <w:sz w:val="24"/>
          <w:szCs w:val="24"/>
        </w:rPr>
        <w:t>Estudios Políticos</w:t>
      </w:r>
      <w:r w:rsidRPr="00830F6F">
        <w:rPr>
          <w:rFonts w:ascii="Times New Roman" w:eastAsia="Times New Roman" w:hAnsi="Times New Roman" w:cs="Times New Roman"/>
          <w:color w:val="000000" w:themeColor="text1"/>
          <w:sz w:val="24"/>
          <w:szCs w:val="24"/>
        </w:rPr>
        <w:t>, (61), 9-21.</w:t>
      </w:r>
      <w:r w:rsidRPr="00830F6F">
        <w:rPr>
          <w:sz w:val="24"/>
          <w:szCs w:val="24"/>
        </w:rPr>
        <w:t xml:space="preserve"> </w:t>
      </w:r>
      <w:hyperlink r:id="rId57" w:history="1">
        <w:r w:rsidRPr="00830F6F">
          <w:rPr>
            <w:rStyle w:val="Hipervnculo"/>
            <w:rFonts w:ascii="Times New Roman" w:eastAsia="Times New Roman" w:hAnsi="Times New Roman" w:cs="Times New Roman"/>
            <w:sz w:val="24"/>
            <w:szCs w:val="24"/>
            <w:u w:val="none"/>
          </w:rPr>
          <w:t>https://revistas.udea.edu.co/index.php/estudiospoliticos/article/view/346302</w:t>
        </w:r>
      </w:hyperlink>
    </w:p>
    <w:p w14:paraId="13F36E99"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t>Valencia, Y. P., &amp; Mondragón, S. (2021). Precariedad laboral en población afrodescendiente e indígena agravada por el conflicto armado en Colombia. </w:t>
      </w:r>
      <w:r w:rsidRPr="00830F6F">
        <w:rPr>
          <w:rFonts w:ascii="Times New Roman" w:eastAsia="Times New Roman" w:hAnsi="Times New Roman" w:cs="Times New Roman"/>
          <w:i/>
          <w:color w:val="000000" w:themeColor="text1"/>
          <w:sz w:val="24"/>
          <w:szCs w:val="24"/>
        </w:rPr>
        <w:t>Revista de ciencias sociales</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27</w:t>
      </w:r>
      <w:r w:rsidRPr="00830F6F">
        <w:rPr>
          <w:rFonts w:ascii="Times New Roman" w:eastAsia="Times New Roman" w:hAnsi="Times New Roman" w:cs="Times New Roman"/>
          <w:color w:val="000000" w:themeColor="text1"/>
          <w:sz w:val="24"/>
          <w:szCs w:val="24"/>
        </w:rPr>
        <w:t>(2), 338-351.</w:t>
      </w:r>
      <w:r w:rsidRPr="00830F6F">
        <w:rPr>
          <w:sz w:val="24"/>
          <w:szCs w:val="24"/>
        </w:rPr>
        <w:t xml:space="preserve"> </w:t>
      </w:r>
      <w:hyperlink r:id="rId58" w:history="1">
        <w:r w:rsidRPr="00830F6F">
          <w:rPr>
            <w:rStyle w:val="Hipervnculo"/>
            <w:rFonts w:ascii="Times New Roman" w:eastAsia="Times New Roman" w:hAnsi="Times New Roman" w:cs="Times New Roman"/>
            <w:sz w:val="24"/>
            <w:szCs w:val="24"/>
            <w:u w:val="none"/>
          </w:rPr>
          <w:t>https://www.redalyc.org/journal/280/28066593024/html/</w:t>
        </w:r>
      </w:hyperlink>
    </w:p>
    <w:p w14:paraId="7CE69555" w14:textId="009057A7" w:rsidR="00850781" w:rsidRPr="00830F6F" w:rsidRDefault="005F1CD1" w:rsidP="00211474">
      <w:pPr>
        <w:spacing w:after="0" w:line="480" w:lineRule="auto"/>
        <w:ind w:left="720" w:hanging="720"/>
        <w:jc w:val="both"/>
        <w:rPr>
          <w:rFonts w:ascii="Times New Roman" w:eastAsia="Times New Roman" w:hAnsi="Times New Roman" w:cs="Times New Roman"/>
          <w:color w:val="000000" w:themeColor="text1"/>
          <w:sz w:val="24"/>
          <w:szCs w:val="24"/>
        </w:rPr>
      </w:pPr>
      <w:bookmarkStart w:id="45" w:name="_Int_nxz4dKc2"/>
      <w:bookmarkEnd w:id="31"/>
      <w:r w:rsidRPr="00830F6F">
        <w:rPr>
          <w:rFonts w:ascii="Times New Roman" w:eastAsia="Times New Roman" w:hAnsi="Times New Roman" w:cs="Times New Roman"/>
          <w:color w:val="000000" w:themeColor="text1"/>
          <w:sz w:val="24"/>
          <w:szCs w:val="24"/>
        </w:rPr>
        <w:t xml:space="preserve">Van </w:t>
      </w:r>
      <w:r w:rsidR="00850781" w:rsidRPr="00830F6F">
        <w:rPr>
          <w:rFonts w:ascii="Times New Roman" w:eastAsia="Times New Roman" w:hAnsi="Times New Roman" w:cs="Times New Roman"/>
          <w:color w:val="000000" w:themeColor="text1"/>
          <w:sz w:val="24"/>
          <w:szCs w:val="24"/>
        </w:rPr>
        <w:t>der</w:t>
      </w:r>
      <w:bookmarkEnd w:id="45"/>
      <w:r w:rsidR="00850781" w:rsidRPr="00830F6F">
        <w:rPr>
          <w:rFonts w:ascii="Times New Roman" w:eastAsia="Times New Roman" w:hAnsi="Times New Roman" w:cs="Times New Roman"/>
          <w:color w:val="000000" w:themeColor="text1"/>
          <w:sz w:val="24"/>
          <w:szCs w:val="24"/>
        </w:rPr>
        <w:t xml:space="preserve"> </w:t>
      </w:r>
      <w:bookmarkStart w:id="46" w:name="_Int_ywlcj1YU"/>
      <w:r w:rsidR="00850781" w:rsidRPr="00830F6F">
        <w:rPr>
          <w:rFonts w:ascii="Times New Roman" w:eastAsia="Times New Roman" w:hAnsi="Times New Roman" w:cs="Times New Roman"/>
          <w:color w:val="000000" w:themeColor="text1"/>
          <w:sz w:val="24"/>
          <w:szCs w:val="24"/>
        </w:rPr>
        <w:t>Merwe</w:t>
      </w:r>
      <w:bookmarkEnd w:id="46"/>
      <w:r w:rsidR="00850781" w:rsidRPr="00830F6F">
        <w:rPr>
          <w:rFonts w:ascii="Times New Roman" w:eastAsia="Times New Roman" w:hAnsi="Times New Roman" w:cs="Times New Roman"/>
          <w:color w:val="000000" w:themeColor="text1"/>
          <w:sz w:val="24"/>
          <w:szCs w:val="24"/>
        </w:rPr>
        <w:t>, H. (2023). Una perspectiva global de la investigación sobre la reconciliación: reflexiones desde el ámbito de la justicia transicional. </w:t>
      </w:r>
      <w:r w:rsidR="00850781" w:rsidRPr="00830F6F">
        <w:rPr>
          <w:rFonts w:ascii="Times New Roman" w:eastAsia="Times New Roman" w:hAnsi="Times New Roman" w:cs="Times New Roman"/>
          <w:i/>
          <w:iCs/>
          <w:color w:val="000000" w:themeColor="text1"/>
          <w:sz w:val="24"/>
          <w:szCs w:val="24"/>
        </w:rPr>
        <w:t>Reconciliación: Experiencias en Colombia y el mundo</w:t>
      </w:r>
      <w:r w:rsidR="00850781" w:rsidRPr="00830F6F">
        <w:rPr>
          <w:rFonts w:ascii="Times New Roman" w:eastAsia="Times New Roman" w:hAnsi="Times New Roman" w:cs="Times New Roman"/>
          <w:color w:val="000000" w:themeColor="text1"/>
          <w:sz w:val="24"/>
          <w:szCs w:val="24"/>
        </w:rPr>
        <w:t>, 1.</w:t>
      </w:r>
    </w:p>
    <w:p w14:paraId="34FBCF19" w14:textId="77777777" w:rsidR="00850781" w:rsidRPr="00830F6F" w:rsidRDefault="00850781" w:rsidP="00211474">
      <w:pPr>
        <w:spacing w:after="0" w:line="480" w:lineRule="auto"/>
        <w:ind w:left="720" w:hanging="720"/>
        <w:jc w:val="both"/>
        <w:rPr>
          <w:rFonts w:ascii="Times New Roman" w:eastAsia="Times New Roman" w:hAnsi="Times New Roman" w:cs="Times New Roman"/>
          <w:color w:val="000000" w:themeColor="text1"/>
          <w:sz w:val="24"/>
          <w:szCs w:val="24"/>
        </w:rPr>
      </w:pPr>
      <w:r w:rsidRPr="00830F6F">
        <w:rPr>
          <w:rFonts w:ascii="Times New Roman" w:eastAsia="Times New Roman" w:hAnsi="Times New Roman" w:cs="Times New Roman"/>
          <w:color w:val="000000" w:themeColor="text1"/>
          <w:sz w:val="24"/>
          <w:szCs w:val="24"/>
        </w:rPr>
        <w:lastRenderedPageBreak/>
        <w:t>Yepes-Cardona, S., &amp; Giraldo-Gil, E. (2023). Narrativas escolares de las estudiantes desplazadas por el conflicto armado en Colombia. </w:t>
      </w:r>
      <w:r w:rsidRPr="00830F6F">
        <w:rPr>
          <w:rFonts w:ascii="Times New Roman" w:eastAsia="Times New Roman" w:hAnsi="Times New Roman" w:cs="Times New Roman"/>
          <w:i/>
          <w:color w:val="000000" w:themeColor="text1"/>
          <w:sz w:val="24"/>
          <w:szCs w:val="24"/>
        </w:rPr>
        <w:t>Revista Latinoamericana de Ciencias Sociales, Niñez y Juventud</w:t>
      </w:r>
      <w:r w:rsidRPr="00830F6F">
        <w:rPr>
          <w:rFonts w:ascii="Times New Roman" w:eastAsia="Times New Roman" w:hAnsi="Times New Roman" w:cs="Times New Roman"/>
          <w:color w:val="000000" w:themeColor="text1"/>
          <w:sz w:val="24"/>
          <w:szCs w:val="24"/>
        </w:rPr>
        <w:t>, </w:t>
      </w:r>
      <w:r w:rsidRPr="00830F6F">
        <w:rPr>
          <w:rFonts w:ascii="Times New Roman" w:eastAsia="Times New Roman" w:hAnsi="Times New Roman" w:cs="Times New Roman"/>
          <w:i/>
          <w:color w:val="000000" w:themeColor="text1"/>
          <w:sz w:val="24"/>
          <w:szCs w:val="24"/>
        </w:rPr>
        <w:t>21</w:t>
      </w:r>
      <w:r w:rsidRPr="00830F6F">
        <w:rPr>
          <w:rFonts w:ascii="Times New Roman" w:eastAsia="Times New Roman" w:hAnsi="Times New Roman" w:cs="Times New Roman"/>
          <w:color w:val="000000" w:themeColor="text1"/>
          <w:sz w:val="24"/>
          <w:szCs w:val="24"/>
        </w:rPr>
        <w:t>(2), 151-175.</w:t>
      </w:r>
      <w:r w:rsidRPr="00830F6F">
        <w:rPr>
          <w:sz w:val="24"/>
          <w:szCs w:val="24"/>
        </w:rPr>
        <w:t xml:space="preserve"> </w:t>
      </w:r>
      <w:hyperlink r:id="rId59" w:history="1">
        <w:r w:rsidRPr="00830F6F">
          <w:rPr>
            <w:rStyle w:val="Hipervnculo"/>
            <w:rFonts w:ascii="Times New Roman" w:eastAsia="Times New Roman" w:hAnsi="Times New Roman" w:cs="Times New Roman"/>
            <w:sz w:val="24"/>
            <w:szCs w:val="24"/>
            <w:u w:val="none"/>
          </w:rPr>
          <w:t>https://www.redalyc.org/journal/773/77376320007/html/</w:t>
        </w:r>
      </w:hyperlink>
    </w:p>
    <w:p w14:paraId="3B44B73E" w14:textId="77777777" w:rsidR="00850781" w:rsidRDefault="00850781" w:rsidP="00211474">
      <w:pPr>
        <w:spacing w:after="0" w:line="480" w:lineRule="auto"/>
        <w:ind w:left="720" w:hanging="720"/>
        <w:jc w:val="both"/>
      </w:pPr>
      <w:r w:rsidRPr="00830F6F">
        <w:rPr>
          <w:rFonts w:ascii="Times New Roman" w:eastAsia="Times New Roman" w:hAnsi="Times New Roman" w:cs="Times New Roman"/>
          <w:color w:val="000000" w:themeColor="text1"/>
          <w:sz w:val="24"/>
          <w:szCs w:val="24"/>
        </w:rPr>
        <w:t>Zabalza, J. I. L. (2021). Cuatro tesis sobre la Justicia transicional. </w:t>
      </w:r>
      <w:bookmarkStart w:id="47" w:name="_Int_kZXlwQTO"/>
      <w:proofErr w:type="spellStart"/>
      <w:r w:rsidRPr="00830F6F">
        <w:rPr>
          <w:rFonts w:ascii="Times New Roman" w:eastAsia="Times New Roman" w:hAnsi="Times New Roman" w:cs="Times New Roman"/>
          <w:i/>
          <w:iCs/>
          <w:color w:val="000000" w:themeColor="text1"/>
          <w:sz w:val="24"/>
          <w:szCs w:val="24"/>
        </w:rPr>
        <w:t>YachaQ</w:t>
      </w:r>
      <w:bookmarkEnd w:id="47"/>
      <w:proofErr w:type="spellEnd"/>
      <w:r w:rsidRPr="00830F6F">
        <w:rPr>
          <w:rFonts w:ascii="Times New Roman" w:eastAsia="Times New Roman" w:hAnsi="Times New Roman" w:cs="Times New Roman"/>
          <w:i/>
          <w:iCs/>
          <w:color w:val="000000" w:themeColor="text1"/>
          <w:sz w:val="24"/>
          <w:szCs w:val="24"/>
        </w:rPr>
        <w:t>: Revista de Derecho</w:t>
      </w:r>
      <w:r w:rsidRPr="00830F6F">
        <w:rPr>
          <w:rFonts w:ascii="Times New Roman" w:eastAsia="Times New Roman" w:hAnsi="Times New Roman" w:cs="Times New Roman"/>
          <w:color w:val="000000" w:themeColor="text1"/>
          <w:sz w:val="24"/>
          <w:szCs w:val="24"/>
        </w:rPr>
        <w:t>, (12), 23-37.</w:t>
      </w:r>
      <w:r w:rsidRPr="00830F6F">
        <w:rPr>
          <w:sz w:val="24"/>
          <w:szCs w:val="24"/>
        </w:rPr>
        <w:t xml:space="preserve"> </w:t>
      </w:r>
      <w:hyperlink r:id="rId60" w:history="1">
        <w:r w:rsidRPr="00830F6F">
          <w:rPr>
            <w:rStyle w:val="Hipervnculo"/>
            <w:rFonts w:ascii="Times New Roman" w:eastAsia="Times New Roman" w:hAnsi="Times New Roman" w:cs="Times New Roman"/>
            <w:sz w:val="24"/>
            <w:szCs w:val="24"/>
            <w:u w:val="none"/>
          </w:rPr>
          <w:t>https://dialnet.unirioja.es/servlet/articulo?codigo=10168469</w:t>
        </w:r>
      </w:hyperlink>
    </w:p>
    <w:sectPr w:rsidR="00850781" w:rsidSect="002764D9">
      <w:headerReference w:type="default" r:id="rId61"/>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C2490" w14:textId="77777777" w:rsidR="000A52E3" w:rsidRDefault="000A52E3" w:rsidP="002764D9">
      <w:pPr>
        <w:spacing w:after="0" w:line="240" w:lineRule="auto"/>
      </w:pPr>
      <w:r>
        <w:separator/>
      </w:r>
    </w:p>
  </w:endnote>
  <w:endnote w:type="continuationSeparator" w:id="0">
    <w:p w14:paraId="77FFDC8A" w14:textId="77777777" w:rsidR="000A52E3" w:rsidRDefault="000A52E3" w:rsidP="00276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0A0" w:usb2="00000000" w:usb3="00000000" w:csb0="00000001" w:csb1="00000000"/>
    <w:embedRegular r:id="rId1" w:fontKey="{5A102918-1063-4605-A53A-2C6DD4B3E4E4}"/>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5E1D9B7B-6E2B-4F3D-B282-D21000FA16BB}"/>
    <w:embedBold r:id="rId3" w:fontKey="{4845DA8F-E504-4888-B22A-2E7A9A44F1FE}"/>
    <w:embedItalic r:id="rId4" w:fontKey="{60BA6785-4D1A-46D9-B656-8FA10E2A173F}"/>
    <w:embedBoldItalic r:id="rId5" w:fontKey="{98C09391-83E9-4C86-9EB4-415A4BF08958}"/>
  </w:font>
  <w:font w:name="Aptos Display">
    <w:charset w:val="00"/>
    <w:family w:val="swiss"/>
    <w:pitch w:val="variable"/>
    <w:sig w:usb0="20000287" w:usb1="00000003" w:usb2="00000000" w:usb3="00000000" w:csb0="0000019F" w:csb1="00000000"/>
    <w:embedRegular r:id="rId6" w:fontKey="{51B60F98-D5F6-4F31-B9B0-D180AC7374D5}"/>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embedRegular r:id="rId7" w:fontKey="{D3E039BF-6606-4038-8910-C1C7C15813D5}"/>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ED25A" w14:textId="77777777" w:rsidR="000A52E3" w:rsidRDefault="000A52E3" w:rsidP="002764D9">
      <w:pPr>
        <w:spacing w:after="0" w:line="240" w:lineRule="auto"/>
      </w:pPr>
      <w:r>
        <w:separator/>
      </w:r>
    </w:p>
  </w:footnote>
  <w:footnote w:type="continuationSeparator" w:id="0">
    <w:p w14:paraId="3F1D0D8F" w14:textId="77777777" w:rsidR="000A52E3" w:rsidRDefault="000A52E3" w:rsidP="00276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538073"/>
      <w:docPartObj>
        <w:docPartGallery w:val="Page Numbers (Top of Page)"/>
        <w:docPartUnique/>
      </w:docPartObj>
    </w:sdtPr>
    <w:sdtEndPr>
      <w:rPr>
        <w:rFonts w:ascii="Times New Roman" w:hAnsi="Times New Roman" w:cs="Times New Roman"/>
        <w:sz w:val="24"/>
        <w:szCs w:val="24"/>
      </w:rPr>
    </w:sdtEndPr>
    <w:sdtContent>
      <w:p w14:paraId="19B09D3E" w14:textId="360AD455" w:rsidR="002764D9" w:rsidRPr="002764D9" w:rsidRDefault="002764D9">
        <w:pPr>
          <w:pStyle w:val="Encabezado"/>
          <w:jc w:val="right"/>
          <w:rPr>
            <w:rFonts w:ascii="Times New Roman" w:hAnsi="Times New Roman" w:cs="Times New Roman"/>
            <w:sz w:val="24"/>
            <w:szCs w:val="24"/>
          </w:rPr>
        </w:pPr>
        <w:r w:rsidRPr="002764D9">
          <w:rPr>
            <w:rFonts w:ascii="Times New Roman" w:hAnsi="Times New Roman" w:cs="Times New Roman"/>
            <w:sz w:val="24"/>
            <w:szCs w:val="24"/>
          </w:rPr>
          <w:fldChar w:fldCharType="begin"/>
        </w:r>
        <w:r w:rsidRPr="002764D9">
          <w:rPr>
            <w:rFonts w:ascii="Times New Roman" w:hAnsi="Times New Roman" w:cs="Times New Roman"/>
            <w:sz w:val="24"/>
            <w:szCs w:val="24"/>
          </w:rPr>
          <w:instrText>PAGE   \* MERGEFORMAT</w:instrText>
        </w:r>
        <w:r w:rsidRPr="002764D9">
          <w:rPr>
            <w:rFonts w:ascii="Times New Roman" w:hAnsi="Times New Roman" w:cs="Times New Roman"/>
            <w:sz w:val="24"/>
            <w:szCs w:val="24"/>
          </w:rPr>
          <w:fldChar w:fldCharType="separate"/>
        </w:r>
        <w:r w:rsidR="009B7A63">
          <w:rPr>
            <w:rFonts w:ascii="Times New Roman" w:hAnsi="Times New Roman" w:cs="Times New Roman"/>
            <w:noProof/>
            <w:sz w:val="24"/>
            <w:szCs w:val="24"/>
          </w:rPr>
          <w:t>21</w:t>
        </w:r>
        <w:r w:rsidRPr="002764D9">
          <w:rPr>
            <w:rFonts w:ascii="Times New Roman" w:hAnsi="Times New Roman" w:cs="Times New Roman"/>
            <w:sz w:val="24"/>
            <w:szCs w:val="24"/>
          </w:rPr>
          <w:fldChar w:fldCharType="end"/>
        </w:r>
      </w:p>
    </w:sdtContent>
  </w:sdt>
  <w:p w14:paraId="02FA0BF4" w14:textId="77777777" w:rsidR="002764D9" w:rsidRDefault="002764D9">
    <w:pPr>
      <w:pStyle w:val="Encabezado"/>
    </w:pPr>
  </w:p>
</w:hdr>
</file>

<file path=word/intelligence2.xml><?xml version="1.0" encoding="utf-8"?>
<int2:intelligence xmlns:int2="http://schemas.microsoft.com/office/intelligence/2020/intelligence" xmlns:oel="http://schemas.microsoft.com/office/2019/extlst">
  <int2:observations>
    <int2:textHash int2:hashCode="qGeEQrtsrMLBvJ" int2:id="obDnMTlY">
      <int2:state int2:value="Rejected" int2:type="spell"/>
    </int2:textHash>
    <int2:textHash int2:hashCode="VJxsqKUvNrMxIj" int2:id="OPkX9eiV">
      <int2:state int2:value="Rejected" int2:type="spell"/>
    </int2:textHash>
    <int2:textHash int2:hashCode="y1z9pQuHlo1QOV" int2:id="htsVMXpS">
      <int2:state int2:value="Rejected" int2:type="spell"/>
    </int2:textHash>
    <int2:textHash int2:hashCode="TE5txLvbzo+E8H" int2:id="2rKPWom7">
      <int2:state int2:value="Rejected" int2:type="spell"/>
    </int2:textHash>
    <int2:textHash int2:hashCode="vl0CIUC2KmC8aE" int2:id="qVLGIwUi">
      <int2:state int2:value="Rejected" int2:type="spell"/>
    </int2:textHash>
    <int2:textHash int2:hashCode="bqFFf9VAhNnNS3" int2:id="vI3dcdH0">
      <int2:state int2:value="Rejected" int2:type="spell"/>
    </int2:textHash>
    <int2:textHash int2:hashCode="3iKCfzu+Mw0hw+" int2:id="1EH0mm70">
      <int2:state int2:value="Rejected" int2:type="spell"/>
    </int2:textHash>
    <int2:textHash int2:hashCode="lCjmhNPhgTKzkx" int2:id="31v9GBC1">
      <int2:state int2:value="Rejected" int2:type="spell"/>
    </int2:textHash>
    <int2:textHash int2:hashCode="VnD5wwh5sLYNRY" int2:id="Jiz6yKLG">
      <int2:state int2:value="Rejected" int2:type="spell"/>
    </int2:textHash>
    <int2:textHash int2:hashCode="aROKV1L01eexnL" int2:id="sEcA70M0">
      <int2:state int2:value="Rejected" int2:type="spell"/>
      <int2:state int2:value="Rejected" int2:type="AugLoop_Text_Critique"/>
    </int2:textHash>
    <int2:textHash int2:hashCode="snupSK8sgCO6up" int2:id="0GGFAMKe">
      <int2:state int2:value="Rejected" int2:type="spell"/>
      <int2:state int2:value="Rejected" int2:type="AugLoop_Text_Critique"/>
    </int2:textHash>
    <int2:textHash int2:hashCode="fFQA5AicF+32jO" int2:id="cwZiFFuc">
      <int2:state int2:value="Rejected" int2:type="spell"/>
      <int2:state int2:value="Rejected" int2:type="AugLoop_Text_Critique"/>
    </int2:textHash>
    <int2:textHash int2:hashCode="Fse7rpmKs3o8Aq" int2:id="inNT0Usz">
      <int2:state int2:value="Rejected" int2:type="spell"/>
      <int2:state int2:value="Rejected" int2:type="AugLoop_Text_Critique"/>
    </int2:textHash>
    <int2:textHash int2:hashCode="hHYq9uBbuZv7Ua" int2:id="Y8J6qnaj">
      <int2:state int2:value="Rejected" int2:type="spell"/>
      <int2:state int2:value="Rejected" int2:type="AugLoop_Text_Critique"/>
    </int2:textHash>
    <int2:textHash int2:hashCode="2rbZqz4WR9ZVcz" int2:id="2fDkeXfW">
      <int2:state int2:value="Rejected" int2:type="spell"/>
      <int2:state int2:value="Rejected" int2:type="AugLoop_Text_Critique"/>
    </int2:textHash>
    <int2:textHash int2:hashCode="oZ4HDjBhZ3LV5b" int2:id="t2kCYAR3">
      <int2:state int2:value="Rejected" int2:type="AugLoop_Text_Critique"/>
    </int2:textHash>
    <int2:textHash int2:hashCode="KC5r0wO5yd5w3g" int2:id="64ASYQmD">
      <int2:state int2:value="Rejected" int2:type="spell"/>
      <int2:state int2:value="Rejected" int2:type="AugLoop_Text_Critique"/>
    </int2:textHash>
    <int2:textHash int2:hashCode="Jv0GvqU/cUbOD7" int2:id="551iYZik">
      <int2:state int2:value="Rejected" int2:type="AugLoop_Text_Critique"/>
    </int2:textHash>
    <int2:textHash int2:hashCode="caCxpTj8Uom3vE" int2:id="pnnyL1ZO">
      <int2:state int2:value="Rejected" int2:type="AugLoop_Text_Critique"/>
    </int2:textHash>
    <int2:textHash int2:hashCode="zQnhipvXTtrKfU" int2:id="0QtXBCgs">
      <int2:state int2:value="Rejected" int2:type="spell"/>
      <int2:state int2:value="Rejected" int2:type="AugLoop_Text_Critique"/>
    </int2:textHash>
    <int2:textHash int2:hashCode="DyjG4rGZzXBz16" int2:id="Xm9ow7E7">
      <int2:state int2:value="Rejected" int2:type="spell"/>
      <int2:state int2:value="Rejected" int2:type="AugLoop_Text_Critique"/>
    </int2:textHash>
    <int2:textHash int2:hashCode="Ijvp1Uak3g7CDI" int2:id="HeTv3Fkn">
      <int2:state int2:value="Rejected" int2:type="spell"/>
      <int2:state int2:value="Rejected" int2:type="AugLoop_Text_Critique"/>
    </int2:textHash>
    <int2:textHash int2:hashCode="3Y5U20xhLtMbbQ" int2:id="VgCwd2Dc">
      <int2:state int2:value="Rejected" int2:type="spell"/>
      <int2:state int2:value="Rejected" int2:type="AugLoop_Text_Critique"/>
    </int2:textHash>
    <int2:textHash int2:hashCode="Wq7g2RV9z/lPec" int2:id="9Gd2mfdC">
      <int2:state int2:value="Rejected" int2:type="spell"/>
      <int2:state int2:value="Rejected" int2:type="AugLoop_Text_Critique"/>
    </int2:textHash>
    <int2:textHash int2:hashCode="Q/ob/k80dsWRYx" int2:id="z4bQDaau">
      <int2:state int2:value="Rejected" int2:type="spell"/>
      <int2:state int2:value="Rejected" int2:type="AugLoop_Text_Critique"/>
    </int2:textHash>
    <int2:textHash int2:hashCode="GfCHG0cbYsnIob" int2:id="GG99oX8e">
      <int2:state int2:value="Rejected" int2:type="spell"/>
      <int2:state int2:value="Rejected" int2:type="AugLoop_Text_Critique"/>
    </int2:textHash>
    <int2:textHash int2:hashCode="rdPHO+uejpxTnS" int2:id="BRwZkpMk">
      <int2:state int2:value="Rejected" int2:type="spell"/>
      <int2:state int2:value="Rejected" int2:type="AugLoop_Text_Critique"/>
    </int2:textHash>
    <int2:textHash int2:hashCode="cfr8Ti/B5H4jR2" int2:id="lxp4Bz5J">
      <int2:state int2:value="Rejected" int2:type="AugLoop_Text_Critique"/>
    </int2:textHash>
    <int2:textHash int2:hashCode="i6Mxx5f4U7xi4u" int2:id="0hgfKbHX">
      <int2:state int2:value="Rejected" int2:type="spell"/>
      <int2:state int2:value="Rejected" int2:type="AugLoop_Text_Critique"/>
    </int2:textHash>
    <int2:textHash int2:hashCode="MTXSyflN6BxLe3" int2:id="la8me0JF">
      <int2:state int2:value="Rejected" int2:type="AugLoop_Text_Critique"/>
    </int2:textHash>
    <int2:textHash int2:hashCode="Iswk26rYGq/6FO" int2:id="rqP0O5D4">
      <int2:state int2:value="Rejected" int2:type="AugLoop_Text_Critique"/>
    </int2:textHash>
    <int2:textHash int2:hashCode="K5Rt2ukN9Q9VM3" int2:id="ONaAssic">
      <int2:state int2:value="Rejected" int2:type="AugLoop_Text_Critique"/>
    </int2:textHash>
    <int2:textHash int2:hashCode="Ql/8FCLcTzJSi9" int2:id="sCLjeq2K">
      <int2:state int2:value="Rejected" int2:type="AugLoop_Text_Critique"/>
    </int2:textHash>
    <int2:textHash int2:hashCode="ORg3PPVVnFS1LH" int2:id="UQmo20C1">
      <int2:state int2:value="Rejected" int2:type="AugLoop_Text_Critique"/>
    </int2:textHash>
    <int2:textHash int2:hashCode="cCdE8lgUYfazXK" int2:id="GmV5YmYG">
      <int2:state int2:value="Rejected" int2:type="spell"/>
      <int2:state int2:value="Rejected" int2:type="AugLoop_Text_Critique"/>
    </int2:textHash>
    <int2:textHash int2:hashCode="Al37VQ6zbIOgQL" int2:id="vBjrxQzi">
      <int2:state int2:value="Rejected" int2:type="spell"/>
      <int2:state int2:value="Rejected" int2:type="AugLoop_Text_Critique"/>
    </int2:textHash>
    <int2:textHash int2:hashCode="fUTDPPmoKrm9Uw" int2:id="b11gTWKB">
      <int2:state int2:value="Rejected" int2:type="spell"/>
      <int2:state int2:value="Rejected" int2:type="AugLoop_Text_Critique"/>
    </int2:textHash>
    <int2:textHash int2:hashCode="05QPoiW7UxnYx9" int2:id="FsTTjnJN">
      <int2:state int2:value="Rejected" int2:type="spell"/>
      <int2:state int2:value="Rejected" int2:type="AugLoop_Text_Critique"/>
    </int2:textHash>
    <int2:textHash int2:hashCode="VZiZq2CxK7n+cG" int2:id="Xv4OVzt0">
      <int2:state int2:value="Rejected" int2:type="spell"/>
      <int2:state int2:value="Rejected" int2:type="AugLoop_Text_Critique"/>
    </int2:textHash>
    <int2:textHash int2:hashCode="IH5Sbk7ZRtEvkV" int2:id="lbo5REwK">
      <int2:state int2:value="Rejected" int2:type="spell"/>
      <int2:state int2:value="Rejected" int2:type="AugLoop_Text_Critique"/>
    </int2:textHash>
    <int2:textHash int2:hashCode="DokoypXPBYljh7" int2:id="D6kcC9eG">
      <int2:state int2:value="Rejected" int2:type="AugLoop_Text_Critique"/>
    </int2:textHash>
    <int2:textHash int2:hashCode="Naj+vgOywo00+0" int2:id="ZQ8Tte3w">
      <int2:state int2:value="Rejected" int2:type="AugLoop_Text_Critique"/>
    </int2:textHash>
    <int2:textHash int2:hashCode="Q6+vEdq6G19FhE" int2:id="6YwAEBXp">
      <int2:state int2:value="Rejected" int2:type="AugLoop_Text_Critique"/>
    </int2:textHash>
    <int2:textHash int2:hashCode="scaRLF4zfCPZ/Q" int2:id="ifbwcDsG">
      <int2:state int2:value="Rejected" int2:type="AugLoop_Text_Critique"/>
    </int2:textHash>
    <int2:textHash int2:hashCode="zDUY7vW6AK8Kcq" int2:id="4zhr1h4Y">
      <int2:state int2:value="Rejected" int2:type="AugLoop_Text_Critique"/>
    </int2:textHash>
    <int2:textHash int2:hashCode="tuI2ef8T0rZqU0" int2:id="xfnhoWZl">
      <int2:state int2:value="Rejected" int2:type="AugLoop_Text_Critique"/>
    </int2:textHash>
    <int2:textHash int2:hashCode="sq4I//so0txa+a" int2:id="bk5lIW8c">
      <int2:state int2:value="Rejected" int2:type="AugLoop_Text_Critique"/>
    </int2:textHash>
    <int2:textHash int2:hashCode="Ovo088+ah84nqa" int2:id="JZwMah4d">
      <int2:state int2:value="Rejected" int2:type="spell"/>
      <int2:state int2:value="Rejected" int2:type="AugLoop_Text_Critique"/>
    </int2:textHash>
    <int2:bookmark int2:bookmarkName="_Int_bezfAAwh" int2:invalidationBookmarkName="" int2:hashCode="2OlUrNY78PH+K/" int2:id="0pWlu2Tt">
      <int2:state int2:value="Rejected" int2:type="gram"/>
    </int2:bookmark>
    <int2:bookmark int2:bookmarkName="_Int_tCwK2edA" int2:invalidationBookmarkName="" int2:hashCode="UmHw4uX7E/2wFv" int2:id="eVJ3Lgq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17D0D"/>
    <w:multiLevelType w:val="multilevel"/>
    <w:tmpl w:val="887A1B6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A66647F"/>
    <w:multiLevelType w:val="multilevel"/>
    <w:tmpl w:val="53C8AD34"/>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F13FDE"/>
    <w:multiLevelType w:val="hybridMultilevel"/>
    <w:tmpl w:val="EEEC77C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203786"/>
    <w:multiLevelType w:val="multilevel"/>
    <w:tmpl w:val="9D3E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B469DF"/>
    <w:multiLevelType w:val="hybridMultilevel"/>
    <w:tmpl w:val="B8A29D2A"/>
    <w:lvl w:ilvl="0" w:tplc="DA0483AC">
      <w:start w:val="1"/>
      <w:numFmt w:val="decimal"/>
      <w:lvlText w:val="%1."/>
      <w:lvlJc w:val="left"/>
      <w:pPr>
        <w:ind w:left="1020" w:hanging="360"/>
      </w:pPr>
    </w:lvl>
    <w:lvl w:ilvl="1" w:tplc="F8441046">
      <w:start w:val="1"/>
      <w:numFmt w:val="decimal"/>
      <w:lvlText w:val="%2."/>
      <w:lvlJc w:val="left"/>
      <w:pPr>
        <w:ind w:left="1020" w:hanging="360"/>
      </w:pPr>
    </w:lvl>
    <w:lvl w:ilvl="2" w:tplc="CB8C433E">
      <w:start w:val="1"/>
      <w:numFmt w:val="decimal"/>
      <w:lvlText w:val="%3."/>
      <w:lvlJc w:val="left"/>
      <w:pPr>
        <w:ind w:left="1020" w:hanging="360"/>
      </w:pPr>
    </w:lvl>
    <w:lvl w:ilvl="3" w:tplc="FF18D0EE">
      <w:start w:val="1"/>
      <w:numFmt w:val="decimal"/>
      <w:lvlText w:val="%4."/>
      <w:lvlJc w:val="left"/>
      <w:pPr>
        <w:ind w:left="1020" w:hanging="360"/>
      </w:pPr>
    </w:lvl>
    <w:lvl w:ilvl="4" w:tplc="E33E4F28">
      <w:start w:val="1"/>
      <w:numFmt w:val="decimal"/>
      <w:lvlText w:val="%5."/>
      <w:lvlJc w:val="left"/>
      <w:pPr>
        <w:ind w:left="1020" w:hanging="360"/>
      </w:pPr>
    </w:lvl>
    <w:lvl w:ilvl="5" w:tplc="482E6A52">
      <w:start w:val="1"/>
      <w:numFmt w:val="decimal"/>
      <w:lvlText w:val="%6."/>
      <w:lvlJc w:val="left"/>
      <w:pPr>
        <w:ind w:left="1020" w:hanging="360"/>
      </w:pPr>
    </w:lvl>
    <w:lvl w:ilvl="6" w:tplc="44F0FDC4">
      <w:start w:val="1"/>
      <w:numFmt w:val="decimal"/>
      <w:lvlText w:val="%7."/>
      <w:lvlJc w:val="left"/>
      <w:pPr>
        <w:ind w:left="1020" w:hanging="360"/>
      </w:pPr>
    </w:lvl>
    <w:lvl w:ilvl="7" w:tplc="DCB0FDAC">
      <w:start w:val="1"/>
      <w:numFmt w:val="decimal"/>
      <w:lvlText w:val="%8."/>
      <w:lvlJc w:val="left"/>
      <w:pPr>
        <w:ind w:left="1020" w:hanging="360"/>
      </w:pPr>
    </w:lvl>
    <w:lvl w:ilvl="8" w:tplc="5EFC6CD8">
      <w:start w:val="1"/>
      <w:numFmt w:val="decimal"/>
      <w:lvlText w:val="%9."/>
      <w:lvlJc w:val="left"/>
      <w:pPr>
        <w:ind w:left="1020" w:hanging="360"/>
      </w:pPr>
    </w:lvl>
  </w:abstractNum>
  <w:abstractNum w:abstractNumId="5" w15:restartNumberingAfterBreak="0">
    <w:nsid w:val="45F6302A"/>
    <w:multiLevelType w:val="multilevel"/>
    <w:tmpl w:val="236C458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602819B0"/>
    <w:multiLevelType w:val="multilevel"/>
    <w:tmpl w:val="6A56CA1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50670DE"/>
    <w:multiLevelType w:val="hybridMultilevel"/>
    <w:tmpl w:val="A024F53C"/>
    <w:lvl w:ilvl="0" w:tplc="8B9C5274">
      <w:start w:val="1"/>
      <w:numFmt w:val="decimal"/>
      <w:lvlText w:val="%1."/>
      <w:lvlJc w:val="left"/>
      <w:pPr>
        <w:ind w:left="720" w:hanging="360"/>
      </w:pPr>
    </w:lvl>
    <w:lvl w:ilvl="1" w:tplc="B2E47D76">
      <w:start w:val="1"/>
      <w:numFmt w:val="decimal"/>
      <w:lvlText w:val="%2."/>
      <w:lvlJc w:val="left"/>
      <w:pPr>
        <w:ind w:left="720" w:hanging="360"/>
      </w:pPr>
    </w:lvl>
    <w:lvl w:ilvl="2" w:tplc="849234D0">
      <w:start w:val="1"/>
      <w:numFmt w:val="decimal"/>
      <w:lvlText w:val="%3."/>
      <w:lvlJc w:val="left"/>
      <w:pPr>
        <w:ind w:left="720" w:hanging="360"/>
      </w:pPr>
    </w:lvl>
    <w:lvl w:ilvl="3" w:tplc="7152E6C6">
      <w:start w:val="1"/>
      <w:numFmt w:val="decimal"/>
      <w:lvlText w:val="%4."/>
      <w:lvlJc w:val="left"/>
      <w:pPr>
        <w:ind w:left="720" w:hanging="360"/>
      </w:pPr>
    </w:lvl>
    <w:lvl w:ilvl="4" w:tplc="D7E637E8">
      <w:start w:val="1"/>
      <w:numFmt w:val="decimal"/>
      <w:lvlText w:val="%5."/>
      <w:lvlJc w:val="left"/>
      <w:pPr>
        <w:ind w:left="720" w:hanging="360"/>
      </w:pPr>
    </w:lvl>
    <w:lvl w:ilvl="5" w:tplc="12580630">
      <w:start w:val="1"/>
      <w:numFmt w:val="decimal"/>
      <w:lvlText w:val="%6."/>
      <w:lvlJc w:val="left"/>
      <w:pPr>
        <w:ind w:left="720" w:hanging="360"/>
      </w:pPr>
    </w:lvl>
    <w:lvl w:ilvl="6" w:tplc="D6CAAACE">
      <w:start w:val="1"/>
      <w:numFmt w:val="decimal"/>
      <w:lvlText w:val="%7."/>
      <w:lvlJc w:val="left"/>
      <w:pPr>
        <w:ind w:left="720" w:hanging="360"/>
      </w:pPr>
    </w:lvl>
    <w:lvl w:ilvl="7" w:tplc="3ABA3C78">
      <w:start w:val="1"/>
      <w:numFmt w:val="decimal"/>
      <w:lvlText w:val="%8."/>
      <w:lvlJc w:val="left"/>
      <w:pPr>
        <w:ind w:left="720" w:hanging="360"/>
      </w:pPr>
    </w:lvl>
    <w:lvl w:ilvl="8" w:tplc="4AEE07AC">
      <w:start w:val="1"/>
      <w:numFmt w:val="decimal"/>
      <w:lvlText w:val="%9."/>
      <w:lvlJc w:val="left"/>
      <w:pPr>
        <w:ind w:left="720" w:hanging="360"/>
      </w:pPr>
    </w:lvl>
  </w:abstractNum>
  <w:abstractNum w:abstractNumId="8" w15:restartNumberingAfterBreak="0">
    <w:nsid w:val="6B7534F3"/>
    <w:multiLevelType w:val="multilevel"/>
    <w:tmpl w:val="FD7C1A7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B534A1"/>
    <w:multiLevelType w:val="hybridMultilevel"/>
    <w:tmpl w:val="6CBA9C48"/>
    <w:lvl w:ilvl="0" w:tplc="54688A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12047812">
    <w:abstractNumId w:val="8"/>
  </w:num>
  <w:num w:numId="2" w16cid:durableId="1120807287">
    <w:abstractNumId w:val="1"/>
  </w:num>
  <w:num w:numId="3" w16cid:durableId="1988170564">
    <w:abstractNumId w:val="6"/>
  </w:num>
  <w:num w:numId="4" w16cid:durableId="739140018">
    <w:abstractNumId w:val="4"/>
  </w:num>
  <w:num w:numId="5" w16cid:durableId="1495994446">
    <w:abstractNumId w:val="7"/>
  </w:num>
  <w:num w:numId="6" w16cid:durableId="1818066559">
    <w:abstractNumId w:val="5"/>
  </w:num>
  <w:num w:numId="7" w16cid:durableId="999386012">
    <w:abstractNumId w:val="9"/>
  </w:num>
  <w:num w:numId="8" w16cid:durableId="1520386511">
    <w:abstractNumId w:val="0"/>
  </w:num>
  <w:num w:numId="9" w16cid:durableId="505678375">
    <w:abstractNumId w:val="3"/>
  </w:num>
  <w:num w:numId="10" w16cid:durableId="1637371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F0"/>
    <w:rsid w:val="00003581"/>
    <w:rsid w:val="0001553F"/>
    <w:rsid w:val="00021F03"/>
    <w:rsid w:val="00047C5F"/>
    <w:rsid w:val="00052BEF"/>
    <w:rsid w:val="00057671"/>
    <w:rsid w:val="000977CF"/>
    <w:rsid w:val="000A52E3"/>
    <w:rsid w:val="000B475A"/>
    <w:rsid w:val="000F120B"/>
    <w:rsid w:val="001015DC"/>
    <w:rsid w:val="00110875"/>
    <w:rsid w:val="00122227"/>
    <w:rsid w:val="00123BC7"/>
    <w:rsid w:val="00127C44"/>
    <w:rsid w:val="00136EB1"/>
    <w:rsid w:val="001544C3"/>
    <w:rsid w:val="0019689E"/>
    <w:rsid w:val="001A5957"/>
    <w:rsid w:val="001B776E"/>
    <w:rsid w:val="001C4529"/>
    <w:rsid w:val="001C5C80"/>
    <w:rsid w:val="001D5C52"/>
    <w:rsid w:val="001E438E"/>
    <w:rsid w:val="001F7366"/>
    <w:rsid w:val="00200F44"/>
    <w:rsid w:val="00211474"/>
    <w:rsid w:val="002118AF"/>
    <w:rsid w:val="0021C6EE"/>
    <w:rsid w:val="002251DE"/>
    <w:rsid w:val="00233A01"/>
    <w:rsid w:val="002618E8"/>
    <w:rsid w:val="00266033"/>
    <w:rsid w:val="002764D9"/>
    <w:rsid w:val="002B13D2"/>
    <w:rsid w:val="002E7556"/>
    <w:rsid w:val="00301322"/>
    <w:rsid w:val="003413FE"/>
    <w:rsid w:val="003436DD"/>
    <w:rsid w:val="00346936"/>
    <w:rsid w:val="00346B20"/>
    <w:rsid w:val="00363117"/>
    <w:rsid w:val="00366043"/>
    <w:rsid w:val="003818A7"/>
    <w:rsid w:val="00384D8B"/>
    <w:rsid w:val="003A72E3"/>
    <w:rsid w:val="003D073E"/>
    <w:rsid w:val="00411E53"/>
    <w:rsid w:val="004121B1"/>
    <w:rsid w:val="004306B9"/>
    <w:rsid w:val="004845DA"/>
    <w:rsid w:val="00495DBA"/>
    <w:rsid w:val="004A3386"/>
    <w:rsid w:val="004B0F7A"/>
    <w:rsid w:val="004C2676"/>
    <w:rsid w:val="004D3BB7"/>
    <w:rsid w:val="004E2B63"/>
    <w:rsid w:val="00521370"/>
    <w:rsid w:val="0052602A"/>
    <w:rsid w:val="00541DB1"/>
    <w:rsid w:val="005427A6"/>
    <w:rsid w:val="00554A7E"/>
    <w:rsid w:val="005550AA"/>
    <w:rsid w:val="005619F0"/>
    <w:rsid w:val="00562C82"/>
    <w:rsid w:val="0057555C"/>
    <w:rsid w:val="00597248"/>
    <w:rsid w:val="005C6DF3"/>
    <w:rsid w:val="005E4004"/>
    <w:rsid w:val="005F1CD1"/>
    <w:rsid w:val="005F251C"/>
    <w:rsid w:val="005F268D"/>
    <w:rsid w:val="00604DFA"/>
    <w:rsid w:val="00611F34"/>
    <w:rsid w:val="006A0FA1"/>
    <w:rsid w:val="006E6DC1"/>
    <w:rsid w:val="00700A3A"/>
    <w:rsid w:val="00706055"/>
    <w:rsid w:val="0070681C"/>
    <w:rsid w:val="00743F9B"/>
    <w:rsid w:val="00781AC4"/>
    <w:rsid w:val="007E60C8"/>
    <w:rsid w:val="00804941"/>
    <w:rsid w:val="008053E9"/>
    <w:rsid w:val="008129D1"/>
    <w:rsid w:val="0081704A"/>
    <w:rsid w:val="00830F6F"/>
    <w:rsid w:val="00841C15"/>
    <w:rsid w:val="00850781"/>
    <w:rsid w:val="00877D84"/>
    <w:rsid w:val="0089407B"/>
    <w:rsid w:val="00894BC7"/>
    <w:rsid w:val="00895B00"/>
    <w:rsid w:val="00897E8C"/>
    <w:rsid w:val="008C188B"/>
    <w:rsid w:val="008D1538"/>
    <w:rsid w:val="008E17C9"/>
    <w:rsid w:val="00900BF1"/>
    <w:rsid w:val="00903354"/>
    <w:rsid w:val="009102AF"/>
    <w:rsid w:val="00915D74"/>
    <w:rsid w:val="009178E8"/>
    <w:rsid w:val="00921408"/>
    <w:rsid w:val="00945D8C"/>
    <w:rsid w:val="00947974"/>
    <w:rsid w:val="009534F8"/>
    <w:rsid w:val="009659B4"/>
    <w:rsid w:val="00987961"/>
    <w:rsid w:val="009A0794"/>
    <w:rsid w:val="009B10A2"/>
    <w:rsid w:val="009B7A63"/>
    <w:rsid w:val="009C15FA"/>
    <w:rsid w:val="009C71D0"/>
    <w:rsid w:val="009D256B"/>
    <w:rsid w:val="009F173A"/>
    <w:rsid w:val="00A4136F"/>
    <w:rsid w:val="00A64273"/>
    <w:rsid w:val="00AF0584"/>
    <w:rsid w:val="00AF504E"/>
    <w:rsid w:val="00AF752E"/>
    <w:rsid w:val="00B1024F"/>
    <w:rsid w:val="00B15C69"/>
    <w:rsid w:val="00B331D8"/>
    <w:rsid w:val="00BA1E9B"/>
    <w:rsid w:val="00BD3644"/>
    <w:rsid w:val="00C21E86"/>
    <w:rsid w:val="00C54DF4"/>
    <w:rsid w:val="00C57DD1"/>
    <w:rsid w:val="00C627F3"/>
    <w:rsid w:val="00C64AA6"/>
    <w:rsid w:val="00C7345E"/>
    <w:rsid w:val="00CA3EC2"/>
    <w:rsid w:val="00CB5B39"/>
    <w:rsid w:val="00CC3E9B"/>
    <w:rsid w:val="00CE22E6"/>
    <w:rsid w:val="00CE6027"/>
    <w:rsid w:val="00D23B3F"/>
    <w:rsid w:val="00D95C24"/>
    <w:rsid w:val="00DA3C11"/>
    <w:rsid w:val="00DB4CF4"/>
    <w:rsid w:val="00DC70F0"/>
    <w:rsid w:val="00DF097E"/>
    <w:rsid w:val="00DF50AC"/>
    <w:rsid w:val="00E24775"/>
    <w:rsid w:val="00E37741"/>
    <w:rsid w:val="00E4019B"/>
    <w:rsid w:val="00E434F1"/>
    <w:rsid w:val="00E61460"/>
    <w:rsid w:val="00E61957"/>
    <w:rsid w:val="00E62A41"/>
    <w:rsid w:val="00EB3404"/>
    <w:rsid w:val="00EB3CA3"/>
    <w:rsid w:val="00EC0DBD"/>
    <w:rsid w:val="00ED161E"/>
    <w:rsid w:val="00EE2941"/>
    <w:rsid w:val="00F02C0B"/>
    <w:rsid w:val="00F03A87"/>
    <w:rsid w:val="00F2770F"/>
    <w:rsid w:val="00F33FEA"/>
    <w:rsid w:val="00F64540"/>
    <w:rsid w:val="00F71C30"/>
    <w:rsid w:val="00FA3A99"/>
    <w:rsid w:val="00FD6829"/>
    <w:rsid w:val="00FE4DC3"/>
    <w:rsid w:val="011518E2"/>
    <w:rsid w:val="014638D5"/>
    <w:rsid w:val="02576B53"/>
    <w:rsid w:val="02C33822"/>
    <w:rsid w:val="03D9DEFA"/>
    <w:rsid w:val="0414FC98"/>
    <w:rsid w:val="0466B7BF"/>
    <w:rsid w:val="058757E8"/>
    <w:rsid w:val="05CA64C6"/>
    <w:rsid w:val="06623EFE"/>
    <w:rsid w:val="066E4FC7"/>
    <w:rsid w:val="08B4C755"/>
    <w:rsid w:val="0980EB73"/>
    <w:rsid w:val="0A1CD922"/>
    <w:rsid w:val="0AA2C2A4"/>
    <w:rsid w:val="0C33D2ED"/>
    <w:rsid w:val="0C49E4F6"/>
    <w:rsid w:val="0C7C7611"/>
    <w:rsid w:val="0D00DD3C"/>
    <w:rsid w:val="0D01A1AE"/>
    <w:rsid w:val="0ECCC74D"/>
    <w:rsid w:val="0F8C47C4"/>
    <w:rsid w:val="0F9C041D"/>
    <w:rsid w:val="11AEE43B"/>
    <w:rsid w:val="12A2710D"/>
    <w:rsid w:val="12C96C8C"/>
    <w:rsid w:val="167AB354"/>
    <w:rsid w:val="16894AB9"/>
    <w:rsid w:val="17786190"/>
    <w:rsid w:val="17B47B0F"/>
    <w:rsid w:val="1883B46A"/>
    <w:rsid w:val="19BB0816"/>
    <w:rsid w:val="1C2C9753"/>
    <w:rsid w:val="1C2F7131"/>
    <w:rsid w:val="1D3DC78F"/>
    <w:rsid w:val="1E2E841F"/>
    <w:rsid w:val="1F6C2A78"/>
    <w:rsid w:val="1F88C669"/>
    <w:rsid w:val="1FB53DEC"/>
    <w:rsid w:val="20F97D39"/>
    <w:rsid w:val="212E0A65"/>
    <w:rsid w:val="2252630D"/>
    <w:rsid w:val="225F61D8"/>
    <w:rsid w:val="2374495C"/>
    <w:rsid w:val="24737108"/>
    <w:rsid w:val="256D1ACD"/>
    <w:rsid w:val="25E76963"/>
    <w:rsid w:val="25EC12CC"/>
    <w:rsid w:val="271AC011"/>
    <w:rsid w:val="29E91185"/>
    <w:rsid w:val="2A0954A2"/>
    <w:rsid w:val="2A42F34E"/>
    <w:rsid w:val="2BEE6E0A"/>
    <w:rsid w:val="2C207B57"/>
    <w:rsid w:val="2D5E6F0C"/>
    <w:rsid w:val="2D8988F8"/>
    <w:rsid w:val="2FB62B7F"/>
    <w:rsid w:val="320622D4"/>
    <w:rsid w:val="32354374"/>
    <w:rsid w:val="324A89A3"/>
    <w:rsid w:val="3284D386"/>
    <w:rsid w:val="33142BB2"/>
    <w:rsid w:val="34226683"/>
    <w:rsid w:val="34525F94"/>
    <w:rsid w:val="3510E37A"/>
    <w:rsid w:val="37835D64"/>
    <w:rsid w:val="39CFC2C0"/>
    <w:rsid w:val="3AB778BC"/>
    <w:rsid w:val="3AFA1B5E"/>
    <w:rsid w:val="3DB2E016"/>
    <w:rsid w:val="3E8B3B9E"/>
    <w:rsid w:val="4042976D"/>
    <w:rsid w:val="410C910B"/>
    <w:rsid w:val="414811CA"/>
    <w:rsid w:val="41FC62A5"/>
    <w:rsid w:val="42048066"/>
    <w:rsid w:val="434BEEA9"/>
    <w:rsid w:val="43752226"/>
    <w:rsid w:val="43BBFEB8"/>
    <w:rsid w:val="43C107B8"/>
    <w:rsid w:val="459EB923"/>
    <w:rsid w:val="462AFAAD"/>
    <w:rsid w:val="46BE1EDA"/>
    <w:rsid w:val="480C60DF"/>
    <w:rsid w:val="490CB7FB"/>
    <w:rsid w:val="49BAA7CF"/>
    <w:rsid w:val="4AB54486"/>
    <w:rsid w:val="4C1769A6"/>
    <w:rsid w:val="4CD2FB56"/>
    <w:rsid w:val="4D11F73D"/>
    <w:rsid w:val="4D6BA4C4"/>
    <w:rsid w:val="4D737633"/>
    <w:rsid w:val="4EECA715"/>
    <w:rsid w:val="4F24B70D"/>
    <w:rsid w:val="54A80D66"/>
    <w:rsid w:val="54B531B7"/>
    <w:rsid w:val="54F146A8"/>
    <w:rsid w:val="54FBDCDB"/>
    <w:rsid w:val="56D9388E"/>
    <w:rsid w:val="58C3E837"/>
    <w:rsid w:val="58CCE487"/>
    <w:rsid w:val="59B570F0"/>
    <w:rsid w:val="5AAEB6CB"/>
    <w:rsid w:val="5CD54CE5"/>
    <w:rsid w:val="5E0B2D5F"/>
    <w:rsid w:val="60D9FC2A"/>
    <w:rsid w:val="613972CF"/>
    <w:rsid w:val="616C934D"/>
    <w:rsid w:val="617D01D2"/>
    <w:rsid w:val="63D81473"/>
    <w:rsid w:val="65AC5539"/>
    <w:rsid w:val="66029DD1"/>
    <w:rsid w:val="666A4AEB"/>
    <w:rsid w:val="6730C292"/>
    <w:rsid w:val="68F55762"/>
    <w:rsid w:val="694A426A"/>
    <w:rsid w:val="6DAF6575"/>
    <w:rsid w:val="6E6C818C"/>
    <w:rsid w:val="6F7CB13D"/>
    <w:rsid w:val="6FA9157F"/>
    <w:rsid w:val="71CF92EB"/>
    <w:rsid w:val="73AB7AAF"/>
    <w:rsid w:val="73B9D27C"/>
    <w:rsid w:val="74324E90"/>
    <w:rsid w:val="7521FDAA"/>
    <w:rsid w:val="752F04B7"/>
    <w:rsid w:val="75A2A0DE"/>
    <w:rsid w:val="765A7490"/>
    <w:rsid w:val="77379F80"/>
    <w:rsid w:val="775892B9"/>
    <w:rsid w:val="77C86C01"/>
    <w:rsid w:val="789D4F1C"/>
    <w:rsid w:val="79C289D3"/>
    <w:rsid w:val="7A5A29EC"/>
    <w:rsid w:val="7D01D39C"/>
    <w:rsid w:val="7FA852CE"/>
    <w:rsid w:val="7FDE8206"/>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5C6E"/>
  <w15:docId w15:val="{02945C7B-72A8-40CD-8966-F127252B5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809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7809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8096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8096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8096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8096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096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096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096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link w:val="TtuloCar"/>
    <w:uiPriority w:val="10"/>
    <w:qFormat/>
    <w:rsid w:val="00780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78096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78096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78096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8096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8096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8096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096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096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0960"/>
    <w:rPr>
      <w:rFonts w:eastAsiaTheme="majorEastAsia" w:cstheme="majorBidi"/>
      <w:color w:val="272727" w:themeColor="text1" w:themeTint="D8"/>
    </w:rPr>
  </w:style>
  <w:style w:type="character" w:customStyle="1" w:styleId="TtuloCar">
    <w:name w:val="Título Car"/>
    <w:basedOn w:val="Fuentedeprrafopredeter"/>
    <w:link w:val="Ttulo"/>
    <w:uiPriority w:val="10"/>
    <w:rsid w:val="007809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78096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0960"/>
    <w:pPr>
      <w:spacing w:before="160"/>
      <w:jc w:val="center"/>
    </w:pPr>
    <w:rPr>
      <w:i/>
      <w:iCs/>
      <w:color w:val="404040" w:themeColor="text1" w:themeTint="BF"/>
    </w:rPr>
  </w:style>
  <w:style w:type="character" w:customStyle="1" w:styleId="CitaCar">
    <w:name w:val="Cita Car"/>
    <w:basedOn w:val="Fuentedeprrafopredeter"/>
    <w:link w:val="Cita"/>
    <w:uiPriority w:val="29"/>
    <w:rsid w:val="00780960"/>
    <w:rPr>
      <w:i/>
      <w:iCs/>
      <w:color w:val="404040" w:themeColor="text1" w:themeTint="BF"/>
    </w:rPr>
  </w:style>
  <w:style w:type="paragraph" w:styleId="Prrafodelista">
    <w:name w:val="List Paragraph"/>
    <w:basedOn w:val="Normal"/>
    <w:uiPriority w:val="34"/>
    <w:qFormat/>
    <w:rsid w:val="00780960"/>
    <w:pPr>
      <w:ind w:left="720"/>
      <w:contextualSpacing/>
    </w:pPr>
  </w:style>
  <w:style w:type="character" w:styleId="nfasisintenso">
    <w:name w:val="Intense Emphasis"/>
    <w:basedOn w:val="Fuentedeprrafopredeter"/>
    <w:uiPriority w:val="21"/>
    <w:qFormat/>
    <w:rsid w:val="00780960"/>
    <w:rPr>
      <w:i/>
      <w:iCs/>
      <w:color w:val="0F4761" w:themeColor="accent1" w:themeShade="BF"/>
    </w:rPr>
  </w:style>
  <w:style w:type="paragraph" w:styleId="Citadestacada">
    <w:name w:val="Intense Quote"/>
    <w:basedOn w:val="Normal"/>
    <w:next w:val="Normal"/>
    <w:link w:val="CitadestacadaCar"/>
    <w:uiPriority w:val="30"/>
    <w:qFormat/>
    <w:rsid w:val="007809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80960"/>
    <w:rPr>
      <w:i/>
      <w:iCs/>
      <w:color w:val="0F4761" w:themeColor="accent1" w:themeShade="BF"/>
    </w:rPr>
  </w:style>
  <w:style w:type="character" w:styleId="Referenciaintensa">
    <w:name w:val="Intense Reference"/>
    <w:basedOn w:val="Fuentedeprrafopredeter"/>
    <w:uiPriority w:val="32"/>
    <w:qFormat/>
    <w:rsid w:val="00780960"/>
    <w:rPr>
      <w:b/>
      <w:bCs/>
      <w:smallCaps/>
      <w:color w:val="0F4761" w:themeColor="accent1" w:themeShade="BF"/>
      <w:spacing w:val="5"/>
    </w:rPr>
  </w:style>
  <w:style w:type="paragraph" w:styleId="NormalWeb">
    <w:name w:val="Normal (Web)"/>
    <w:basedOn w:val="Normal"/>
    <w:uiPriority w:val="99"/>
    <w:semiHidden/>
    <w:unhideWhenUsed/>
    <w:rsid w:val="00772447"/>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772447"/>
    <w:rPr>
      <w:color w:val="0000FF"/>
      <w:u w:val="single"/>
    </w:rPr>
  </w:style>
  <w:style w:type="character" w:styleId="nfasis">
    <w:name w:val="Emphasis"/>
    <w:basedOn w:val="Fuentedeprrafopredeter"/>
    <w:uiPriority w:val="20"/>
    <w:qFormat/>
    <w:rsid w:val="00772447"/>
    <w:rPr>
      <w:i/>
      <w:iCs/>
    </w:rPr>
  </w:style>
  <w:style w:type="paragraph" w:customStyle="1" w:styleId="p">
    <w:name w:val="p"/>
    <w:basedOn w:val="Normal"/>
    <w:rsid w:val="00772447"/>
    <w:pPr>
      <w:spacing w:before="100" w:beforeAutospacing="1" w:after="100" w:afterAutospacing="1" w:line="240" w:lineRule="auto"/>
    </w:pPr>
    <w:rPr>
      <w:rFonts w:ascii="Times New Roman" w:eastAsia="Times New Roman" w:hAnsi="Times New Roman" w:cs="Times New Roman"/>
      <w:sz w:val="24"/>
      <w:szCs w:val="24"/>
    </w:rPr>
  </w:style>
  <w:style w:type="paragraph" w:styleId="TtuloTDC">
    <w:name w:val="TOC Heading"/>
    <w:basedOn w:val="Ttulo1"/>
    <w:next w:val="Normal"/>
    <w:uiPriority w:val="39"/>
    <w:unhideWhenUsed/>
    <w:qFormat/>
    <w:rsid w:val="00DE4568"/>
    <w:pPr>
      <w:spacing w:before="240" w:after="0"/>
      <w:outlineLvl w:val="9"/>
    </w:pPr>
    <w:rPr>
      <w:sz w:val="32"/>
      <w:szCs w:val="32"/>
    </w:rPr>
  </w:style>
  <w:style w:type="character" w:styleId="Fuerte">
    <w:name w:val="Strong"/>
    <w:basedOn w:val="Fuentedeprrafopredeter"/>
    <w:uiPriority w:val="22"/>
    <w:qFormat/>
    <w:rsid w:val="00633A84"/>
    <w:rPr>
      <w:b/>
      <w:bCs/>
    </w:rPr>
  </w:style>
  <w:style w:type="character" w:customStyle="1" w:styleId="xref">
    <w:name w:val="xref"/>
    <w:basedOn w:val="Fuentedeprrafopredeter"/>
    <w:rsid w:val="00633A84"/>
  </w:style>
  <w:style w:type="character" w:customStyle="1" w:styleId="label">
    <w:name w:val="label"/>
    <w:basedOn w:val="Fuentedeprrafopredeter"/>
    <w:rsid w:val="00633A84"/>
  </w:style>
  <w:style w:type="character" w:customStyle="1" w:styleId="capture-id">
    <w:name w:val="capture-id"/>
    <w:basedOn w:val="Fuentedeprrafopredeter"/>
    <w:rsid w:val="00633A84"/>
  </w:style>
  <w:style w:type="paragraph" w:styleId="TDC1">
    <w:name w:val="toc 1"/>
    <w:basedOn w:val="Normal"/>
    <w:next w:val="Normal"/>
    <w:autoRedefine/>
    <w:uiPriority w:val="39"/>
    <w:unhideWhenUsed/>
    <w:rsid w:val="00C017F8"/>
    <w:pPr>
      <w:spacing w:after="100"/>
    </w:pPr>
  </w:style>
  <w:style w:type="paragraph" w:styleId="TDC2">
    <w:name w:val="toc 2"/>
    <w:basedOn w:val="Normal"/>
    <w:next w:val="Normal"/>
    <w:autoRedefine/>
    <w:uiPriority w:val="39"/>
    <w:unhideWhenUsed/>
    <w:rsid w:val="00C017F8"/>
    <w:pPr>
      <w:spacing w:after="100"/>
      <w:ind w:left="220"/>
    </w:pPr>
  </w:style>
  <w:style w:type="character" w:styleId="Refdecomentario">
    <w:name w:val="annotation reference"/>
    <w:basedOn w:val="Fuentedeprrafopredeter"/>
    <w:uiPriority w:val="99"/>
    <w:semiHidden/>
    <w:unhideWhenUsed/>
    <w:rsid w:val="00021F03"/>
    <w:rPr>
      <w:sz w:val="16"/>
      <w:szCs w:val="16"/>
    </w:rPr>
  </w:style>
  <w:style w:type="paragraph" w:styleId="Textocomentario">
    <w:name w:val="annotation text"/>
    <w:basedOn w:val="Normal"/>
    <w:link w:val="TextocomentarioCar"/>
    <w:uiPriority w:val="99"/>
    <w:unhideWhenUsed/>
    <w:rsid w:val="00021F03"/>
    <w:pPr>
      <w:spacing w:line="240" w:lineRule="auto"/>
    </w:pPr>
    <w:rPr>
      <w:sz w:val="20"/>
      <w:szCs w:val="20"/>
    </w:rPr>
  </w:style>
  <w:style w:type="character" w:customStyle="1" w:styleId="TextocomentarioCar">
    <w:name w:val="Texto comentario Car"/>
    <w:basedOn w:val="Fuentedeprrafopredeter"/>
    <w:link w:val="Textocomentario"/>
    <w:uiPriority w:val="99"/>
    <w:rsid w:val="00021F03"/>
    <w:rPr>
      <w:sz w:val="20"/>
      <w:szCs w:val="20"/>
    </w:rPr>
  </w:style>
  <w:style w:type="paragraph" w:styleId="Asuntodelcomentario">
    <w:name w:val="annotation subject"/>
    <w:basedOn w:val="Textocomentario"/>
    <w:next w:val="Textocomentario"/>
    <w:link w:val="AsuntodelcomentarioCar"/>
    <w:uiPriority w:val="99"/>
    <w:semiHidden/>
    <w:unhideWhenUsed/>
    <w:rsid w:val="00021F03"/>
    <w:rPr>
      <w:b/>
      <w:bCs/>
    </w:rPr>
  </w:style>
  <w:style w:type="character" w:customStyle="1" w:styleId="AsuntodelcomentarioCar">
    <w:name w:val="Asunto del comentario Car"/>
    <w:basedOn w:val="TextocomentarioCar"/>
    <w:link w:val="Asuntodelcomentario"/>
    <w:uiPriority w:val="99"/>
    <w:semiHidden/>
    <w:rsid w:val="00021F03"/>
    <w:rPr>
      <w:b/>
      <w:bCs/>
      <w:sz w:val="20"/>
      <w:szCs w:val="20"/>
    </w:rPr>
  </w:style>
  <w:style w:type="character" w:customStyle="1" w:styleId="overflow-hidden">
    <w:name w:val="overflow-hidden"/>
    <w:basedOn w:val="Fuentedeprrafopredeter"/>
    <w:rsid w:val="00384D8B"/>
  </w:style>
  <w:style w:type="paragraph" w:styleId="Encabezado">
    <w:name w:val="header"/>
    <w:basedOn w:val="Normal"/>
    <w:link w:val="EncabezadoCar"/>
    <w:uiPriority w:val="99"/>
    <w:unhideWhenUsed/>
    <w:rsid w:val="002764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64D9"/>
  </w:style>
  <w:style w:type="paragraph" w:styleId="Piedepgina">
    <w:name w:val="footer"/>
    <w:basedOn w:val="Normal"/>
    <w:link w:val="PiedepginaCar"/>
    <w:uiPriority w:val="99"/>
    <w:unhideWhenUsed/>
    <w:rsid w:val="002764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64D9"/>
  </w:style>
  <w:style w:type="paragraph" w:styleId="Textodeglobo">
    <w:name w:val="Balloon Text"/>
    <w:basedOn w:val="Normal"/>
    <w:link w:val="TextodegloboCar"/>
    <w:uiPriority w:val="99"/>
    <w:semiHidden/>
    <w:unhideWhenUsed/>
    <w:rsid w:val="00D23B3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23B3F"/>
    <w:rPr>
      <w:rFonts w:ascii="Segoe UI" w:hAnsi="Segoe UI" w:cs="Segoe UI"/>
      <w:sz w:val="18"/>
      <w:szCs w:val="18"/>
    </w:rPr>
  </w:style>
  <w:style w:type="table" w:styleId="Tablaconcuadrcula">
    <w:name w:val="Table Grid"/>
    <w:basedOn w:val="Tablanormal"/>
    <w:uiPriority w:val="39"/>
    <w:rsid w:val="009B7A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3">
    <w:name w:val="toc 3"/>
    <w:basedOn w:val="Normal"/>
    <w:next w:val="Normal"/>
    <w:autoRedefine/>
    <w:uiPriority w:val="39"/>
    <w:unhideWhenUsed/>
    <w:rsid w:val="005E4004"/>
    <w:pPr>
      <w:spacing w:after="100"/>
      <w:ind w:left="440"/>
    </w:pPr>
  </w:style>
  <w:style w:type="character" w:styleId="Mencinsinresolver">
    <w:name w:val="Unresolved Mention"/>
    <w:basedOn w:val="Fuentedeprrafopredeter"/>
    <w:uiPriority w:val="99"/>
    <w:semiHidden/>
    <w:unhideWhenUsed/>
    <w:rsid w:val="00953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1078">
      <w:bodyDiv w:val="1"/>
      <w:marLeft w:val="0"/>
      <w:marRight w:val="0"/>
      <w:marTop w:val="0"/>
      <w:marBottom w:val="0"/>
      <w:divBdr>
        <w:top w:val="none" w:sz="0" w:space="0" w:color="auto"/>
        <w:left w:val="none" w:sz="0" w:space="0" w:color="auto"/>
        <w:bottom w:val="none" w:sz="0" w:space="0" w:color="auto"/>
        <w:right w:val="none" w:sz="0" w:space="0" w:color="auto"/>
      </w:divBdr>
    </w:div>
    <w:div w:id="303850945">
      <w:bodyDiv w:val="1"/>
      <w:marLeft w:val="0"/>
      <w:marRight w:val="0"/>
      <w:marTop w:val="0"/>
      <w:marBottom w:val="0"/>
      <w:divBdr>
        <w:top w:val="none" w:sz="0" w:space="0" w:color="auto"/>
        <w:left w:val="none" w:sz="0" w:space="0" w:color="auto"/>
        <w:bottom w:val="none" w:sz="0" w:space="0" w:color="auto"/>
        <w:right w:val="none" w:sz="0" w:space="0" w:color="auto"/>
      </w:divBdr>
    </w:div>
    <w:div w:id="626202132">
      <w:bodyDiv w:val="1"/>
      <w:marLeft w:val="0"/>
      <w:marRight w:val="0"/>
      <w:marTop w:val="0"/>
      <w:marBottom w:val="0"/>
      <w:divBdr>
        <w:top w:val="none" w:sz="0" w:space="0" w:color="auto"/>
        <w:left w:val="none" w:sz="0" w:space="0" w:color="auto"/>
        <w:bottom w:val="none" w:sz="0" w:space="0" w:color="auto"/>
        <w:right w:val="none" w:sz="0" w:space="0" w:color="auto"/>
      </w:divBdr>
    </w:div>
    <w:div w:id="787434480">
      <w:bodyDiv w:val="1"/>
      <w:marLeft w:val="0"/>
      <w:marRight w:val="0"/>
      <w:marTop w:val="0"/>
      <w:marBottom w:val="0"/>
      <w:divBdr>
        <w:top w:val="none" w:sz="0" w:space="0" w:color="auto"/>
        <w:left w:val="none" w:sz="0" w:space="0" w:color="auto"/>
        <w:bottom w:val="none" w:sz="0" w:space="0" w:color="auto"/>
        <w:right w:val="none" w:sz="0" w:space="0" w:color="auto"/>
      </w:divBdr>
    </w:div>
    <w:div w:id="840773106">
      <w:bodyDiv w:val="1"/>
      <w:marLeft w:val="0"/>
      <w:marRight w:val="0"/>
      <w:marTop w:val="0"/>
      <w:marBottom w:val="0"/>
      <w:divBdr>
        <w:top w:val="none" w:sz="0" w:space="0" w:color="auto"/>
        <w:left w:val="none" w:sz="0" w:space="0" w:color="auto"/>
        <w:bottom w:val="none" w:sz="0" w:space="0" w:color="auto"/>
        <w:right w:val="none" w:sz="0" w:space="0" w:color="auto"/>
      </w:divBdr>
      <w:divsChild>
        <w:div w:id="355541868">
          <w:marLeft w:val="0"/>
          <w:marRight w:val="0"/>
          <w:marTop w:val="0"/>
          <w:marBottom w:val="0"/>
          <w:divBdr>
            <w:top w:val="none" w:sz="0" w:space="0" w:color="auto"/>
            <w:left w:val="none" w:sz="0" w:space="0" w:color="auto"/>
            <w:bottom w:val="none" w:sz="0" w:space="0" w:color="auto"/>
            <w:right w:val="none" w:sz="0" w:space="0" w:color="auto"/>
          </w:divBdr>
          <w:divsChild>
            <w:div w:id="1968074790">
              <w:marLeft w:val="0"/>
              <w:marRight w:val="0"/>
              <w:marTop w:val="0"/>
              <w:marBottom w:val="0"/>
              <w:divBdr>
                <w:top w:val="none" w:sz="0" w:space="0" w:color="auto"/>
                <w:left w:val="none" w:sz="0" w:space="0" w:color="auto"/>
                <w:bottom w:val="none" w:sz="0" w:space="0" w:color="auto"/>
                <w:right w:val="none" w:sz="0" w:space="0" w:color="auto"/>
              </w:divBdr>
              <w:divsChild>
                <w:div w:id="409355735">
                  <w:marLeft w:val="0"/>
                  <w:marRight w:val="0"/>
                  <w:marTop w:val="0"/>
                  <w:marBottom w:val="0"/>
                  <w:divBdr>
                    <w:top w:val="none" w:sz="0" w:space="0" w:color="auto"/>
                    <w:left w:val="none" w:sz="0" w:space="0" w:color="auto"/>
                    <w:bottom w:val="none" w:sz="0" w:space="0" w:color="auto"/>
                    <w:right w:val="none" w:sz="0" w:space="0" w:color="auto"/>
                  </w:divBdr>
                  <w:divsChild>
                    <w:div w:id="6343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061149">
          <w:marLeft w:val="0"/>
          <w:marRight w:val="0"/>
          <w:marTop w:val="0"/>
          <w:marBottom w:val="0"/>
          <w:divBdr>
            <w:top w:val="none" w:sz="0" w:space="0" w:color="auto"/>
            <w:left w:val="none" w:sz="0" w:space="0" w:color="auto"/>
            <w:bottom w:val="none" w:sz="0" w:space="0" w:color="auto"/>
            <w:right w:val="none" w:sz="0" w:space="0" w:color="auto"/>
          </w:divBdr>
          <w:divsChild>
            <w:div w:id="813303378">
              <w:marLeft w:val="0"/>
              <w:marRight w:val="0"/>
              <w:marTop w:val="0"/>
              <w:marBottom w:val="0"/>
              <w:divBdr>
                <w:top w:val="none" w:sz="0" w:space="0" w:color="auto"/>
                <w:left w:val="none" w:sz="0" w:space="0" w:color="auto"/>
                <w:bottom w:val="none" w:sz="0" w:space="0" w:color="auto"/>
                <w:right w:val="none" w:sz="0" w:space="0" w:color="auto"/>
              </w:divBdr>
              <w:divsChild>
                <w:div w:id="649092901">
                  <w:marLeft w:val="0"/>
                  <w:marRight w:val="0"/>
                  <w:marTop w:val="0"/>
                  <w:marBottom w:val="0"/>
                  <w:divBdr>
                    <w:top w:val="none" w:sz="0" w:space="0" w:color="auto"/>
                    <w:left w:val="none" w:sz="0" w:space="0" w:color="auto"/>
                    <w:bottom w:val="none" w:sz="0" w:space="0" w:color="auto"/>
                    <w:right w:val="none" w:sz="0" w:space="0" w:color="auto"/>
                  </w:divBdr>
                  <w:divsChild>
                    <w:div w:id="18226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852695">
      <w:bodyDiv w:val="1"/>
      <w:marLeft w:val="0"/>
      <w:marRight w:val="0"/>
      <w:marTop w:val="0"/>
      <w:marBottom w:val="0"/>
      <w:divBdr>
        <w:top w:val="none" w:sz="0" w:space="0" w:color="auto"/>
        <w:left w:val="none" w:sz="0" w:space="0" w:color="auto"/>
        <w:bottom w:val="none" w:sz="0" w:space="0" w:color="auto"/>
        <w:right w:val="none" w:sz="0" w:space="0" w:color="auto"/>
      </w:divBdr>
    </w:div>
    <w:div w:id="1241017876">
      <w:bodyDiv w:val="1"/>
      <w:marLeft w:val="0"/>
      <w:marRight w:val="0"/>
      <w:marTop w:val="0"/>
      <w:marBottom w:val="0"/>
      <w:divBdr>
        <w:top w:val="none" w:sz="0" w:space="0" w:color="auto"/>
        <w:left w:val="none" w:sz="0" w:space="0" w:color="auto"/>
        <w:bottom w:val="none" w:sz="0" w:space="0" w:color="auto"/>
        <w:right w:val="none" w:sz="0" w:space="0" w:color="auto"/>
      </w:divBdr>
    </w:div>
    <w:div w:id="1337416055">
      <w:bodyDiv w:val="1"/>
      <w:marLeft w:val="0"/>
      <w:marRight w:val="0"/>
      <w:marTop w:val="0"/>
      <w:marBottom w:val="0"/>
      <w:divBdr>
        <w:top w:val="none" w:sz="0" w:space="0" w:color="auto"/>
        <w:left w:val="none" w:sz="0" w:space="0" w:color="auto"/>
        <w:bottom w:val="none" w:sz="0" w:space="0" w:color="auto"/>
        <w:right w:val="none" w:sz="0" w:space="0" w:color="auto"/>
      </w:divBdr>
    </w:div>
    <w:div w:id="1562792628">
      <w:bodyDiv w:val="1"/>
      <w:marLeft w:val="0"/>
      <w:marRight w:val="0"/>
      <w:marTop w:val="0"/>
      <w:marBottom w:val="0"/>
      <w:divBdr>
        <w:top w:val="none" w:sz="0" w:space="0" w:color="auto"/>
        <w:left w:val="none" w:sz="0" w:space="0" w:color="auto"/>
        <w:bottom w:val="none" w:sz="0" w:space="0" w:color="auto"/>
        <w:right w:val="none" w:sz="0" w:space="0" w:color="auto"/>
      </w:divBdr>
      <w:divsChild>
        <w:div w:id="512888230">
          <w:marLeft w:val="0"/>
          <w:marRight w:val="0"/>
          <w:marTop w:val="0"/>
          <w:marBottom w:val="0"/>
          <w:divBdr>
            <w:top w:val="none" w:sz="0" w:space="0" w:color="auto"/>
            <w:left w:val="none" w:sz="0" w:space="0" w:color="auto"/>
            <w:bottom w:val="none" w:sz="0" w:space="0" w:color="auto"/>
            <w:right w:val="none" w:sz="0" w:space="0" w:color="auto"/>
          </w:divBdr>
          <w:divsChild>
            <w:div w:id="1007559153">
              <w:marLeft w:val="0"/>
              <w:marRight w:val="0"/>
              <w:marTop w:val="0"/>
              <w:marBottom w:val="0"/>
              <w:divBdr>
                <w:top w:val="none" w:sz="0" w:space="0" w:color="auto"/>
                <w:left w:val="none" w:sz="0" w:space="0" w:color="auto"/>
                <w:bottom w:val="none" w:sz="0" w:space="0" w:color="auto"/>
                <w:right w:val="none" w:sz="0" w:space="0" w:color="auto"/>
              </w:divBdr>
              <w:divsChild>
                <w:div w:id="151066750">
                  <w:marLeft w:val="0"/>
                  <w:marRight w:val="0"/>
                  <w:marTop w:val="0"/>
                  <w:marBottom w:val="0"/>
                  <w:divBdr>
                    <w:top w:val="none" w:sz="0" w:space="0" w:color="auto"/>
                    <w:left w:val="none" w:sz="0" w:space="0" w:color="auto"/>
                    <w:bottom w:val="none" w:sz="0" w:space="0" w:color="auto"/>
                    <w:right w:val="none" w:sz="0" w:space="0" w:color="auto"/>
                  </w:divBdr>
                  <w:divsChild>
                    <w:div w:id="7079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11077">
          <w:marLeft w:val="0"/>
          <w:marRight w:val="0"/>
          <w:marTop w:val="0"/>
          <w:marBottom w:val="0"/>
          <w:divBdr>
            <w:top w:val="none" w:sz="0" w:space="0" w:color="auto"/>
            <w:left w:val="none" w:sz="0" w:space="0" w:color="auto"/>
            <w:bottom w:val="none" w:sz="0" w:space="0" w:color="auto"/>
            <w:right w:val="none" w:sz="0" w:space="0" w:color="auto"/>
          </w:divBdr>
          <w:divsChild>
            <w:div w:id="886264507">
              <w:marLeft w:val="0"/>
              <w:marRight w:val="0"/>
              <w:marTop w:val="0"/>
              <w:marBottom w:val="0"/>
              <w:divBdr>
                <w:top w:val="none" w:sz="0" w:space="0" w:color="auto"/>
                <w:left w:val="none" w:sz="0" w:space="0" w:color="auto"/>
                <w:bottom w:val="none" w:sz="0" w:space="0" w:color="auto"/>
                <w:right w:val="none" w:sz="0" w:space="0" w:color="auto"/>
              </w:divBdr>
              <w:divsChild>
                <w:div w:id="1333293219">
                  <w:marLeft w:val="0"/>
                  <w:marRight w:val="0"/>
                  <w:marTop w:val="0"/>
                  <w:marBottom w:val="0"/>
                  <w:divBdr>
                    <w:top w:val="none" w:sz="0" w:space="0" w:color="auto"/>
                    <w:left w:val="none" w:sz="0" w:space="0" w:color="auto"/>
                    <w:bottom w:val="none" w:sz="0" w:space="0" w:color="auto"/>
                    <w:right w:val="none" w:sz="0" w:space="0" w:color="auto"/>
                  </w:divBdr>
                  <w:divsChild>
                    <w:div w:id="87608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778012">
      <w:bodyDiv w:val="1"/>
      <w:marLeft w:val="0"/>
      <w:marRight w:val="0"/>
      <w:marTop w:val="0"/>
      <w:marBottom w:val="0"/>
      <w:divBdr>
        <w:top w:val="none" w:sz="0" w:space="0" w:color="auto"/>
        <w:left w:val="none" w:sz="0" w:space="0" w:color="auto"/>
        <w:bottom w:val="none" w:sz="0" w:space="0" w:color="auto"/>
        <w:right w:val="none" w:sz="0" w:space="0" w:color="auto"/>
      </w:divBdr>
    </w:div>
    <w:div w:id="1809785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44/JAVERIANA.VJ69.CDPR" TargetMode="External"/><Relationship Id="rId18" Type="http://schemas.openxmlformats.org/officeDocument/2006/relationships/hyperlink" Target="https://doi.org/10.18601/01210483.v43n114.05" TargetMode="External"/><Relationship Id="rId26" Type="http://schemas.openxmlformats.org/officeDocument/2006/relationships/hyperlink" Target="https://dialnet.unirioja.es/servlet/articulo?codigo=8528348" TargetMode="External"/><Relationship Id="rId39" Type="http://schemas.openxmlformats.org/officeDocument/2006/relationships/hyperlink" Target="http://www.scielo.org.co/scielo.php?script=sci_arttext&amp;pid=S0121-47052019000200003" TargetMode="External"/><Relationship Id="rId21" Type="http://schemas.openxmlformats.org/officeDocument/2006/relationships/hyperlink" Target="https://revistas.unlp.edu.ar/Redic/article/view/10583" TargetMode="External"/><Relationship Id="rId34" Type="http://schemas.openxmlformats.org/officeDocument/2006/relationships/hyperlink" Target="https://doi.org/10.17081/just.27.41.5013" TargetMode="External"/><Relationship Id="rId42" Type="http://schemas.openxmlformats.org/officeDocument/2006/relationships/hyperlink" Target="https://doi.org/10.26620/uniminuto.inclusion.8.2.2021.26-41" TargetMode="External"/><Relationship Id="rId47" Type="http://schemas.openxmlformats.org/officeDocument/2006/relationships/hyperlink" Target="https://doi.org/10.15332/2422409x.4369" TargetMode="External"/><Relationship Id="rId50" Type="http://schemas.openxmlformats.org/officeDocument/2006/relationships/hyperlink" Target="https://dialnet.unirioja.es/servlet/tesis?codigo=148748" TargetMode="External"/><Relationship Id="rId55" Type="http://schemas.openxmlformats.org/officeDocument/2006/relationships/hyperlink" Target="https://www.icip.cat/es/publication/la-diaspora-colombiana-en-europa-y-su-relacion-con-el-conflicto-armado-en-colombia/"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fondoeditorial.iep.org.pe/producto/derechos-feministas-y-humanos-en-el-peru-decolonizando-la-justicia-transicional/" TargetMode="External"/><Relationship Id="rId29" Type="http://schemas.openxmlformats.org/officeDocument/2006/relationships/hyperlink" Target="https://www.scielo.br/j/cpa/a/jdSWFhLkZmT9jhFMjFrDw6Q/?lang=es" TargetMode="External"/><Relationship Id="rId11" Type="http://schemas.openxmlformats.org/officeDocument/2006/relationships/hyperlink" Target="https://doi.org/10.21830/19006586.621" TargetMode="External"/><Relationship Id="rId24" Type="http://schemas.openxmlformats.org/officeDocument/2006/relationships/hyperlink" Target="https://doi.org/10.18046/recs.i31.3508" TargetMode="External"/><Relationship Id="rId32" Type="http://schemas.openxmlformats.org/officeDocument/2006/relationships/hyperlink" Target="https://doi.org/10.7440/res79.2022.08" TargetMode="External"/><Relationship Id="rId37" Type="http://schemas.openxmlformats.org/officeDocument/2006/relationships/hyperlink" Target="https://doi.org/10.11144/Javeriana.upsy21.mism" TargetMode="External"/><Relationship Id="rId40" Type="http://schemas.openxmlformats.org/officeDocument/2006/relationships/hyperlink" Target="https://revistas.unbosque.edu.co/index.php/RSB/article/view/3053/2434" TargetMode="External"/><Relationship Id="rId45" Type="http://schemas.openxmlformats.org/officeDocument/2006/relationships/hyperlink" Target="https://www.revistamisionjuridica.com/mecanismos-judiciales-para-garantizar-el-derecho-a-la-justicia-una-reflexion-sobre-el-sistema-integral-de-justicia-transicional-en-colombia/" TargetMode="External"/><Relationship Id="rId53" Type="http://schemas.openxmlformats.org/officeDocument/2006/relationships/hyperlink" Target="http://www.scielo.org.co/scielo.php?script=sci_arttext&amp;pid=S2011-03242021000100205" TargetMode="External"/><Relationship Id="rId58" Type="http://schemas.openxmlformats.org/officeDocument/2006/relationships/hyperlink" Target="https://www.redalyc.org/journal/280/28066593024/html/" TargetMode="External"/><Relationship Id="rId5" Type="http://schemas.openxmlformats.org/officeDocument/2006/relationships/settings" Target="settings.xml"/><Relationship Id="rId61" Type="http://schemas.openxmlformats.org/officeDocument/2006/relationships/header" Target="header1.xml"/><Relationship Id="rId19" Type="http://schemas.openxmlformats.org/officeDocument/2006/relationships/hyperlink" Target="https://doi.org/10.53794/ro.v3i3.313" TargetMode="External"/><Relationship Id="rId14" Type="http://schemas.openxmlformats.org/officeDocument/2006/relationships/hyperlink" Target="https://horizonteenfermeria.uc.cl/index.php/RHE/article/view/Horiz_Enferm.31.3.268-290" TargetMode="External"/><Relationship Id="rId22" Type="http://schemas.openxmlformats.org/officeDocument/2006/relationships/hyperlink" Target="https://www.redalyc.org/journal/4959/495964701004/html/" TargetMode="External"/><Relationship Id="rId27" Type="http://schemas.openxmlformats.org/officeDocument/2006/relationships/hyperlink" Target="https://doi.org/10.22201/cieg.2594066xe.2020.60.04" TargetMode="External"/><Relationship Id="rId30" Type="http://schemas.openxmlformats.org/officeDocument/2006/relationships/hyperlink" Target="https://bonga.unisimon.edu.co/server/api/core/bitstreams/0bfdc9de-e27d-4afe-880b-90871641ae8b/content" TargetMode="External"/><Relationship Id="rId35" Type="http://schemas.openxmlformats.org/officeDocument/2006/relationships/hyperlink" Target="https://www.redalyc.org/journal/4978/497866589003/html/" TargetMode="External"/><Relationship Id="rId43" Type="http://schemas.openxmlformats.org/officeDocument/2006/relationships/hyperlink" Target="https://revistas.unicartagena.edu.co/index.php/marioalariodfilippo/article/view/3622" TargetMode="External"/><Relationship Id="rId48" Type="http://schemas.openxmlformats.org/officeDocument/2006/relationships/hyperlink" Target="https://doi.org/10.62155/eirene.v7i12.229" TargetMode="External"/><Relationship Id="rId56" Type="http://schemas.openxmlformats.org/officeDocument/2006/relationships/hyperlink" Target="https://produccioncientifica.usal.es/documentos/6142af6827af2147d1445756" TargetMode="External"/><Relationship Id="rId64" Type="http://schemas.microsoft.com/office/2020/10/relationships/intelligence" Target="intelligence2.xml"/><Relationship Id="rId8" Type="http://schemas.openxmlformats.org/officeDocument/2006/relationships/endnotes" Target="endnotes.xml"/><Relationship Id="rId51" Type="http://schemas.openxmlformats.org/officeDocument/2006/relationships/hyperlink" Target="https://ojs.uniquindio.edu.co/ojs/index.php/riuq/article/view/613" TargetMode="External"/><Relationship Id="rId3" Type="http://schemas.openxmlformats.org/officeDocument/2006/relationships/numbering" Target="numbering.xml"/><Relationship Id="rId12" Type="http://schemas.openxmlformats.org/officeDocument/2006/relationships/hyperlink" Target="https://doi.org/10.22395/ojum.v21n45a3" TargetMode="External"/><Relationship Id="rId17" Type="http://schemas.openxmlformats.org/officeDocument/2006/relationships/hyperlink" Target="https://dx.doi.org/10.5027/psicoperspectivas-vol20-issue1-fulltext-2003" TargetMode="External"/><Relationship Id="rId25" Type="http://schemas.openxmlformats.org/officeDocument/2006/relationships/hyperlink" Target="https://dialnet.unirioja.es/servlet/articulo?codigo=8584693" TargetMode="External"/><Relationship Id="rId33" Type="http://schemas.openxmlformats.org/officeDocument/2006/relationships/hyperlink" Target="https://dialnet.unirioja.es/servlet/libro?codigo=775008" TargetMode="External"/><Relationship Id="rId38" Type="http://schemas.openxmlformats.org/officeDocument/2006/relationships/hyperlink" Target="https://revistas.uexternado.edu.co/index.php/derpen/article/view/8301/13805" TargetMode="External"/><Relationship Id="rId46" Type="http://schemas.openxmlformats.org/officeDocument/2006/relationships/hyperlink" Target="https://www.icc-cpi.int/sites/default/files/iccdocs/otp/20180SpeechDP_ESP.pdf" TargetMode="External"/><Relationship Id="rId59" Type="http://schemas.openxmlformats.org/officeDocument/2006/relationships/hyperlink" Target="https://www.redalyc.org/journal/773/77376320007/html/" TargetMode="External"/><Relationship Id="rId20" Type="http://schemas.openxmlformats.org/officeDocument/2006/relationships/hyperlink" Target="https://pure.ulster.ac.uk/en/publications/conversar-con-el-pasado-transformar-este-presente-justicia-transi/" TargetMode="External"/><Relationship Id="rId41" Type="http://schemas.openxmlformats.org/officeDocument/2006/relationships/hyperlink" Target="https://doi.org/10.18041/1900-3803/entramado.1.7149" TargetMode="External"/><Relationship Id="rId54" Type="http://schemas.openxmlformats.org/officeDocument/2006/relationships/hyperlink" Target="https://revistas.udistrital.edu.co/index.php/cpaz/article/view/16543"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8601/01229893.n48.05" TargetMode="External"/><Relationship Id="rId23" Type="http://schemas.openxmlformats.org/officeDocument/2006/relationships/hyperlink" Target="https://doi.org/10.32997/2256-2796-vol.12-num.23-2020-2661" TargetMode="External"/><Relationship Id="rId28" Type="http://schemas.openxmlformats.org/officeDocument/2006/relationships/hyperlink" Target="https://doi.org/10.15446/ideasyvalores.v70.n175.91226" TargetMode="External"/><Relationship Id="rId36" Type="http://schemas.openxmlformats.org/officeDocument/2006/relationships/hyperlink" Target="https://doi.org/10.30827/revpaz.v6i0.813" TargetMode="External"/><Relationship Id="rId49" Type="http://schemas.openxmlformats.org/officeDocument/2006/relationships/hyperlink" Target="https://revistas.usantotomas.edu.co/index.php/viei/article/view/6481" TargetMode="External"/><Relationship Id="rId57" Type="http://schemas.openxmlformats.org/officeDocument/2006/relationships/hyperlink" Target="https://revistas.udea.edu.co/index.php/estudiospoliticos/article/view/346302" TargetMode="External"/><Relationship Id="rId10" Type="http://schemas.openxmlformats.org/officeDocument/2006/relationships/hyperlink" Target="https://doi.org/10.22201/iij.24484881e.2022.47.17521" TargetMode="External"/><Relationship Id="rId31" Type="http://schemas.openxmlformats.org/officeDocument/2006/relationships/hyperlink" Target="https://editorial.unisabana.edu.co/subtitulo/lecciones-y-desafios-del-modelo-de-justicia-transicional-en-colombia/" TargetMode="External"/><Relationship Id="rId44" Type="http://schemas.openxmlformats.org/officeDocument/2006/relationships/hyperlink" Target="https://revistas.unicartagena.edu.co/index.php/marioalariodfilippo/article/view/3811" TargetMode="External"/><Relationship Id="rId52" Type="http://schemas.openxmlformats.org/officeDocument/2006/relationships/hyperlink" Target="https://revistas.uexternado.edu.co/index.php/derest/article/view/6767/9784" TargetMode="External"/><Relationship Id="rId60" Type="http://schemas.openxmlformats.org/officeDocument/2006/relationships/hyperlink" Target="https://dialnet.unirioja.es/servlet/articulo?codigo=10168469" TargetMode="External"/><Relationship Id="rId4" Type="http://schemas.openxmlformats.org/officeDocument/2006/relationships/styles" Target="styles.xml"/><Relationship Id="rId9" Type="http://schemas.openxmlformats.org/officeDocument/2006/relationships/hyperlink" Target="https://repositorio.uptc.edu.co/server/api/core/bitstreams/2174b585-fada-44ef-83dd-2f8361bfa896/conten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PdzsSzgcWKWadeqs2oJhBj6kA==">CgMxLjAyCGguZ2pkZ3hzMgloLjMwajB6bGwyCWguMWZvYjl0ZTIJaC4zem55c2g3MgloLjJldDkycDAyCGgudHlqY3d0MgloLjNkeTZ2a20yCWguMXQzaDVzZjIJaC40ZDM0b2c4MgloLjJzOGV5bzEyCWguMTdkcDh2dTIJaC4zcmRjcmpuMgloLjI2aW4xcmcyCGgubG54Yno5MgloLjM1bmt1bjIyCWguMWtzdjR1djgAciExZFU5clVrSmJKYzlxMjFrTjhGVENwSFdPc0ttdW8yOFQ=</go:docsCustomData>
</go:gDocsCustomXmlDataStorage>
</file>

<file path=customXml/itemProps1.xml><?xml version="1.0" encoding="utf-8"?>
<ds:datastoreItem xmlns:ds="http://schemas.openxmlformats.org/officeDocument/2006/customXml" ds:itemID="{17A35741-8AA3-4CE7-9ECD-66C4128621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66</Pages>
  <Words>17069</Words>
  <Characters>93881</Characters>
  <Application>Microsoft Office Word</Application>
  <DocSecurity>0</DocSecurity>
  <Lines>782</Lines>
  <Paragraphs>221</Paragraphs>
  <ScaleCrop>false</ScaleCrop>
  <Company/>
  <LinksUpToDate>false</LinksUpToDate>
  <CharactersWithSpaces>110729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Rosa Rodriguez</dc:creator>
  <cp:lastModifiedBy>Ana Rosa Rodriguez</cp:lastModifiedBy>
  <cp:revision>11</cp:revision>
  <dcterms:created xsi:type="dcterms:W3CDTF">2025-09-18T19:47:00Z</dcterms:created>
  <dcterms:modified xsi:type="dcterms:W3CDTF">2026-06-16T04:09:00Z</dcterms:modified>
</cp:coreProperties>
</file>