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CB0C80" w14:textId="77777777" w:rsidR="006D0D2A" w:rsidRPr="006D0D2A" w:rsidRDefault="00532D0F" w:rsidP="00E10C1F">
      <w:pPr>
        <w:ind w:left="1416" w:hanging="696"/>
        <w:rPr>
          <w:rFonts w:cs="Times New Roman"/>
          <w:szCs w:val="24"/>
        </w:rPr>
      </w:pPr>
      <w:r w:rsidRPr="004927D6">
        <w:rPr>
          <w:rFonts w:cs="Times New Roman"/>
          <w:szCs w:val="24"/>
        </w:rPr>
        <w:t>Autores:</w:t>
      </w:r>
      <w:r w:rsidR="006D0D2A">
        <w:rPr>
          <w:rFonts w:cs="Times New Roman"/>
          <w:szCs w:val="24"/>
        </w:rPr>
        <w:t xml:space="preserve"> </w:t>
      </w:r>
      <w:r w:rsidR="006D0D2A" w:rsidRPr="006D0D2A">
        <w:rPr>
          <w:rFonts w:cs="Times New Roman"/>
          <w:szCs w:val="24"/>
        </w:rPr>
        <w:t>Luis Hernando Diaz Villalba</w:t>
      </w:r>
    </w:p>
    <w:p w14:paraId="4907F3FE" w14:textId="5DAB64C9" w:rsidR="00532D0F" w:rsidRPr="004927D6" w:rsidRDefault="006D0D2A" w:rsidP="006D0D2A">
      <w:pPr>
        <w:rPr>
          <w:rFonts w:cs="Times New Roman"/>
          <w:szCs w:val="24"/>
        </w:rPr>
      </w:pPr>
      <w:r w:rsidRPr="006D0D2A">
        <w:rPr>
          <w:rFonts w:cs="Times New Roman"/>
          <w:szCs w:val="24"/>
        </w:rPr>
        <w:t>Yerli Tatiana Castellano</w:t>
      </w:r>
    </w:p>
    <w:p w14:paraId="2C7B5228" w14:textId="5FB2EB2A" w:rsidR="00532D0F" w:rsidRPr="004927D6" w:rsidRDefault="00532D0F" w:rsidP="00532D0F">
      <w:pPr>
        <w:rPr>
          <w:rFonts w:cs="Times New Roman"/>
          <w:szCs w:val="24"/>
        </w:rPr>
      </w:pPr>
      <w:r w:rsidRPr="004927D6">
        <w:rPr>
          <w:rFonts w:cs="Times New Roman"/>
          <w:szCs w:val="24"/>
        </w:rPr>
        <w:t>Director:</w:t>
      </w:r>
      <w:r w:rsidR="006D0D2A">
        <w:rPr>
          <w:rFonts w:cs="Times New Roman"/>
          <w:szCs w:val="24"/>
        </w:rPr>
        <w:t xml:space="preserve"> </w:t>
      </w:r>
      <w:proofErr w:type="spellStart"/>
      <w:r w:rsidR="006D0D2A">
        <w:rPr>
          <w:rFonts w:cs="Times New Roman"/>
          <w:szCs w:val="24"/>
        </w:rPr>
        <w:t>Angel</w:t>
      </w:r>
      <w:proofErr w:type="spellEnd"/>
      <w:r w:rsidR="006D0D2A">
        <w:rPr>
          <w:rFonts w:cs="Times New Roman"/>
          <w:szCs w:val="24"/>
        </w:rPr>
        <w:t xml:space="preserve"> Humberto JuradoUribe</w:t>
      </w:r>
    </w:p>
    <w:p w14:paraId="6131F2DB" w14:textId="19E3D808" w:rsidR="00532D0F" w:rsidRPr="004927D6" w:rsidRDefault="00532D0F" w:rsidP="00532D0F">
      <w:pPr>
        <w:rPr>
          <w:rFonts w:cs="Times New Roman"/>
          <w:szCs w:val="24"/>
        </w:rPr>
      </w:pPr>
      <w:r w:rsidRPr="004927D6">
        <w:rPr>
          <w:rFonts w:cs="Times New Roman"/>
          <w:szCs w:val="24"/>
        </w:rPr>
        <w:t>Título:</w:t>
      </w:r>
      <w:r w:rsidR="006D0D2A">
        <w:rPr>
          <w:rFonts w:cs="Times New Roman"/>
          <w:szCs w:val="24"/>
        </w:rPr>
        <w:t xml:space="preserve"> </w:t>
      </w:r>
      <w:r w:rsidR="006502CB">
        <w:rPr>
          <w:rFonts w:cs="Times New Roman"/>
          <w:szCs w:val="24"/>
        </w:rPr>
        <w:t>U</w:t>
      </w:r>
      <w:r w:rsidR="006502CB" w:rsidRPr="006502CB">
        <w:rPr>
          <w:rFonts w:cs="Times New Roman"/>
          <w:szCs w:val="24"/>
        </w:rPr>
        <w:t xml:space="preserve">so de la banca digital </w:t>
      </w:r>
      <w:r w:rsidR="006D0D2A" w:rsidRPr="006D0D2A">
        <w:rPr>
          <w:rFonts w:cs="Times New Roman"/>
          <w:szCs w:val="24"/>
        </w:rPr>
        <w:t>en la inclusión financiera de los habitantes de zona rural del municipio de Aguachica, Cesar</w:t>
      </w:r>
    </w:p>
    <w:p w14:paraId="2070CADA" w14:textId="364CC2F2" w:rsidR="00532D0F" w:rsidRPr="004927D6" w:rsidRDefault="00532D0F" w:rsidP="00532D0F">
      <w:pPr>
        <w:jc w:val="center"/>
        <w:rPr>
          <w:rFonts w:cs="Times New Roman"/>
          <w:b/>
          <w:bCs/>
          <w:szCs w:val="24"/>
        </w:rPr>
      </w:pPr>
      <w:r w:rsidRPr="004927D6">
        <w:rPr>
          <w:rFonts w:cs="Times New Roman"/>
          <w:b/>
          <w:bCs/>
          <w:szCs w:val="24"/>
        </w:rPr>
        <w:t>Resumen</w:t>
      </w:r>
    </w:p>
    <w:p w14:paraId="4E3BBEB2" w14:textId="0816DA43" w:rsidR="00F53D43" w:rsidRPr="00F53D43" w:rsidRDefault="00F53D43" w:rsidP="00F53D43">
      <w:pPr>
        <w:rPr>
          <w:rFonts w:cs="Times New Roman"/>
          <w:szCs w:val="24"/>
        </w:rPr>
      </w:pPr>
      <w:r w:rsidRPr="00F53D43">
        <w:rPr>
          <w:rFonts w:cs="Times New Roman"/>
          <w:szCs w:val="24"/>
        </w:rPr>
        <w:t>La presente investigación titulada “</w:t>
      </w:r>
      <w:r w:rsidR="00944CF3" w:rsidRPr="00944CF3">
        <w:rPr>
          <w:rFonts w:cs="Times New Roman"/>
          <w:szCs w:val="24"/>
        </w:rPr>
        <w:t xml:space="preserve">Uso de la banca digital </w:t>
      </w:r>
      <w:r w:rsidRPr="00F53D43">
        <w:rPr>
          <w:rFonts w:cs="Times New Roman"/>
          <w:szCs w:val="24"/>
        </w:rPr>
        <w:t xml:space="preserve">en la inclusión financiera de los habitantes de zona rural del municipio de Aguachica, Cesar” tuvo como propósito analizar cómo el uso de las plataformas digitales bancarias contribuye al fortalecimiento de la inclusión financiera en los sectores rurales del municipio, especialmente en las veredas Honduras, La </w:t>
      </w:r>
      <w:proofErr w:type="spellStart"/>
      <w:r w:rsidRPr="00F53D43">
        <w:rPr>
          <w:rFonts w:cs="Times New Roman"/>
          <w:szCs w:val="24"/>
        </w:rPr>
        <w:t>Yeguera</w:t>
      </w:r>
      <w:proofErr w:type="spellEnd"/>
      <w:r w:rsidRPr="00F53D43">
        <w:rPr>
          <w:rFonts w:cs="Times New Roman"/>
          <w:szCs w:val="24"/>
        </w:rPr>
        <w:t>, Cerro Redondo, Puros Altos y Pamira. El estudio parte del reconocimiento de que, aunque Colombia ha avanzado significativamente en la cobertura de productos financieros con un 95,8 % de adultos con al menos un producto financiero según el Reporte de Inclusión Financiera 2024, las brechas urbano</w:t>
      </w:r>
      <w:r>
        <w:rPr>
          <w:rFonts w:cs="Times New Roman"/>
          <w:szCs w:val="24"/>
        </w:rPr>
        <w:t xml:space="preserve"> y </w:t>
      </w:r>
      <w:r w:rsidRPr="00F53D43">
        <w:rPr>
          <w:rFonts w:cs="Times New Roman"/>
          <w:szCs w:val="24"/>
        </w:rPr>
        <w:t>rurales persisten debido a la desigualdad en el acceso a la tecnología, la conectividad y la educación financiera.</w:t>
      </w:r>
    </w:p>
    <w:p w14:paraId="233A23C2" w14:textId="48E0B306" w:rsidR="00F53D43" w:rsidRPr="00F53D43" w:rsidRDefault="00F53D43" w:rsidP="00F53D43">
      <w:pPr>
        <w:rPr>
          <w:rFonts w:cs="Times New Roman"/>
          <w:szCs w:val="24"/>
        </w:rPr>
      </w:pPr>
      <w:r w:rsidRPr="00F53D43">
        <w:rPr>
          <w:rFonts w:cs="Times New Roman"/>
          <w:szCs w:val="24"/>
        </w:rPr>
        <w:t>La investigación se desarrolló bajo un enfoque mixto, un componente cualitativo</w:t>
      </w:r>
      <w:r>
        <w:rPr>
          <w:rFonts w:cs="Times New Roman"/>
          <w:szCs w:val="24"/>
        </w:rPr>
        <w:t xml:space="preserve"> </w:t>
      </w:r>
      <w:r w:rsidRPr="00F53D43">
        <w:rPr>
          <w:rFonts w:cs="Times New Roman"/>
          <w:szCs w:val="24"/>
        </w:rPr>
        <w:t xml:space="preserve">interpretativo sustentado en cinco entrevistas semiestructuradas realizadas a líderes comunales de la zona rural alta de Aguachica. Estas herramientas permitieron identificar los niveles de acceso, uso y calidad percibida de los servicios financieros, así como las </w:t>
      </w:r>
      <w:r w:rsidRPr="00F53D43">
        <w:rPr>
          <w:rFonts w:cs="Times New Roman"/>
          <w:szCs w:val="24"/>
        </w:rPr>
        <w:lastRenderedPageBreak/>
        <w:t>principales barreras tecnológicas, culturales y económicas que limitan la adopción de la banca digital.</w:t>
      </w:r>
    </w:p>
    <w:p w14:paraId="60855260" w14:textId="77777777" w:rsidR="00F53D43" w:rsidRPr="00F53D43" w:rsidRDefault="00F53D43" w:rsidP="00F53D43">
      <w:pPr>
        <w:rPr>
          <w:rFonts w:cs="Times New Roman"/>
          <w:szCs w:val="24"/>
        </w:rPr>
      </w:pPr>
      <w:r w:rsidRPr="00F53D43">
        <w:rPr>
          <w:rFonts w:cs="Times New Roman"/>
          <w:szCs w:val="24"/>
        </w:rPr>
        <w:t xml:space="preserve">Los resultados evidenciaron que la inclusión financiera rural en Aguachica es limitada, pues la mayoría de los habitantes no utiliza servicios digitales debido a la baja conectividad, el desconocimiento del manejo de las aplicaciones y la desconfianza hacia las plataformas electrónicas. Asimismo, se constató que los adultos mayores continúan prefiriendo el uso del efectivo, mientras que los jóvenes son los principales usuarios de aplicaciones como </w:t>
      </w:r>
      <w:proofErr w:type="spellStart"/>
      <w:r w:rsidRPr="00F53D43">
        <w:rPr>
          <w:rFonts w:cs="Times New Roman"/>
          <w:szCs w:val="24"/>
        </w:rPr>
        <w:t>Nequi</w:t>
      </w:r>
      <w:proofErr w:type="spellEnd"/>
      <w:r w:rsidRPr="00F53D43">
        <w:rPr>
          <w:rFonts w:cs="Times New Roman"/>
          <w:szCs w:val="24"/>
        </w:rPr>
        <w:t xml:space="preserve"> o </w:t>
      </w:r>
      <w:proofErr w:type="spellStart"/>
      <w:r w:rsidRPr="00F53D43">
        <w:rPr>
          <w:rFonts w:cs="Times New Roman"/>
          <w:szCs w:val="24"/>
        </w:rPr>
        <w:t>Daviplata</w:t>
      </w:r>
      <w:proofErr w:type="spellEnd"/>
      <w:r w:rsidRPr="00F53D43">
        <w:rPr>
          <w:rFonts w:cs="Times New Roman"/>
          <w:szCs w:val="24"/>
        </w:rPr>
        <w:t xml:space="preserve"> para realizar transacciones básicas. La falta de acompañamiento institucional y la escasa educación financiera son factores determinantes que restringen la apropiación de la banca digital.</w:t>
      </w:r>
    </w:p>
    <w:p w14:paraId="67AFF829" w14:textId="77777777" w:rsidR="00F53D43" w:rsidRPr="00F53D43" w:rsidRDefault="00F53D43" w:rsidP="00F53D43">
      <w:pPr>
        <w:rPr>
          <w:rFonts w:cs="Times New Roman"/>
          <w:szCs w:val="24"/>
        </w:rPr>
      </w:pPr>
      <w:r w:rsidRPr="00F53D43">
        <w:rPr>
          <w:rFonts w:cs="Times New Roman"/>
          <w:szCs w:val="24"/>
        </w:rPr>
        <w:t>A partir de estos hallazgos, se propusieron estrategias orientadas al fortalecimiento de la inclusión financiera, entre ellas: la creación de programas de alfabetización digital y financiera, el establecimiento de centros comunitarios digitales, campañas de confianza y acompañamiento financiero, e incentivos para digitalizar el comercio rural. Dichas acciones buscan reducir la brecha digital y promover una participación más equitativa de la población campesina en el sistema financiero formal.</w:t>
      </w:r>
    </w:p>
    <w:p w14:paraId="22A546B0" w14:textId="3D7493D3" w:rsidR="00F53D43" w:rsidRPr="00F53D43" w:rsidRDefault="00F53D43" w:rsidP="00F53D43">
      <w:pPr>
        <w:rPr>
          <w:rFonts w:cs="Times New Roman"/>
          <w:szCs w:val="24"/>
        </w:rPr>
      </w:pPr>
      <w:r>
        <w:rPr>
          <w:rFonts w:cs="Times New Roman"/>
          <w:szCs w:val="24"/>
        </w:rPr>
        <w:t>L</w:t>
      </w:r>
      <w:r w:rsidRPr="00F53D43">
        <w:rPr>
          <w:rFonts w:cs="Times New Roman"/>
          <w:szCs w:val="24"/>
        </w:rPr>
        <w:t>a investigación confirma que la banca digital influye positivamente en la inclusión financiera rural solo cuando se combina con infraestructura tecnológica adecuada, educación digital y confianza institucional. Por tanto, se hace necesario articular esfuerzos entre el Estado, las entidades financieras y la comunidad para garantizar que la digitalización se traduzca en desarrollo, bienestar y autonomía económica para los habitantes rurales de Aguachica, Cesar.</w:t>
      </w:r>
    </w:p>
    <w:p w14:paraId="39DF87F2" w14:textId="3BC5A0D0" w:rsidR="00532D0F" w:rsidRPr="004927D6" w:rsidRDefault="00F53D43" w:rsidP="00F53D43">
      <w:pPr>
        <w:rPr>
          <w:rFonts w:cs="Times New Roman"/>
          <w:szCs w:val="24"/>
        </w:rPr>
      </w:pPr>
      <w:r w:rsidRPr="00F53D43">
        <w:rPr>
          <w:rFonts w:cs="Times New Roman"/>
          <w:b/>
          <w:bCs/>
          <w:szCs w:val="24"/>
        </w:rPr>
        <w:lastRenderedPageBreak/>
        <w:t>Palabras clave</w:t>
      </w:r>
      <w:r w:rsidRPr="00F53D43">
        <w:rPr>
          <w:rFonts w:cs="Times New Roman"/>
          <w:szCs w:val="24"/>
        </w:rPr>
        <w:t>: banca digital, inclusión financiera, ruralidad, conectividad, educación financiera, Aguachica.</w:t>
      </w:r>
    </w:p>
    <w:p w14:paraId="3ACC5194" w14:textId="10B7FE7A" w:rsidR="00096E6A" w:rsidRPr="005E7499" w:rsidRDefault="00096E6A" w:rsidP="00096E6A">
      <w:pPr>
        <w:jc w:val="center"/>
        <w:rPr>
          <w:rFonts w:cs="Times New Roman"/>
          <w:b/>
          <w:bCs/>
          <w:szCs w:val="24"/>
          <w:lang w:val="en-US"/>
        </w:rPr>
      </w:pPr>
      <w:r w:rsidRPr="005E7499">
        <w:rPr>
          <w:rFonts w:cs="Times New Roman"/>
          <w:b/>
          <w:bCs/>
          <w:szCs w:val="24"/>
          <w:lang w:val="en-US"/>
        </w:rPr>
        <w:t>Abstract</w:t>
      </w:r>
    </w:p>
    <w:p w14:paraId="7D87D49C" w14:textId="11461DC3" w:rsidR="006D0D2A" w:rsidRPr="006D0D2A" w:rsidRDefault="006D0D2A" w:rsidP="006D0D2A">
      <w:pPr>
        <w:rPr>
          <w:rFonts w:cs="Times New Roman"/>
          <w:szCs w:val="24"/>
          <w:lang w:val="en-US"/>
        </w:rPr>
      </w:pPr>
      <w:r w:rsidRPr="006D0D2A">
        <w:rPr>
          <w:rFonts w:cs="Times New Roman"/>
          <w:szCs w:val="24"/>
          <w:lang w:val="en-US"/>
        </w:rPr>
        <w:t>The research titled “</w:t>
      </w:r>
      <w:r w:rsidR="00944CF3">
        <w:rPr>
          <w:rFonts w:cs="Times New Roman"/>
          <w:szCs w:val="24"/>
          <w:lang w:val="en-US"/>
        </w:rPr>
        <w:t xml:space="preserve">Use </w:t>
      </w:r>
      <w:r w:rsidRPr="006D0D2A">
        <w:rPr>
          <w:rFonts w:cs="Times New Roman"/>
          <w:szCs w:val="24"/>
          <w:lang w:val="en-US"/>
        </w:rPr>
        <w:t xml:space="preserve">of Digital Banking on Financial Inclusion among Rural Inhabitants of the Municipality of </w:t>
      </w:r>
      <w:proofErr w:type="spellStart"/>
      <w:r w:rsidRPr="006D0D2A">
        <w:rPr>
          <w:rFonts w:cs="Times New Roman"/>
          <w:szCs w:val="24"/>
          <w:lang w:val="en-US"/>
        </w:rPr>
        <w:t>Aguachica</w:t>
      </w:r>
      <w:proofErr w:type="spellEnd"/>
      <w:r w:rsidRPr="006D0D2A">
        <w:rPr>
          <w:rFonts w:cs="Times New Roman"/>
          <w:szCs w:val="24"/>
          <w:lang w:val="en-US"/>
        </w:rPr>
        <w:t xml:space="preserve">, Cesar” aimed to analyze how the use of digital banking platforms contributes to strengthening financial inclusion in rural areas of </w:t>
      </w:r>
      <w:proofErr w:type="spellStart"/>
      <w:r w:rsidRPr="006D0D2A">
        <w:rPr>
          <w:rFonts w:cs="Times New Roman"/>
          <w:szCs w:val="24"/>
          <w:lang w:val="en-US"/>
        </w:rPr>
        <w:t>Aguachica</w:t>
      </w:r>
      <w:proofErr w:type="spellEnd"/>
      <w:r w:rsidRPr="006D0D2A">
        <w:rPr>
          <w:rFonts w:cs="Times New Roman"/>
          <w:szCs w:val="24"/>
          <w:lang w:val="en-US"/>
        </w:rPr>
        <w:t xml:space="preserve">, particularly in the villages of Honduras, La </w:t>
      </w:r>
      <w:proofErr w:type="spellStart"/>
      <w:r w:rsidRPr="006D0D2A">
        <w:rPr>
          <w:rFonts w:cs="Times New Roman"/>
          <w:szCs w:val="24"/>
          <w:lang w:val="en-US"/>
        </w:rPr>
        <w:t>Yeguera</w:t>
      </w:r>
      <w:proofErr w:type="spellEnd"/>
      <w:r w:rsidRPr="006D0D2A">
        <w:rPr>
          <w:rFonts w:cs="Times New Roman"/>
          <w:szCs w:val="24"/>
          <w:lang w:val="en-US"/>
        </w:rPr>
        <w:t>, Cerro Redondo, Puros Altos, and Pamira. The study recognizes that although Colombia has made significant progress in financial coverage—reaching 95.8% of adults with at least one financial product according to the 2024 Financial Inclusion Report—the urban–rural gap persists due to unequal access to technology, connectivity, and financial education.</w:t>
      </w:r>
    </w:p>
    <w:p w14:paraId="602DBE5D" w14:textId="77777777" w:rsidR="006D0D2A" w:rsidRPr="006D0D2A" w:rsidRDefault="006D0D2A" w:rsidP="006D0D2A">
      <w:pPr>
        <w:rPr>
          <w:rFonts w:cs="Times New Roman"/>
          <w:szCs w:val="24"/>
          <w:lang w:val="en-US"/>
        </w:rPr>
      </w:pPr>
      <w:r w:rsidRPr="006D0D2A">
        <w:rPr>
          <w:rFonts w:cs="Times New Roman"/>
          <w:szCs w:val="24"/>
          <w:lang w:val="en-US"/>
        </w:rPr>
        <w:t xml:space="preserve">The research was conducted using a mixed-method approach, combining a quantitative–descriptive analysis based on data from the 2024 Financial Inclusion Report with a qualitative–interpretive component that included five semi-structured interviews with community leaders from the rural highlands of </w:t>
      </w:r>
      <w:proofErr w:type="spellStart"/>
      <w:r w:rsidRPr="006D0D2A">
        <w:rPr>
          <w:rFonts w:cs="Times New Roman"/>
          <w:szCs w:val="24"/>
          <w:lang w:val="en-US"/>
        </w:rPr>
        <w:t>Aguachica</w:t>
      </w:r>
      <w:proofErr w:type="spellEnd"/>
      <w:r w:rsidRPr="006D0D2A">
        <w:rPr>
          <w:rFonts w:cs="Times New Roman"/>
          <w:szCs w:val="24"/>
          <w:lang w:val="en-US"/>
        </w:rPr>
        <w:t>. These methods made it possible to identify levels of access, use, and perceived quality of financial services, as well as the main technological, cultural, and economic barriers that hinder the adoption of digital banking.</w:t>
      </w:r>
    </w:p>
    <w:p w14:paraId="79F71282" w14:textId="77777777" w:rsidR="006D0D2A" w:rsidRPr="006D0D2A" w:rsidRDefault="006D0D2A" w:rsidP="006D0D2A">
      <w:pPr>
        <w:rPr>
          <w:rFonts w:cs="Times New Roman"/>
          <w:szCs w:val="24"/>
          <w:lang w:val="en-US"/>
        </w:rPr>
      </w:pPr>
      <w:r w:rsidRPr="006D0D2A">
        <w:rPr>
          <w:rFonts w:cs="Times New Roman"/>
          <w:szCs w:val="24"/>
          <w:lang w:val="en-US"/>
        </w:rPr>
        <w:t xml:space="preserve">The results revealed that financial inclusion in </w:t>
      </w:r>
      <w:proofErr w:type="spellStart"/>
      <w:r w:rsidRPr="006D0D2A">
        <w:rPr>
          <w:rFonts w:cs="Times New Roman"/>
          <w:szCs w:val="24"/>
          <w:lang w:val="en-US"/>
        </w:rPr>
        <w:t>Aguachica’s</w:t>
      </w:r>
      <w:proofErr w:type="spellEnd"/>
      <w:r w:rsidRPr="006D0D2A">
        <w:rPr>
          <w:rFonts w:cs="Times New Roman"/>
          <w:szCs w:val="24"/>
          <w:lang w:val="en-US"/>
        </w:rPr>
        <w:t xml:space="preserve"> rural areas remains limited, as most residents do not use digital services due to low internet connectivity, lack of knowledge about digital applications, and mistrust of electronic platforms. Older adults </w:t>
      </w:r>
      <w:r w:rsidRPr="006D0D2A">
        <w:rPr>
          <w:rFonts w:cs="Times New Roman"/>
          <w:szCs w:val="24"/>
          <w:lang w:val="en-US"/>
        </w:rPr>
        <w:lastRenderedPageBreak/>
        <w:t xml:space="preserve">continue to prefer cash transactions, while younger people are the main users of mobile applications such as </w:t>
      </w:r>
      <w:proofErr w:type="spellStart"/>
      <w:r w:rsidRPr="006D0D2A">
        <w:rPr>
          <w:rFonts w:cs="Times New Roman"/>
          <w:szCs w:val="24"/>
          <w:lang w:val="en-US"/>
        </w:rPr>
        <w:t>Nequi</w:t>
      </w:r>
      <w:proofErr w:type="spellEnd"/>
      <w:r w:rsidRPr="006D0D2A">
        <w:rPr>
          <w:rFonts w:cs="Times New Roman"/>
          <w:szCs w:val="24"/>
          <w:lang w:val="en-US"/>
        </w:rPr>
        <w:t xml:space="preserve"> and </w:t>
      </w:r>
      <w:proofErr w:type="spellStart"/>
      <w:r w:rsidRPr="006D0D2A">
        <w:rPr>
          <w:rFonts w:cs="Times New Roman"/>
          <w:szCs w:val="24"/>
          <w:lang w:val="en-US"/>
        </w:rPr>
        <w:t>Daviplata</w:t>
      </w:r>
      <w:proofErr w:type="spellEnd"/>
      <w:r w:rsidRPr="006D0D2A">
        <w:rPr>
          <w:rFonts w:cs="Times New Roman"/>
          <w:szCs w:val="24"/>
          <w:lang w:val="en-US"/>
        </w:rPr>
        <w:t xml:space="preserve"> for basic operations. The lack of institutional support and financial education are key factors limiting the appropriation of digital banking.</w:t>
      </w:r>
    </w:p>
    <w:p w14:paraId="60340CFC" w14:textId="77777777" w:rsidR="006D0D2A" w:rsidRPr="006D0D2A" w:rsidRDefault="006D0D2A" w:rsidP="006D0D2A">
      <w:pPr>
        <w:rPr>
          <w:rFonts w:cs="Times New Roman"/>
          <w:szCs w:val="24"/>
          <w:lang w:val="en-US"/>
        </w:rPr>
      </w:pPr>
      <w:r w:rsidRPr="006D0D2A">
        <w:rPr>
          <w:rFonts w:cs="Times New Roman"/>
          <w:szCs w:val="24"/>
          <w:lang w:val="en-US"/>
        </w:rPr>
        <w:t>Based on these findings, the study proposed several strategies to strengthen financial inclusion, such as implementing financial and digital literacy programs, creating rural digital community centers, conducting trust-building and financial guidance campaigns, and promoting digitalization in rural commerce. These actions aim to reduce the digital divide and foster a more equitable participation of the rural population in the formal financial system.</w:t>
      </w:r>
    </w:p>
    <w:p w14:paraId="6EC4803D" w14:textId="6C655FFA" w:rsidR="006D0D2A" w:rsidRPr="006D0D2A" w:rsidRDefault="006D0D2A" w:rsidP="006D0D2A">
      <w:pPr>
        <w:rPr>
          <w:rFonts w:cs="Times New Roman"/>
          <w:szCs w:val="24"/>
          <w:lang w:val="en-US"/>
        </w:rPr>
      </w:pPr>
      <w:r>
        <w:rPr>
          <w:rFonts w:cs="Times New Roman"/>
          <w:szCs w:val="24"/>
          <w:lang w:val="en-US"/>
        </w:rPr>
        <w:t>T</w:t>
      </w:r>
      <w:r w:rsidRPr="006D0D2A">
        <w:rPr>
          <w:rFonts w:cs="Times New Roman"/>
          <w:szCs w:val="24"/>
          <w:lang w:val="en-US"/>
        </w:rPr>
        <w:t xml:space="preserve">he study confirms that digital banking positively influences rural financial inclusion only when combined with adequate technological infrastructure, digital education, and institutional trust. Therefore, coordinated efforts among the State, financial institutions, and local communities are required to ensure that digitalization translates into development, well-being, and economic empowerment for the rural inhabitants of </w:t>
      </w:r>
      <w:proofErr w:type="spellStart"/>
      <w:r w:rsidRPr="006D0D2A">
        <w:rPr>
          <w:rFonts w:cs="Times New Roman"/>
          <w:szCs w:val="24"/>
          <w:lang w:val="en-US"/>
        </w:rPr>
        <w:t>Aguachica</w:t>
      </w:r>
      <w:proofErr w:type="spellEnd"/>
      <w:r w:rsidRPr="006D0D2A">
        <w:rPr>
          <w:rFonts w:cs="Times New Roman"/>
          <w:szCs w:val="24"/>
          <w:lang w:val="en-US"/>
        </w:rPr>
        <w:t>, Cesar.</w:t>
      </w:r>
    </w:p>
    <w:p w14:paraId="7DAA53ED" w14:textId="4540C13A" w:rsidR="00096E6A" w:rsidRPr="006D0D2A" w:rsidRDefault="006D0D2A" w:rsidP="006D0D2A">
      <w:pPr>
        <w:rPr>
          <w:rFonts w:cs="Times New Roman"/>
          <w:szCs w:val="24"/>
          <w:lang w:val="en-US"/>
        </w:rPr>
      </w:pPr>
      <w:r w:rsidRPr="006D0D2A">
        <w:rPr>
          <w:rFonts w:cs="Times New Roman"/>
          <w:b/>
          <w:bCs/>
          <w:szCs w:val="24"/>
          <w:lang w:val="en-US"/>
        </w:rPr>
        <w:t>Keywords</w:t>
      </w:r>
      <w:r w:rsidRPr="006D0D2A">
        <w:rPr>
          <w:rFonts w:cs="Times New Roman"/>
          <w:szCs w:val="24"/>
          <w:lang w:val="en-US"/>
        </w:rPr>
        <w:t xml:space="preserve">: digital banking, financial inclusion, rural areas, connectivity, financial education, </w:t>
      </w:r>
      <w:proofErr w:type="spellStart"/>
      <w:r w:rsidRPr="006D0D2A">
        <w:rPr>
          <w:rFonts w:cs="Times New Roman"/>
          <w:szCs w:val="24"/>
          <w:lang w:val="en-US"/>
        </w:rPr>
        <w:t>Aguachica</w:t>
      </w:r>
      <w:proofErr w:type="spellEnd"/>
      <w:r w:rsidRPr="006D0D2A">
        <w:rPr>
          <w:rFonts w:cs="Times New Roman"/>
          <w:szCs w:val="24"/>
          <w:lang w:val="en-US"/>
        </w:rPr>
        <w:t>.</w:t>
      </w:r>
    </w:p>
    <w:p w14:paraId="08EEABF6" w14:textId="72BE5785" w:rsidR="00111EE8" w:rsidRDefault="00111EE8" w:rsidP="00111EE8">
      <w:pPr>
        <w:pStyle w:val="Ttulo1"/>
      </w:pPr>
      <w:bookmarkStart w:id="0" w:name="_Toc212647831"/>
      <w:r>
        <w:t>Introducción</w:t>
      </w:r>
      <w:bookmarkEnd w:id="0"/>
    </w:p>
    <w:p w14:paraId="7F537C55" w14:textId="77777777" w:rsidR="006D0D2A" w:rsidRPr="006D0D2A" w:rsidRDefault="006D0D2A" w:rsidP="006D0D2A">
      <w:pPr>
        <w:spacing w:before="240"/>
        <w:rPr>
          <w:rFonts w:cs="Times New Roman"/>
          <w:bCs/>
          <w:color w:val="000000"/>
          <w:szCs w:val="24"/>
        </w:rPr>
      </w:pPr>
      <w:r w:rsidRPr="006D0D2A">
        <w:rPr>
          <w:rFonts w:cs="Times New Roman"/>
          <w:bCs/>
          <w:color w:val="000000"/>
          <w:szCs w:val="24"/>
        </w:rPr>
        <w:t xml:space="preserve">En la actualidad, el avance de las tecnologías financieras ha transformado la manera en que las personas acceden, utilizan y perciben los servicios bancarios. La banca digital se </w:t>
      </w:r>
      <w:r w:rsidRPr="006D0D2A">
        <w:rPr>
          <w:rFonts w:cs="Times New Roman"/>
          <w:bCs/>
          <w:color w:val="000000"/>
          <w:szCs w:val="24"/>
        </w:rPr>
        <w:lastRenderedPageBreak/>
        <w:t>ha consolidado como una herramienta esencial para ampliar la cobertura del sistema financiero, facilitar las transacciones y promover la inclusión de sectores históricamente marginados del acceso formal a productos financieros. Sin embargo, en contextos rurales como el del municipio de Aguachica, Cesar, esta transformación enfrenta múltiples desafíos asociados a la conectividad, la alfabetización digital y la confianza institucional.</w:t>
      </w:r>
    </w:p>
    <w:p w14:paraId="63E0A456" w14:textId="15E25C32" w:rsidR="006D0D2A" w:rsidRPr="006D0D2A" w:rsidRDefault="006D0D2A" w:rsidP="006D0D2A">
      <w:pPr>
        <w:spacing w:before="240"/>
        <w:rPr>
          <w:rFonts w:cs="Times New Roman"/>
          <w:bCs/>
          <w:color w:val="000000"/>
          <w:szCs w:val="24"/>
        </w:rPr>
      </w:pPr>
      <w:r w:rsidRPr="006D0D2A">
        <w:rPr>
          <w:rFonts w:cs="Times New Roman"/>
          <w:bCs/>
          <w:color w:val="000000"/>
          <w:szCs w:val="24"/>
        </w:rPr>
        <w:t xml:space="preserve">El presente proyecto de investigación tiene como propósito analizar la </w:t>
      </w:r>
      <w:r w:rsidR="00944CF3" w:rsidRPr="00944CF3">
        <w:rPr>
          <w:rFonts w:cs="Times New Roman"/>
          <w:bCs/>
          <w:color w:val="000000"/>
          <w:szCs w:val="24"/>
        </w:rPr>
        <w:t xml:space="preserve">Uso de la banca </w:t>
      </w:r>
      <w:proofErr w:type="gramStart"/>
      <w:r w:rsidR="00944CF3" w:rsidRPr="00944CF3">
        <w:rPr>
          <w:rFonts w:cs="Times New Roman"/>
          <w:bCs/>
          <w:color w:val="000000"/>
          <w:szCs w:val="24"/>
        </w:rPr>
        <w:t xml:space="preserve">digital </w:t>
      </w:r>
      <w:r w:rsidRPr="006D0D2A">
        <w:rPr>
          <w:rFonts w:cs="Times New Roman"/>
          <w:bCs/>
          <w:color w:val="000000"/>
          <w:szCs w:val="24"/>
        </w:rPr>
        <w:t xml:space="preserve"> en</w:t>
      </w:r>
      <w:proofErr w:type="gramEnd"/>
      <w:r w:rsidRPr="006D0D2A">
        <w:rPr>
          <w:rFonts w:cs="Times New Roman"/>
          <w:bCs/>
          <w:color w:val="000000"/>
          <w:szCs w:val="24"/>
        </w:rPr>
        <w:t xml:space="preserve"> la inclusión financiera de los habitantes de la zona rural del municipio de Aguachica. La investigación parte del reconocimiento de que, a pesar del progreso de la digitalización del sistema financiero colombiano, aún persisten brechas significativas entre las áreas urbanas y rurales, que limitan el acceso equitativo a los servicios financieros y obstaculizan el desarrollo económico local.</w:t>
      </w:r>
    </w:p>
    <w:p w14:paraId="6B1F486C" w14:textId="77777777" w:rsidR="006D0D2A" w:rsidRPr="006D0D2A" w:rsidRDefault="006D0D2A" w:rsidP="006D0D2A">
      <w:pPr>
        <w:spacing w:before="240"/>
        <w:rPr>
          <w:rFonts w:cs="Times New Roman"/>
          <w:bCs/>
          <w:color w:val="000000"/>
          <w:szCs w:val="24"/>
        </w:rPr>
      </w:pPr>
      <w:r w:rsidRPr="006D0D2A">
        <w:rPr>
          <w:rFonts w:cs="Times New Roman"/>
          <w:bCs/>
          <w:color w:val="000000"/>
          <w:szCs w:val="24"/>
        </w:rPr>
        <w:t xml:space="preserve">A lo largo del documento se desarrolla un diagnóstico de la situación actual de inclusión financiera rural, tomando como base los datos del Reporte de Inclusión Financiera 2024 de la Superintendencia Financiera de Colombia y los testimonios de líderes comunales de las veredas Honduras, La </w:t>
      </w:r>
      <w:proofErr w:type="spellStart"/>
      <w:r w:rsidRPr="006D0D2A">
        <w:rPr>
          <w:rFonts w:cs="Times New Roman"/>
          <w:bCs/>
          <w:color w:val="000000"/>
          <w:szCs w:val="24"/>
        </w:rPr>
        <w:t>Yeguera</w:t>
      </w:r>
      <w:proofErr w:type="spellEnd"/>
      <w:r w:rsidRPr="006D0D2A">
        <w:rPr>
          <w:rFonts w:cs="Times New Roman"/>
          <w:bCs/>
          <w:color w:val="000000"/>
          <w:szCs w:val="24"/>
        </w:rPr>
        <w:t>, Cerro Redondo, Puros Altos y Pamira. Posteriormente, se caracterizan los niveles de adopción de la banca digital y las principales barreras tecnológicas, culturales y económicas que afectan su implementación. Finalmente, se presentan estrategias y propuestas orientadas al fortalecimiento del uso de la banca digital como mecanismo de inclusión financiera sostenible en el territorio.</w:t>
      </w:r>
    </w:p>
    <w:p w14:paraId="311C46E4" w14:textId="77777777" w:rsidR="006D0D2A" w:rsidRPr="006D0D2A" w:rsidRDefault="006D0D2A" w:rsidP="006D0D2A">
      <w:pPr>
        <w:spacing w:before="240"/>
        <w:rPr>
          <w:rFonts w:cs="Times New Roman"/>
          <w:bCs/>
          <w:color w:val="000000"/>
          <w:szCs w:val="24"/>
        </w:rPr>
      </w:pPr>
      <w:r w:rsidRPr="006D0D2A">
        <w:rPr>
          <w:rFonts w:cs="Times New Roman"/>
          <w:bCs/>
          <w:color w:val="000000"/>
          <w:szCs w:val="24"/>
        </w:rPr>
        <w:t xml:space="preserve">El estudio se estructura en tres objetivos específicos: (1) diagnosticar el estado de la inclusión financiera en la zona rural de Aguachica; (2) caracterizar el comportamiento de la </w:t>
      </w:r>
      <w:r w:rsidRPr="006D0D2A">
        <w:rPr>
          <w:rFonts w:cs="Times New Roman"/>
          <w:bCs/>
          <w:color w:val="000000"/>
          <w:szCs w:val="24"/>
        </w:rPr>
        <w:lastRenderedPageBreak/>
        <w:t>banca digital, considerando los niveles de adopción y las barreras presentes; y (3) proponer estrategias que permitan fortalecer el uso de la banca digital en beneficio de la población rural. Para alcanzarlos, se utilizó un enfoque mixto que combina la revisión documental y estadística con la aplicación de entrevistas semiestructuradas, permitiendo un análisis integral de la realidad local.</w:t>
      </w:r>
    </w:p>
    <w:p w14:paraId="0B3076A4" w14:textId="1F747321" w:rsidR="00111EE8" w:rsidRDefault="006D0D2A" w:rsidP="006D0D2A">
      <w:pPr>
        <w:spacing w:before="240"/>
        <w:rPr>
          <w:rFonts w:cs="Times New Roman"/>
          <w:bCs/>
          <w:color w:val="000000"/>
          <w:szCs w:val="24"/>
        </w:rPr>
      </w:pPr>
      <w:r w:rsidRPr="006D0D2A">
        <w:rPr>
          <w:rFonts w:cs="Times New Roman"/>
          <w:bCs/>
          <w:color w:val="000000"/>
          <w:szCs w:val="24"/>
        </w:rPr>
        <w:t>En suma, este proyecto busca aportar al conocimiento sobre la relación entre tecnología y desarrollo financiero rural, contribuyendo al diseño de estrategias institucionales que promuevan la equidad, la educación digital y el bienestar económico de las comunidades rurales del municipio de Aguachica, Cesar.</w:t>
      </w:r>
    </w:p>
    <w:p w14:paraId="09AA2B09" w14:textId="77777777" w:rsidR="00DD0811" w:rsidRPr="00DD0811" w:rsidRDefault="00DD0811" w:rsidP="00DD0811">
      <w:pPr>
        <w:pStyle w:val="Ttulo2"/>
      </w:pPr>
      <w:bookmarkStart w:id="1" w:name="_Toc212647836"/>
      <w:r w:rsidRPr="00DD0811">
        <w:t>Objetivo General:</w:t>
      </w:r>
      <w:bookmarkEnd w:id="1"/>
    </w:p>
    <w:p w14:paraId="6041B7F5" w14:textId="1653FFDF" w:rsidR="00DD0811" w:rsidRPr="00DD0811" w:rsidRDefault="00DD0811" w:rsidP="00DD0811">
      <w:pPr>
        <w:rPr>
          <w:szCs w:val="24"/>
        </w:rPr>
      </w:pPr>
      <w:r w:rsidRPr="00DD0811">
        <w:rPr>
          <w:szCs w:val="24"/>
        </w:rPr>
        <w:t xml:space="preserve">Analizar </w:t>
      </w:r>
      <w:r w:rsidR="00E10C1F">
        <w:rPr>
          <w:szCs w:val="24"/>
        </w:rPr>
        <w:t>el</w:t>
      </w:r>
      <w:r w:rsidRPr="00DD0811">
        <w:rPr>
          <w:szCs w:val="24"/>
        </w:rPr>
        <w:t xml:space="preserve"> </w:t>
      </w:r>
      <w:r w:rsidR="00944CF3" w:rsidRPr="00944CF3">
        <w:rPr>
          <w:szCs w:val="24"/>
        </w:rPr>
        <w:t xml:space="preserve">Uso de la banca digital </w:t>
      </w:r>
      <w:r w:rsidRPr="00DD0811">
        <w:rPr>
          <w:szCs w:val="24"/>
        </w:rPr>
        <w:t>en los niveles de inclusión financiera de los habitantes de la zona rural del municipio de Aguachica, Cesar.</w:t>
      </w:r>
    </w:p>
    <w:p w14:paraId="543B1AFA" w14:textId="77777777" w:rsidR="00DD0811" w:rsidRPr="00DD0811" w:rsidRDefault="00DD0811" w:rsidP="00DD0811">
      <w:pPr>
        <w:pStyle w:val="Ttulo2"/>
      </w:pPr>
      <w:bookmarkStart w:id="2" w:name="_Toc212647837"/>
      <w:r w:rsidRPr="00DD0811">
        <w:t>Objetivos Específicos:</w:t>
      </w:r>
      <w:bookmarkEnd w:id="2"/>
    </w:p>
    <w:p w14:paraId="7A86D503" w14:textId="77777777" w:rsidR="00DD0811" w:rsidRPr="00DD0811" w:rsidRDefault="00DD0811" w:rsidP="00DD0811">
      <w:pPr>
        <w:rPr>
          <w:szCs w:val="24"/>
        </w:rPr>
      </w:pPr>
      <w:r w:rsidRPr="00DD0811">
        <w:rPr>
          <w:szCs w:val="24"/>
        </w:rPr>
        <w:t>1.</w:t>
      </w:r>
      <w:r w:rsidRPr="00DD0811">
        <w:rPr>
          <w:szCs w:val="24"/>
        </w:rPr>
        <w:tab/>
        <w:t xml:space="preserve">Diagnosticar la inclusión financiera en la zona rural del municipio de Aguachica, considerando los niveles de acceso, uso y calidad percibida. </w:t>
      </w:r>
    </w:p>
    <w:p w14:paraId="21A6DF62" w14:textId="77777777" w:rsidR="00DD0811" w:rsidRPr="00DD0811" w:rsidRDefault="00DD0811" w:rsidP="00DD0811">
      <w:pPr>
        <w:rPr>
          <w:szCs w:val="24"/>
        </w:rPr>
      </w:pPr>
      <w:r w:rsidRPr="00DD0811">
        <w:rPr>
          <w:szCs w:val="24"/>
        </w:rPr>
        <w:t>2.</w:t>
      </w:r>
      <w:r w:rsidRPr="00DD0811">
        <w:rPr>
          <w:szCs w:val="24"/>
        </w:rPr>
        <w:tab/>
        <w:t>Caracterizar el comportamiento de la banca digital, teniendo en cuenta los niveles de adopción y barreras de tipo tecnológicas culturales y económicas en la zona de estudio.</w:t>
      </w:r>
    </w:p>
    <w:p w14:paraId="7BE0DFAE" w14:textId="19D47FDB" w:rsidR="00DD0811" w:rsidRDefault="00DD0811" w:rsidP="00DD0811">
      <w:pPr>
        <w:rPr>
          <w:szCs w:val="24"/>
        </w:rPr>
      </w:pPr>
      <w:r w:rsidRPr="00DD0811">
        <w:rPr>
          <w:szCs w:val="24"/>
        </w:rPr>
        <w:t>3.</w:t>
      </w:r>
      <w:r w:rsidRPr="00DD0811">
        <w:rPr>
          <w:szCs w:val="24"/>
        </w:rPr>
        <w:tab/>
        <w:t>Determinar la incidencia de la banca digital en la inclusión financiera de la población rural objeto de estudio.</w:t>
      </w:r>
    </w:p>
    <w:p w14:paraId="561D2AD4" w14:textId="5053917B" w:rsidR="00291052" w:rsidRDefault="00291052" w:rsidP="00291052">
      <w:pPr>
        <w:pStyle w:val="Ttulo2"/>
      </w:pPr>
      <w:bookmarkStart w:id="3" w:name="_Toc212647838"/>
      <w:r>
        <w:lastRenderedPageBreak/>
        <w:t>Justificación</w:t>
      </w:r>
      <w:bookmarkEnd w:id="3"/>
    </w:p>
    <w:p w14:paraId="173035B9" w14:textId="24AC43D8" w:rsidR="00EC6010" w:rsidRPr="00EC6010" w:rsidRDefault="00EC6010" w:rsidP="00EC6010">
      <w:r w:rsidRPr="00EC6010">
        <w:t xml:space="preserve">La presente investigación se desarrolla en torno </w:t>
      </w:r>
      <w:r w:rsidR="00944CF3" w:rsidRPr="00944CF3">
        <w:t xml:space="preserve">Uso de la banca digital </w:t>
      </w:r>
      <w:r w:rsidRPr="00EC6010">
        <w:t>en la inclusión financiera de los habitantes de la zona rural del municipio de Aguachica, Cesar</w:t>
      </w:r>
      <w:r>
        <w:t xml:space="preserve"> que cuenta con 64 veredas y 9 corregimientos, e</w:t>
      </w:r>
      <w:r w:rsidRPr="00EC6010">
        <w:t>ste estudio resulta relevante debido a la necesidad de</w:t>
      </w:r>
      <w:r>
        <w:t xml:space="preserve"> poder</w:t>
      </w:r>
      <w:r w:rsidRPr="00EC6010">
        <w:t xml:space="preserve"> comprender cómo las herramientas tecnológicas aplicadas a las finanzas pueden contribuir a reducir las brechas de acceso entre la población urbana y rural</w:t>
      </w:r>
      <w:r>
        <w:t xml:space="preserve">, algo que se fomenta desde el gobierno nacional. </w:t>
      </w:r>
      <w:r w:rsidRPr="00EC6010">
        <w:t>Ariza (2024)</w:t>
      </w:r>
      <w:r>
        <w:t>. Y es que estas barreras</w:t>
      </w:r>
      <w:r w:rsidRPr="00EC6010">
        <w:t xml:space="preserve"> históricamente han limitado las oportunidades económicas y sociales de estas comunidades.</w:t>
      </w:r>
    </w:p>
    <w:p w14:paraId="4F82A820" w14:textId="1401467A" w:rsidR="00EC6010" w:rsidRPr="00EC6010" w:rsidRDefault="00EC6010" w:rsidP="00EC6010">
      <w:r w:rsidRPr="00EC6010">
        <w:t xml:space="preserve">En términos de conveniencia, esta investigación permite </w:t>
      </w:r>
      <w:r>
        <w:t>identificar la problemática con</w:t>
      </w:r>
      <w:r w:rsidRPr="00EC6010">
        <w:t xml:space="preserve"> las oportunidades y limitaciones que enfrenta la población rural frente a la adopción de servicios financieros digitales</w:t>
      </w:r>
      <w:r>
        <w:t>, teniendo unos</w:t>
      </w:r>
      <w:r w:rsidRPr="00EC6010">
        <w:t xml:space="preserve"> resultados </w:t>
      </w:r>
      <w:r>
        <w:t xml:space="preserve">que </w:t>
      </w:r>
      <w:r w:rsidRPr="00EC6010">
        <w:t>servirán como insumo para las entidades financieras, las autoridades locales</w:t>
      </w:r>
      <w:r>
        <w:t xml:space="preserve"> del municipio en cabeza de la alcaldía</w:t>
      </w:r>
      <w:r w:rsidRPr="00EC6010">
        <w:t xml:space="preserve"> y las organizaciones sociales </w:t>
      </w:r>
      <w:r>
        <w:t xml:space="preserve">entre ellas relevantes las campesinas que estarían beneficiadas e </w:t>
      </w:r>
      <w:r w:rsidRPr="00EC6010">
        <w:t>interesadas en diseñar estrategias que fortalezcan la inclusión y reduzcan desigualdades.</w:t>
      </w:r>
    </w:p>
    <w:p w14:paraId="4BD9F1EF" w14:textId="79356C55" w:rsidR="00EC6010" w:rsidRPr="00EC6010" w:rsidRDefault="00EC6010" w:rsidP="00EC6010">
      <w:r w:rsidRPr="00EC6010">
        <w:t xml:space="preserve">Desde un enfoque teórico, el estudio aporta al conocimiento académico </w:t>
      </w:r>
      <w:r>
        <w:t>que se imparte desde el programa de administración de empresas, donde se origina la investigación, que será clave al momento de</w:t>
      </w:r>
      <w:r w:rsidRPr="00EC6010">
        <w:t xml:space="preserve"> analizar la relación entre digitalización y desarrollo financiero en contextos rurales, donde la literatura aún presenta vacíos importantes en el caso colombiano</w:t>
      </w:r>
      <w:r>
        <w:t>, a</w:t>
      </w:r>
      <w:r w:rsidRPr="00EC6010">
        <w:t>simismo, en el plano metodológico, constituye una referencia para futuras investigaciones que busquen combinar técnicas de análisis cuantitativo y cualitativo en el estudio de la inclusión financiera</w:t>
      </w:r>
      <w:r>
        <w:t>, de manera aplicada a contextos específicos y no de manera general</w:t>
      </w:r>
      <w:r w:rsidRPr="00EC6010">
        <w:t>.</w:t>
      </w:r>
    </w:p>
    <w:p w14:paraId="7B546CD2" w14:textId="68A53F7D" w:rsidR="00EC6010" w:rsidRPr="00EC6010" w:rsidRDefault="00EC6010" w:rsidP="00EC6010">
      <w:r w:rsidRPr="00EC6010">
        <w:lastRenderedPageBreak/>
        <w:t>En cuanto a la relevancia social, el trabajo cobra importancia porque aborda una problemática que impacta directamente en el bienestar de la población rural</w:t>
      </w:r>
      <w:r w:rsidR="00D73DAF">
        <w:t xml:space="preserve"> que según el </w:t>
      </w:r>
      <w:proofErr w:type="spellStart"/>
      <w:r w:rsidR="00D73DAF">
        <w:t>dane</w:t>
      </w:r>
      <w:proofErr w:type="spellEnd"/>
      <w:r w:rsidR="00D73DAF">
        <w:t xml:space="preserve"> es del 14% sobre la población total del municipio, que tiene un</w:t>
      </w:r>
      <w:r w:rsidRPr="00EC6010">
        <w:t xml:space="preserve"> acceso limitado a servicios financieros seguros, eficientes y accesibles</w:t>
      </w:r>
      <w:r w:rsidR="00D73DAF">
        <w:t>, permitirá a</w:t>
      </w:r>
      <w:r w:rsidRPr="00EC6010">
        <w:t>tender las barreras</w:t>
      </w:r>
      <w:r w:rsidR="00D73DAF">
        <w:t xml:space="preserve"> o brechas</w:t>
      </w:r>
      <w:r w:rsidRPr="00EC6010">
        <w:t xml:space="preserve"> y beneficios de la banca digital </w:t>
      </w:r>
      <w:r w:rsidR="00D73DAF">
        <w:t xml:space="preserve">que </w:t>
      </w:r>
      <w:r w:rsidRPr="00EC6010">
        <w:t xml:space="preserve">permitirá diseñar </w:t>
      </w:r>
      <w:r w:rsidR="00D73DAF">
        <w:t xml:space="preserve">planes </w:t>
      </w:r>
      <w:r w:rsidRPr="00EC6010">
        <w:t>y programas de educación financiera, infraestructura tecnológica y fortalecimiento de la confianza en el sistema</w:t>
      </w:r>
      <w:r w:rsidR="00D73DAF">
        <w:t>, aportando además en la relación que tiene la Universidad popular del cesar con el sector externo.</w:t>
      </w:r>
    </w:p>
    <w:p w14:paraId="4F7E4112" w14:textId="01AEC655" w:rsidR="00EC6010" w:rsidRPr="00EC6010" w:rsidRDefault="00D73DAF" w:rsidP="00EC6010">
      <w:r>
        <w:t xml:space="preserve">Revisando la importancia practica de </w:t>
      </w:r>
      <w:r w:rsidR="00EC6010" w:rsidRPr="00EC6010">
        <w:t xml:space="preserve">la investigación presta un servicio al identificar </w:t>
      </w:r>
      <w:r>
        <w:t xml:space="preserve">problemas y oportunidades que ayuden a crear </w:t>
      </w:r>
      <w:r w:rsidR="00EC6010" w:rsidRPr="00EC6010">
        <w:t>rutas de acción para optimizar la implementación de la banca digital en Aguachica</w:t>
      </w:r>
      <w:r>
        <w:t xml:space="preserve">, contribuyendo </w:t>
      </w:r>
      <w:proofErr w:type="spellStart"/>
      <w:r>
        <w:t>asi</w:t>
      </w:r>
      <w:proofErr w:type="spellEnd"/>
      <w:r w:rsidR="00EC6010" w:rsidRPr="00EC6010">
        <w:t xml:space="preserve"> solo a la mejora en la cobertura de servicios financieros, sino también al empoderamiento económico de los habitantes rurales,</w:t>
      </w:r>
      <w:r>
        <w:t xml:space="preserve"> alejándolos de actores ilegales que funcionan como entidades financieras para los habitantes de estas zonas,</w:t>
      </w:r>
      <w:r w:rsidR="00EC6010" w:rsidRPr="00EC6010">
        <w:t xml:space="preserve"> facilitando su inclusión en dinámicas productivas más competitivas y sostenibles.</w:t>
      </w:r>
    </w:p>
    <w:p w14:paraId="3100EC88" w14:textId="3C723E1A" w:rsidR="00291052" w:rsidRPr="006523F6" w:rsidRDefault="00EC6010" w:rsidP="00EC6010">
      <w:r w:rsidRPr="00EC6010">
        <w:t xml:space="preserve">Como </w:t>
      </w:r>
      <w:r w:rsidR="00D73DAF">
        <w:t xml:space="preserve">lo </w:t>
      </w:r>
      <w:r w:rsidRPr="00EC6010">
        <w:t>señalan Hernández, Fernández y Baptista (2014), retomando a Ackoff (1973) y Miller y Salkind (2002), la utilidad de un estudio se evalúa a partir de su conveniencia, relevancia y pertinencia; en este sentido, la presente investigación resulta necesaria y oportuna</w:t>
      </w:r>
      <w:r w:rsidR="00D73DAF">
        <w:t xml:space="preserve"> en el contexto que se presenta el municipio capital de una región como el sur del cesar y bolívar, que permite</w:t>
      </w:r>
      <w:r w:rsidRPr="00EC6010">
        <w:t xml:space="preserve"> proponer soluciones aplicables a una problemática vigente y de alto impacto social.</w:t>
      </w:r>
    </w:p>
    <w:p w14:paraId="34EC9DB9" w14:textId="746B97C6" w:rsidR="003574DA" w:rsidRDefault="00A766D5" w:rsidP="003574DA">
      <w:pPr>
        <w:pStyle w:val="Ttulo2"/>
      </w:pPr>
      <w:bookmarkStart w:id="4" w:name="_Toc212647845"/>
      <w:r>
        <w:lastRenderedPageBreak/>
        <w:t>Estado del Arte</w:t>
      </w:r>
      <w:bookmarkEnd w:id="4"/>
    </w:p>
    <w:p w14:paraId="673869C1" w14:textId="77777777" w:rsidR="006062E0" w:rsidRDefault="006062E0" w:rsidP="006062E0">
      <w:bookmarkStart w:id="5" w:name="_Toc212647846"/>
      <w:proofErr w:type="spellStart"/>
      <w:r w:rsidRPr="006062E0">
        <w:rPr>
          <w:lang w:val="en-US"/>
        </w:rPr>
        <w:t>Demirgüç</w:t>
      </w:r>
      <w:proofErr w:type="spellEnd"/>
      <w:r w:rsidRPr="006062E0">
        <w:rPr>
          <w:lang w:val="en-US"/>
        </w:rPr>
        <w:t xml:space="preserve">-Kunt, A., Klapper, L., Singer, D., Ansar, S., &amp; Hess, J. (2018). The Global Findex Database 2017: Measuring financial inclusion and the fintech revolution. </w:t>
      </w:r>
      <w:r>
        <w:t xml:space="preserve">En su estudio presentan estadísticas globales sobre acceso y uso de servicios financieros digitales, revelando </w:t>
      </w:r>
      <w:proofErr w:type="gramStart"/>
      <w:r>
        <w:t>que</w:t>
      </w:r>
      <w:proofErr w:type="gramEnd"/>
      <w:r>
        <w:t xml:space="preserve"> aunque ha aumentado la apertura de cuentas de ahorro, persisten brechas significativas en zonas rurales y entre poblaciones vulnerables. Este referente sirve como base comparativa para medir la situación de inclusión financiera en Aguachica.</w:t>
      </w:r>
    </w:p>
    <w:p w14:paraId="390E8EE7" w14:textId="77777777" w:rsidR="006062E0" w:rsidRDefault="006062E0" w:rsidP="006062E0">
      <w:r w:rsidRPr="006062E0">
        <w:rPr>
          <w:lang w:val="en-US"/>
        </w:rPr>
        <w:t xml:space="preserve">Guo, L. (2024). Global financial inclusion: Mechanisms, regional disparities, and recommendations for improvement. </w:t>
      </w:r>
      <w:r>
        <w:t xml:space="preserve">Destaca que factores estructurales como la desigualdad de ingresos, la brecha digital y las desigualdades de género limitan la inclusión financiera, a pesar del avance de las tecnologías </w:t>
      </w:r>
      <w:proofErr w:type="spellStart"/>
      <w:r>
        <w:t>FinTech</w:t>
      </w:r>
      <w:proofErr w:type="spellEnd"/>
      <w:r>
        <w:t>. Este hallazgo permite comprender cómo las condiciones sociales y económicas rurales en Colombia reproducen esos desafíos.</w:t>
      </w:r>
    </w:p>
    <w:p w14:paraId="022DB5FC" w14:textId="77777777" w:rsidR="006062E0" w:rsidRDefault="006062E0" w:rsidP="006062E0">
      <w:r w:rsidRPr="006062E0">
        <w:rPr>
          <w:lang w:val="en-US"/>
        </w:rPr>
        <w:t xml:space="preserve">Wu, G., &amp; Peng, Q. (2024). Bridging the digital divide: Unraveling the determinants of FinTech adoption in rural communities. </w:t>
      </w:r>
      <w:r>
        <w:t>Identifica variables como la alfabetización digital, la confianza y la percepción de utilidad como determinantes de la adopción de tecnologías financieras en áreas rurales. Este estudio ofrece un marco comparativo con el contexto de Aguachica, donde las limitaciones de conectividad y educación financiera son similares.</w:t>
      </w:r>
    </w:p>
    <w:p w14:paraId="775DA933" w14:textId="77777777" w:rsidR="006062E0" w:rsidRDefault="006062E0" w:rsidP="006062E0">
      <w:r w:rsidRPr="006062E0">
        <w:rPr>
          <w:lang w:val="en-US"/>
        </w:rPr>
        <w:t xml:space="preserve">Sarma, M., &amp; Pais, J. (2011). Financial inclusion and development: A cross-country analysis. </w:t>
      </w:r>
      <w:r>
        <w:t>Plantean que la inclusión financiera depende de múltiples factores: acceso, uso y calidad de los servicios. Su enfoque multidimensional sustenta la evaluación del nivel de inclusión en comunidades rurales colombianas.</w:t>
      </w:r>
    </w:p>
    <w:p w14:paraId="75411445" w14:textId="77777777" w:rsidR="006062E0" w:rsidRDefault="006062E0" w:rsidP="006062E0">
      <w:r>
        <w:lastRenderedPageBreak/>
        <w:t xml:space="preserve">Márquez, L. (2019). Digital gaps and </w:t>
      </w:r>
      <w:proofErr w:type="spellStart"/>
      <w:r>
        <w:t>financial</w:t>
      </w:r>
      <w:proofErr w:type="spellEnd"/>
      <w:r>
        <w:t xml:space="preserve"> </w:t>
      </w:r>
      <w:proofErr w:type="spellStart"/>
      <w:r>
        <w:t>exclusion</w:t>
      </w:r>
      <w:proofErr w:type="spellEnd"/>
      <w:r>
        <w:t xml:space="preserve"> in </w:t>
      </w:r>
      <w:proofErr w:type="spellStart"/>
      <w:r>
        <w:t>Latin</w:t>
      </w:r>
      <w:proofErr w:type="spellEnd"/>
      <w:r>
        <w:t xml:space="preserve"> America: A rural </w:t>
      </w:r>
      <w:proofErr w:type="spellStart"/>
      <w:r>
        <w:t>analysis</w:t>
      </w:r>
      <w:proofErr w:type="spellEnd"/>
      <w:r>
        <w:t>. Señala que los países latinoamericanos enfrentan una doble brecha —tecnológica y educativa— que obstaculiza el aprovechamiento pleno de la banca digital. Este referente aporta una visión regional que refuerza la comparación con el contexto colombiano.</w:t>
      </w:r>
    </w:p>
    <w:p w14:paraId="6F502F4B" w14:textId="77777777" w:rsidR="006062E0" w:rsidRDefault="006062E0" w:rsidP="006062E0">
      <w:r>
        <w:t xml:space="preserve">OCDE. (2022). Digital </w:t>
      </w:r>
      <w:proofErr w:type="spellStart"/>
      <w:r>
        <w:t>financial</w:t>
      </w:r>
      <w:proofErr w:type="spellEnd"/>
      <w:r>
        <w:t xml:space="preserve"> </w:t>
      </w:r>
      <w:proofErr w:type="spellStart"/>
      <w:r>
        <w:t>education</w:t>
      </w:r>
      <w:proofErr w:type="spellEnd"/>
      <w:r>
        <w:t xml:space="preserve"> </w:t>
      </w:r>
      <w:proofErr w:type="spellStart"/>
      <w:r>
        <w:t>for</w:t>
      </w:r>
      <w:proofErr w:type="spellEnd"/>
      <w:r>
        <w:t xml:space="preserve"> </w:t>
      </w:r>
      <w:proofErr w:type="spellStart"/>
      <w:r>
        <w:t>emerging</w:t>
      </w:r>
      <w:proofErr w:type="spellEnd"/>
      <w:r>
        <w:t xml:space="preserve"> </w:t>
      </w:r>
      <w:proofErr w:type="spellStart"/>
      <w:r>
        <w:t>economies</w:t>
      </w:r>
      <w:proofErr w:type="spellEnd"/>
      <w:r>
        <w:t>. Expone estrategias de educación financiera digital que han permitido ampliar la inclusión en comunidades rurales de México y Chile. Este documento aporta lineamientos replicables en territorios rurales como Aguachica.</w:t>
      </w:r>
    </w:p>
    <w:p w14:paraId="3EE4D479" w14:textId="2AAD3C63" w:rsidR="00D16C21" w:rsidRPr="00004AD9" w:rsidRDefault="00964066" w:rsidP="00964066">
      <w:pPr>
        <w:pStyle w:val="Ttulo2"/>
      </w:pPr>
      <w:bookmarkStart w:id="6" w:name="_Toc212647863"/>
      <w:bookmarkEnd w:id="5"/>
      <w:r w:rsidRPr="00964066">
        <w:t>Diagnosticar la inclusión financiera en la zona rural del municipio de Aguachica, considerando los niveles de acceso, uso y calidad percibida</w:t>
      </w:r>
      <w:bookmarkEnd w:id="6"/>
    </w:p>
    <w:p w14:paraId="0760BD6F" w14:textId="77777777" w:rsidR="00964066" w:rsidRDefault="00964066" w:rsidP="00964066">
      <w:pPr>
        <w:spacing w:line="360" w:lineRule="auto"/>
      </w:pPr>
      <w:r>
        <w:t>Para el desarrollo de este objetivo se consultó el Reporte de Inclusión Financiera 2024, documento oficial elaborado anualmente por Banca de las Oportunidades y la Superintendencia Financiera de Colombia (SFC).</w:t>
      </w:r>
    </w:p>
    <w:p w14:paraId="255005FF" w14:textId="77777777" w:rsidR="00964066" w:rsidRDefault="00964066" w:rsidP="00964066">
      <w:pPr>
        <w:spacing w:line="360" w:lineRule="auto"/>
      </w:pPr>
      <w:r>
        <w:t>Este informe constituye la principal fuente estadística del país sobre los avances, brechas y comportamientos en el acceso, uso y calidad de los servicios financieros, tanto en zonas urbanas como rurales. A partir de este insumo, se realizó un análisis comparativo que permite contextualizar la situación de inclusión financiera en las zonas rurales del municipio de Aguachica, a la luz de las tendencias nacionales más recientes.</w:t>
      </w:r>
    </w:p>
    <w:p w14:paraId="31F485F9" w14:textId="77777777" w:rsidR="00964066" w:rsidRDefault="00964066" w:rsidP="00964066">
      <w:pPr>
        <w:spacing w:line="360" w:lineRule="auto"/>
      </w:pPr>
      <w:r>
        <w:t>El diagnóstico realizado con base en el Reporte de Inclusión Financiera 2024 permite concluir que la inclusión financiera en las zonas rurales del municipio de Aguachica se encuentra en una fase intermedia, caracterizada por avances en la cobertura de productos digitales, pero con persistentes limitaciones de acceso, uso y calidad.</w:t>
      </w:r>
    </w:p>
    <w:p w14:paraId="6BB7EA24" w14:textId="0CC46B31" w:rsidR="00D16C21" w:rsidRPr="00004AD9" w:rsidRDefault="00964066" w:rsidP="00964066">
      <w:pPr>
        <w:spacing w:line="360" w:lineRule="auto"/>
      </w:pPr>
      <w:r>
        <w:t>Aunque la banca digital ofrece una oportunidad real para cerrar la brecha urbano-rural, su impacto efectivo sigue condicionado por la conectividad deficiente, la baja alfabetización digital y la desconfianza hacia los canales virtuales.</w:t>
      </w:r>
    </w:p>
    <w:p w14:paraId="0BAA8080" w14:textId="2BA59F30" w:rsidR="00D16C21" w:rsidRPr="00004AD9" w:rsidRDefault="003336A6" w:rsidP="00D16C21">
      <w:pPr>
        <w:spacing w:line="360" w:lineRule="auto"/>
      </w:pPr>
      <w:proofErr w:type="spellStart"/>
      <w:r>
        <w:lastRenderedPageBreak/>
        <w:t>Ademas</w:t>
      </w:r>
      <w:proofErr w:type="spellEnd"/>
      <w:r>
        <w:t xml:space="preserve"> de lo anterior para entender </w:t>
      </w:r>
      <w:r w:rsidR="002300DC">
        <w:t xml:space="preserve">el contexto del municipio de </w:t>
      </w:r>
      <w:proofErr w:type="spellStart"/>
      <w:r w:rsidR="002300DC">
        <w:t>aguachcia</w:t>
      </w:r>
      <w:proofErr w:type="spellEnd"/>
      <w:r w:rsidR="002300DC">
        <w:t xml:space="preserve"> se </w:t>
      </w:r>
      <w:proofErr w:type="spellStart"/>
      <w:r w:rsidR="002300DC">
        <w:t>entrevisto</w:t>
      </w:r>
      <w:proofErr w:type="spellEnd"/>
      <w:r w:rsidR="002300DC">
        <w:t xml:space="preserve"> 5 lideres comunales de la zona rural alta del municipio.</w:t>
      </w:r>
    </w:p>
    <w:p w14:paraId="4974E743" w14:textId="77777777" w:rsidR="002300DC" w:rsidRDefault="002300DC" w:rsidP="002300DC">
      <w:pPr>
        <w:spacing w:line="360" w:lineRule="auto"/>
      </w:pPr>
      <w:r>
        <w:t xml:space="preserve">Con el propósito de complementar la información estadística sobre inclusión financiera proveniente del Reporte de Inclusión Financiera 2024 de la Superintendencia Financiera de Colombia, se realizaron cinco entrevistas semiestructuradas a líderes comunales de la zona rural alta del municipio de Aguachica, específicamente de las veredas Honduras, La </w:t>
      </w:r>
      <w:proofErr w:type="spellStart"/>
      <w:r>
        <w:t>Yeguera</w:t>
      </w:r>
      <w:proofErr w:type="spellEnd"/>
      <w:r>
        <w:t>, Cerro Redondo, Puros Altos y Pamira.</w:t>
      </w:r>
    </w:p>
    <w:p w14:paraId="27105D1B" w14:textId="2F540992" w:rsidR="00D16C21" w:rsidRDefault="002300DC" w:rsidP="002300DC">
      <w:pPr>
        <w:spacing w:line="360" w:lineRule="auto"/>
      </w:pPr>
      <w:r>
        <w:t>El objetivo de las entrevistas fue identificar las percepciones, experiencias y barreras que enfrenta la población rural en el acceso y uso de los servicios financieros, especialmente aquellos relacionados con la banca digital. Los resultados cualitativos permiten contrastar la información oficial con la realidad vivida por las comunidades campesinas del municipio.</w:t>
      </w:r>
    </w:p>
    <w:p w14:paraId="65972617" w14:textId="77777777" w:rsidR="002300DC" w:rsidRPr="002300DC" w:rsidRDefault="002300DC" w:rsidP="002300DC">
      <w:pPr>
        <w:pStyle w:val="Ttulo2"/>
      </w:pPr>
      <w:bookmarkStart w:id="7" w:name="_Toc212647864"/>
      <w:r w:rsidRPr="002300DC">
        <w:t>Caracterizar el comportamiento de la banca digital en la zona rural del municipio de Aguachica, Cesar</w:t>
      </w:r>
      <w:bookmarkEnd w:id="7"/>
    </w:p>
    <w:p w14:paraId="729D2FB2" w14:textId="77777777" w:rsidR="002300DC" w:rsidRPr="002300DC" w:rsidRDefault="002300DC" w:rsidP="002300DC">
      <w:pPr>
        <w:spacing w:line="360" w:lineRule="auto"/>
      </w:pPr>
      <w:r w:rsidRPr="002300DC">
        <w:t>1. Adopción y comportamiento general de la banca digital en Colombia</w:t>
      </w:r>
    </w:p>
    <w:p w14:paraId="133BBCB9" w14:textId="77777777" w:rsidR="002300DC" w:rsidRPr="002300DC" w:rsidRDefault="002300DC" w:rsidP="002300DC">
      <w:pPr>
        <w:spacing w:line="360" w:lineRule="auto"/>
      </w:pPr>
      <w:r w:rsidRPr="002300DC">
        <w:t xml:space="preserve">Según el </w:t>
      </w:r>
      <w:r w:rsidRPr="002300DC">
        <w:rPr>
          <w:i/>
          <w:iCs/>
        </w:rPr>
        <w:t>Reporte de Inclusión Financiera 2024</w:t>
      </w:r>
      <w:r w:rsidRPr="002300DC">
        <w:t>, la banca digital ha experimentado un crecimiento sostenido en el país.</w:t>
      </w:r>
    </w:p>
    <w:p w14:paraId="75C3BED3" w14:textId="77777777" w:rsidR="002300DC" w:rsidRPr="002300DC" w:rsidRDefault="002300DC" w:rsidP="002300DC">
      <w:pPr>
        <w:numPr>
          <w:ilvl w:val="0"/>
          <w:numId w:val="13"/>
        </w:numPr>
        <w:spacing w:line="360" w:lineRule="auto"/>
      </w:pPr>
      <w:r w:rsidRPr="002300DC">
        <w:t>A cierre de 2024, el 66,6 % de las operaciones financieras en Colombia se realizaron a través de canales digitales (internet o aplicaciones móviles), lo que representa un aumento de 3,7 puntos porcentuales frente a 2023.</w:t>
      </w:r>
    </w:p>
    <w:p w14:paraId="717C98A3" w14:textId="77777777" w:rsidR="002300DC" w:rsidRPr="002300DC" w:rsidRDefault="002300DC" w:rsidP="002300DC">
      <w:pPr>
        <w:numPr>
          <w:ilvl w:val="0"/>
          <w:numId w:val="13"/>
        </w:numPr>
        <w:spacing w:line="360" w:lineRule="auto"/>
      </w:pPr>
      <w:r w:rsidRPr="002300DC">
        <w:t>La cuenta de ahorros digital y los depósitos de bajo monto (DBM) se consolidaron como los productos más usados: 82,4 % de los adultos poseen al menos una cuenta de ahorro y 76,1 % tienen depósitos electrónicos</w:t>
      </w:r>
    </w:p>
    <w:p w14:paraId="53F8AC4F" w14:textId="30100391" w:rsidR="002300DC" w:rsidRPr="002300DC" w:rsidRDefault="002300DC" w:rsidP="002300DC">
      <w:pPr>
        <w:spacing w:line="360" w:lineRule="auto"/>
      </w:pPr>
      <w:r w:rsidRPr="002300DC">
        <w:t xml:space="preserve">reporte </w:t>
      </w:r>
      <w:proofErr w:type="spellStart"/>
      <w:r w:rsidRPr="002300DC">
        <w:t>inclusion</w:t>
      </w:r>
      <w:proofErr w:type="spellEnd"/>
      <w:r w:rsidRPr="002300DC">
        <w:t xml:space="preserve"> financiera 2</w:t>
      </w:r>
      <w:r>
        <w:t>024</w:t>
      </w:r>
    </w:p>
    <w:p w14:paraId="79545AB2" w14:textId="77777777" w:rsidR="002300DC" w:rsidRPr="002300DC" w:rsidRDefault="002300DC" w:rsidP="002300DC">
      <w:pPr>
        <w:numPr>
          <w:ilvl w:val="0"/>
          <w:numId w:val="13"/>
        </w:numPr>
        <w:spacing w:line="360" w:lineRule="auto"/>
      </w:pPr>
      <w:r w:rsidRPr="002300DC">
        <w:t xml:space="preserve">Este avance ha permitido que más de 37 millones de colombianos formen parte del sistema financiero formal. Sin embargo, las brechas territoriales y socioeconómicas </w:t>
      </w:r>
      <w:r w:rsidRPr="002300DC">
        <w:lastRenderedPageBreak/>
        <w:t>persisten, especialmente en la ruralidad, donde menos del 65 % de los adultos accede a algún producto financiero formal y solo el 53,4 % los utiliza de forma activa</w:t>
      </w:r>
    </w:p>
    <w:p w14:paraId="34284B3C" w14:textId="186912F5" w:rsidR="002300DC" w:rsidRPr="002300DC" w:rsidRDefault="002300DC" w:rsidP="002300DC">
      <w:pPr>
        <w:spacing w:line="360" w:lineRule="auto"/>
      </w:pPr>
      <w:r w:rsidRPr="002300DC">
        <w:t xml:space="preserve">reporte </w:t>
      </w:r>
      <w:proofErr w:type="spellStart"/>
      <w:r w:rsidRPr="002300DC">
        <w:t>inclusion</w:t>
      </w:r>
      <w:proofErr w:type="spellEnd"/>
      <w:r w:rsidRPr="002300DC">
        <w:t xml:space="preserve"> financiera 2</w:t>
      </w:r>
      <w:r>
        <w:t>024</w:t>
      </w:r>
    </w:p>
    <w:p w14:paraId="5A6D2DD2" w14:textId="3F027031" w:rsidR="00F61D08" w:rsidRDefault="00F61D08" w:rsidP="00F61D08">
      <w:pPr>
        <w:spacing w:line="360" w:lineRule="auto"/>
        <w:rPr>
          <w:b/>
          <w:bCs/>
        </w:rPr>
      </w:pPr>
      <w:r w:rsidRPr="00F61D08">
        <w:rPr>
          <w:b/>
          <w:bCs/>
        </w:rPr>
        <w:t>Estrategias propuestas</w:t>
      </w:r>
    </w:p>
    <w:p w14:paraId="6E945BF9" w14:textId="0BD637C7" w:rsidR="00F61D08" w:rsidRPr="00F61D08" w:rsidRDefault="00F61D08" w:rsidP="00F61D08">
      <w:pPr>
        <w:spacing w:line="360" w:lineRule="auto"/>
      </w:pPr>
    </w:p>
    <w:p w14:paraId="4C9962F5" w14:textId="5678BDD0" w:rsidR="00F61D08" w:rsidRPr="00F61D08" w:rsidRDefault="00F61D08" w:rsidP="00F61D08">
      <w:pPr>
        <w:spacing w:line="360" w:lineRule="auto"/>
      </w:pPr>
      <w:r w:rsidRPr="00F61D08">
        <w:t>Enfoque de implementación</w:t>
      </w:r>
    </w:p>
    <w:p w14:paraId="33762274" w14:textId="77777777" w:rsidR="00F61D08" w:rsidRPr="00F61D08" w:rsidRDefault="00F61D08" w:rsidP="00F61D08">
      <w:pPr>
        <w:spacing w:line="360" w:lineRule="auto"/>
      </w:pPr>
      <w:r w:rsidRPr="00F61D08">
        <w:t>Estas estrategias deben implementarse de manera interinstitucional, involucrando tanto al sector financiero como a las autoridades locales y las organizaciones comunitarias rurales.</w:t>
      </w:r>
      <w:r w:rsidRPr="00F61D08">
        <w:br/>
        <w:t>El papel de los líderes comunales es fundamental como multiplicadores del conocimiento, mientras que la administración municipal y las entidades bancarias deben garantizar la infraestructura y el acompañamiento técnico.</w:t>
      </w:r>
    </w:p>
    <w:p w14:paraId="561480A0" w14:textId="77777777" w:rsidR="00F61D08" w:rsidRPr="00F61D08" w:rsidRDefault="00F61D08" w:rsidP="00F61D08">
      <w:pPr>
        <w:spacing w:line="360" w:lineRule="auto"/>
      </w:pPr>
      <w:r w:rsidRPr="00F61D08">
        <w:t>El éxito de la estrategia dependerá de tres condiciones clave:</w:t>
      </w:r>
    </w:p>
    <w:p w14:paraId="6B9754B6" w14:textId="77777777" w:rsidR="00F61D08" w:rsidRPr="00F61D08" w:rsidRDefault="00F61D08" w:rsidP="00F61D08">
      <w:pPr>
        <w:numPr>
          <w:ilvl w:val="0"/>
          <w:numId w:val="18"/>
        </w:numPr>
        <w:spacing w:line="360" w:lineRule="auto"/>
      </w:pPr>
      <w:r w:rsidRPr="00F61D08">
        <w:t>Conectividad rural efectiva: acceso estable a internet en las veredas.</w:t>
      </w:r>
    </w:p>
    <w:p w14:paraId="2799BB1C" w14:textId="77777777" w:rsidR="00F61D08" w:rsidRPr="00F61D08" w:rsidRDefault="00F61D08" w:rsidP="00F61D08">
      <w:pPr>
        <w:numPr>
          <w:ilvl w:val="0"/>
          <w:numId w:val="18"/>
        </w:numPr>
        <w:spacing w:line="360" w:lineRule="auto"/>
      </w:pPr>
      <w:r w:rsidRPr="00F61D08">
        <w:t>Educación continua: formación constante en finanzas digitales.</w:t>
      </w:r>
    </w:p>
    <w:p w14:paraId="4FABF7B7" w14:textId="77777777" w:rsidR="00F61D08" w:rsidRPr="00F61D08" w:rsidRDefault="00F61D08" w:rsidP="00F61D08">
      <w:pPr>
        <w:numPr>
          <w:ilvl w:val="0"/>
          <w:numId w:val="18"/>
        </w:numPr>
        <w:spacing w:line="360" w:lineRule="auto"/>
      </w:pPr>
      <w:r w:rsidRPr="00F61D08">
        <w:t>Confianza institucional: presencia cercana de las entidades financieras en el territorio.</w:t>
      </w:r>
    </w:p>
    <w:p w14:paraId="3E50A60A" w14:textId="76C329B8" w:rsidR="00F61D08" w:rsidRPr="00F61D08" w:rsidRDefault="00F61D08" w:rsidP="00F61D08">
      <w:pPr>
        <w:spacing w:line="360" w:lineRule="auto"/>
      </w:pPr>
      <w:r w:rsidRPr="00F61D08">
        <w:t>Conclusión del objetivo</w:t>
      </w:r>
    </w:p>
    <w:p w14:paraId="36FEB1BD" w14:textId="77777777" w:rsidR="00F61D08" w:rsidRPr="00F61D08" w:rsidRDefault="00F61D08" w:rsidP="00F61D08">
      <w:pPr>
        <w:spacing w:line="360" w:lineRule="auto"/>
      </w:pPr>
      <w:r w:rsidRPr="00F61D08">
        <w:t>Las estrategias propuestas apuntan a transformar la banca digital en una herramienta real de inclusión financiera rural, adaptada a las condiciones sociales, tecnológicas y culturales del municipio de Aguachica.</w:t>
      </w:r>
      <w:r w:rsidRPr="00F61D08">
        <w:br/>
        <w:t>Más que promover el uso de aplicaciones, se busca fortalecer la capacidad de los habitantes rurales para gestionar su economía digitalmente, reduciendo la exclusión y potenciando el desarrollo local.</w:t>
      </w:r>
    </w:p>
    <w:p w14:paraId="63F56CE9" w14:textId="77777777" w:rsidR="00F61D08" w:rsidRDefault="00F61D08" w:rsidP="00F61D08">
      <w:pPr>
        <w:spacing w:line="360" w:lineRule="auto"/>
      </w:pPr>
      <w:r w:rsidRPr="00F61D08">
        <w:lastRenderedPageBreak/>
        <w:t xml:space="preserve">De esta manera, la banca digital deja de ser un privilegio urbano y se convierte en una oportunidad de equidad y progreso rural, alineada con los lineamientos del </w:t>
      </w:r>
      <w:r w:rsidRPr="00F61D08">
        <w:rPr>
          <w:i/>
          <w:iCs/>
        </w:rPr>
        <w:t>Plan Nacional de Desarrollo 2022–2026</w:t>
      </w:r>
      <w:r w:rsidRPr="00F61D08">
        <w:t xml:space="preserve"> y la </w:t>
      </w:r>
      <w:r w:rsidRPr="00F61D08">
        <w:rPr>
          <w:i/>
          <w:iCs/>
        </w:rPr>
        <w:t>Política Nacional de Inclusión Financiera</w:t>
      </w:r>
      <w:r w:rsidRPr="00F61D08">
        <w:t xml:space="preserve"> del Gobierno de Colombia.</w:t>
      </w:r>
    </w:p>
    <w:p w14:paraId="2011BDAC" w14:textId="77777777" w:rsidR="002C38D3" w:rsidRDefault="002C38D3" w:rsidP="00F61D08">
      <w:pPr>
        <w:spacing w:line="360" w:lineRule="auto"/>
      </w:pPr>
    </w:p>
    <w:p w14:paraId="148974EA" w14:textId="77777777" w:rsidR="00D16C21" w:rsidRPr="00004AD9" w:rsidRDefault="00D16C21" w:rsidP="00DA7C85">
      <w:pPr>
        <w:pStyle w:val="Ttulo1"/>
        <w:spacing w:after="240"/>
        <w:ind w:left="432"/>
      </w:pPr>
      <w:bookmarkStart w:id="8" w:name="_Toc81065298"/>
      <w:bookmarkStart w:id="9" w:name="_Toc212647865"/>
      <w:r w:rsidRPr="00004AD9">
        <w:t>Discusión</w:t>
      </w:r>
      <w:bookmarkEnd w:id="8"/>
      <w:bookmarkEnd w:id="9"/>
    </w:p>
    <w:p w14:paraId="64515D72" w14:textId="77777777" w:rsidR="00F61D08" w:rsidRPr="00F61D08" w:rsidRDefault="00F61D08" w:rsidP="00F61D08">
      <w:pPr>
        <w:spacing w:line="360" w:lineRule="auto"/>
        <w:ind w:firstLine="432"/>
        <w:rPr>
          <w:szCs w:val="24"/>
        </w:rPr>
      </w:pPr>
      <w:r w:rsidRPr="00F61D08">
        <w:rPr>
          <w:szCs w:val="24"/>
        </w:rPr>
        <w:t>La discusión de los resultados se fundamenta en la interpretación de los hallazgos obtenidos en el trabajo de campo y su contraste con los postulados teóricos revisados. Los resultados muestran que, a pesar de los avances de la banca digital en Colombia, persisten amplias brechas de acceso y uso en las zonas rurales altas del municipio de Aguachica, donde las condiciones tecnológicas, culturales y económicas continúan limitando el alcance de la inclusión financiera.</w:t>
      </w:r>
    </w:p>
    <w:p w14:paraId="227F1ECF" w14:textId="72E735F6" w:rsidR="00F61D08" w:rsidRPr="00F61D08" w:rsidRDefault="00F61D08" w:rsidP="00F61D08">
      <w:pPr>
        <w:spacing w:line="360" w:lineRule="auto"/>
        <w:ind w:firstLine="432"/>
        <w:rPr>
          <w:szCs w:val="24"/>
        </w:rPr>
      </w:pPr>
      <w:r w:rsidRPr="00F61D08">
        <w:rPr>
          <w:szCs w:val="24"/>
        </w:rPr>
        <w:t>Inclusión financiera en el contexto rural</w:t>
      </w:r>
    </w:p>
    <w:p w14:paraId="4A66AC56" w14:textId="77777777" w:rsidR="00F61D08" w:rsidRPr="00F61D08" w:rsidRDefault="00F61D08" w:rsidP="00F61D08">
      <w:pPr>
        <w:spacing w:line="360" w:lineRule="auto"/>
        <w:ind w:firstLine="432"/>
        <w:rPr>
          <w:szCs w:val="24"/>
        </w:rPr>
      </w:pPr>
      <w:r w:rsidRPr="00F61D08">
        <w:rPr>
          <w:szCs w:val="24"/>
        </w:rPr>
        <w:t xml:space="preserve">De acuerdo con la Superintendencia Financiera de Colombia (2024), el país ha alcanzado un 95,8 % de adultos con al menos un producto financiero, lo cual refleja un crecimiento sostenido en los últimos años. Sin embargo, como señalan Sarma y </w:t>
      </w:r>
      <w:proofErr w:type="spellStart"/>
      <w:r w:rsidRPr="00F61D08">
        <w:rPr>
          <w:szCs w:val="24"/>
        </w:rPr>
        <w:t>Pais</w:t>
      </w:r>
      <w:proofErr w:type="spellEnd"/>
      <w:r w:rsidRPr="00F61D08">
        <w:rPr>
          <w:szCs w:val="24"/>
        </w:rPr>
        <w:t xml:space="preserve"> (2011), el acceso financiero por sí solo no garantiza inclusión, ya que esta depende de la capacidad de la población para usar y apropiarse de los servicios disponibles.</w:t>
      </w:r>
    </w:p>
    <w:p w14:paraId="5FEE3543" w14:textId="77777777" w:rsidR="00F61D08" w:rsidRPr="00F61D08" w:rsidRDefault="00F61D08" w:rsidP="00F61D08">
      <w:pPr>
        <w:spacing w:line="360" w:lineRule="auto"/>
        <w:ind w:firstLine="432"/>
        <w:rPr>
          <w:szCs w:val="24"/>
        </w:rPr>
      </w:pPr>
      <w:r w:rsidRPr="00F61D08">
        <w:rPr>
          <w:szCs w:val="24"/>
        </w:rPr>
        <w:t xml:space="preserve">En el caso de Aguachica, los resultados evidencian que la mayoría de los habitantes rurales no logra aprovechar plenamente los productos financieros por la falta de infraestructura digital y conectividad estable, confirmando la brecha urbano–rural advertida por </w:t>
      </w:r>
      <w:proofErr w:type="spellStart"/>
      <w:r w:rsidRPr="00F61D08">
        <w:rPr>
          <w:szCs w:val="24"/>
        </w:rPr>
        <w:t>Demirgüç</w:t>
      </w:r>
      <w:proofErr w:type="spellEnd"/>
      <w:r w:rsidRPr="00F61D08">
        <w:rPr>
          <w:szCs w:val="24"/>
        </w:rPr>
        <w:t>-Kunt et al. (2022) en su estudio sobre inclusión financiera global.</w:t>
      </w:r>
    </w:p>
    <w:p w14:paraId="131A3F3D" w14:textId="77777777" w:rsidR="00F61D08" w:rsidRPr="00F61D08" w:rsidRDefault="00F61D08" w:rsidP="00F61D08">
      <w:pPr>
        <w:spacing w:line="360" w:lineRule="auto"/>
        <w:ind w:firstLine="432"/>
        <w:rPr>
          <w:szCs w:val="24"/>
        </w:rPr>
      </w:pPr>
      <w:r w:rsidRPr="00F61D08">
        <w:rPr>
          <w:szCs w:val="24"/>
        </w:rPr>
        <w:t xml:space="preserve">La información obtenida en las entrevistas con líderes comunales de las veredas Honduras, La </w:t>
      </w:r>
      <w:proofErr w:type="spellStart"/>
      <w:r w:rsidRPr="00F61D08">
        <w:rPr>
          <w:szCs w:val="24"/>
        </w:rPr>
        <w:t>Yeguera</w:t>
      </w:r>
      <w:proofErr w:type="spellEnd"/>
      <w:r w:rsidRPr="00F61D08">
        <w:rPr>
          <w:szCs w:val="24"/>
        </w:rPr>
        <w:t xml:space="preserve">, Cerro Redondo, Puros Altos y Pamira muestra que la población rural sigue dependiendo del efectivo y de los corresponsales bancarios como medio principal de manejo financiero. Esto coincide con lo señalado por Arbeláez y Zuluaga </w:t>
      </w:r>
      <w:r w:rsidRPr="00F61D08">
        <w:rPr>
          <w:szCs w:val="24"/>
        </w:rPr>
        <w:lastRenderedPageBreak/>
        <w:t>(2020), quienes destacan que las comunidades rurales colombianas mantienen patrones tradicionales de ahorro y crédito debido a la desconfianza institucional y la baja educación financiera.</w:t>
      </w:r>
    </w:p>
    <w:p w14:paraId="542A5170" w14:textId="77777777" w:rsidR="00F61D08" w:rsidRPr="00F61D08" w:rsidRDefault="00F61D08" w:rsidP="00F61D08">
      <w:pPr>
        <w:spacing w:line="360" w:lineRule="auto"/>
        <w:ind w:firstLine="432"/>
        <w:rPr>
          <w:szCs w:val="24"/>
        </w:rPr>
      </w:pPr>
      <w:r w:rsidRPr="00F61D08">
        <w:rPr>
          <w:szCs w:val="24"/>
        </w:rPr>
        <w:t>Si bien la banca digital representa una oportunidad para ampliar la cobertura del sistema financiero, su efectividad depende de la infraestructura de conectividad, la educación digital y la presencia territorial de las entidades financieras.</w:t>
      </w:r>
    </w:p>
    <w:p w14:paraId="7856F9CA" w14:textId="21139062" w:rsidR="00D16C21" w:rsidRPr="00DA7C85" w:rsidRDefault="00F61D08" w:rsidP="00F61D08">
      <w:pPr>
        <w:spacing w:line="360" w:lineRule="auto"/>
        <w:ind w:firstLine="432"/>
        <w:rPr>
          <w:szCs w:val="24"/>
        </w:rPr>
      </w:pPr>
      <w:r w:rsidRPr="00F61D08">
        <w:rPr>
          <w:szCs w:val="24"/>
        </w:rPr>
        <w:t>El análisis a la luz del marco teórico evidencia que la inclusión financiera en la zona rural de Aguachica no se logra únicamente mediante la oferta de servicios digitales, sino a través de una transformación social y educativa que permita a la población campesina apropiarse de las herramientas tecnológicas con seguridad, confianza y acompañamiento continuo.</w:t>
      </w:r>
    </w:p>
    <w:p w14:paraId="085D1095" w14:textId="1ABB7944" w:rsidR="00D16C21" w:rsidRDefault="00D16C21" w:rsidP="00D16C21">
      <w:pPr>
        <w:pStyle w:val="Ttulo1"/>
        <w:ind w:left="432"/>
      </w:pPr>
      <w:bookmarkStart w:id="10" w:name="_Toc81065299"/>
      <w:bookmarkStart w:id="11" w:name="_Toc212647866"/>
      <w:r w:rsidRPr="00004AD9">
        <w:t>Conclusiones</w:t>
      </w:r>
      <w:bookmarkEnd w:id="10"/>
      <w:bookmarkEnd w:id="11"/>
    </w:p>
    <w:p w14:paraId="7E262B3A" w14:textId="77777777" w:rsidR="00F53D43" w:rsidRPr="00F53D43" w:rsidRDefault="00F53D43" w:rsidP="00F53D43">
      <w:pPr>
        <w:spacing w:line="360" w:lineRule="auto"/>
        <w:ind w:firstLine="708"/>
        <w:rPr>
          <w:szCs w:val="24"/>
        </w:rPr>
      </w:pPr>
      <w:r w:rsidRPr="00F53D43">
        <w:rPr>
          <w:szCs w:val="24"/>
        </w:rPr>
        <w:t>La inclusión financiera en la zona rural de Aguachica presenta un desarrollo limitado, caracterizado por un bajo acceso y uso de los productos financieros, especialmente de los canales digitales. Aunque a nivel nacional la cobertura bancaria ha alcanzado cifras cercanas al 95,8 % de adultos con algún producto financiero, la realidad en las veredas rurales muestra una brecha persistente causada por la insuficiente infraestructura tecnológica, la falta de conectividad y la escasa presencia institucional.</w:t>
      </w:r>
    </w:p>
    <w:p w14:paraId="7B0087A3" w14:textId="77777777" w:rsidR="00F53D43" w:rsidRPr="00F53D43" w:rsidRDefault="00F53D43" w:rsidP="00F53D43">
      <w:pPr>
        <w:spacing w:line="360" w:lineRule="auto"/>
        <w:ind w:firstLine="708"/>
        <w:rPr>
          <w:szCs w:val="24"/>
        </w:rPr>
      </w:pPr>
      <w:r w:rsidRPr="00F53D43">
        <w:rPr>
          <w:szCs w:val="24"/>
        </w:rPr>
        <w:t>La banca digital, pese a ser una herramienta con alto potencial para promover la inclusión financiera, aún no ha sido plenamente adoptada por la población rural. Su uso se concentra en jóvenes y beneficiarios de subsidios, mientras que los adultos mayores mantienen resistencia o desconfianza hacia las plataformas virtuales. Esta situación se debe principalmente al desconocimiento de su funcionamiento, a la falta de acompañamiento educativo y a experiencias previas de fraude o estafa.</w:t>
      </w:r>
    </w:p>
    <w:p w14:paraId="33C7EBC3" w14:textId="77777777" w:rsidR="00F53D43" w:rsidRPr="00F53D43" w:rsidRDefault="00F53D43" w:rsidP="00F53D43">
      <w:pPr>
        <w:spacing w:line="360" w:lineRule="auto"/>
        <w:ind w:firstLine="708"/>
        <w:rPr>
          <w:szCs w:val="24"/>
        </w:rPr>
      </w:pPr>
      <w:r w:rsidRPr="00F53D43">
        <w:rPr>
          <w:szCs w:val="24"/>
        </w:rPr>
        <w:t xml:space="preserve">Las barreras que limitan la inclusión financiera rural son de tipo tecnológico, cultural y económico. La deficiencia de conectividad en las veredas de Honduras, La </w:t>
      </w:r>
      <w:proofErr w:type="spellStart"/>
      <w:r w:rsidRPr="00F53D43">
        <w:rPr>
          <w:szCs w:val="24"/>
        </w:rPr>
        <w:t>Yeguera</w:t>
      </w:r>
      <w:proofErr w:type="spellEnd"/>
      <w:r w:rsidRPr="00F53D43">
        <w:rPr>
          <w:szCs w:val="24"/>
        </w:rPr>
        <w:t xml:space="preserve">, Cerro Redondo, Puros Altos y Pamira imposibilita el acceso a servicios en línea. </w:t>
      </w:r>
      <w:r w:rsidRPr="00F53D43">
        <w:rPr>
          <w:szCs w:val="24"/>
        </w:rPr>
        <w:lastRenderedPageBreak/>
        <w:t>Además, la preferencia por el uso del efectivo, las tradiciones económicas heredadas y los bajos ingresos rurales impiden la consolidación de un uso sostenido de la banca digital.</w:t>
      </w:r>
    </w:p>
    <w:p w14:paraId="4D331626" w14:textId="77777777" w:rsidR="00F53D43" w:rsidRPr="00F53D43" w:rsidRDefault="00F53D43" w:rsidP="00F53D43">
      <w:pPr>
        <w:spacing w:line="360" w:lineRule="auto"/>
        <w:ind w:firstLine="708"/>
        <w:rPr>
          <w:szCs w:val="24"/>
        </w:rPr>
      </w:pPr>
      <w:r w:rsidRPr="00F53D43">
        <w:rPr>
          <w:szCs w:val="24"/>
        </w:rPr>
        <w:t>Las entrevistas con los líderes comunales permitieron identificar la percepción comunitaria frente al sistema financiero, mostrando que existe interés en conocer y utilizar los servicios digitales, pero también una clara necesidad de capacitación y apoyo institucional. Los habitantes rurales no rechazan la digitalización, sino que demandan orientación, confianza y presencia constante de las entidades bancarias.</w:t>
      </w:r>
    </w:p>
    <w:p w14:paraId="72EF0D4E" w14:textId="77777777" w:rsidR="00F53D43" w:rsidRPr="00F53D43" w:rsidRDefault="00F53D43" w:rsidP="00F53D43">
      <w:pPr>
        <w:spacing w:line="360" w:lineRule="auto"/>
        <w:ind w:firstLine="708"/>
        <w:rPr>
          <w:szCs w:val="24"/>
        </w:rPr>
      </w:pPr>
      <w:r w:rsidRPr="00F53D43">
        <w:rPr>
          <w:szCs w:val="24"/>
        </w:rPr>
        <w:t>La educación financiera y digital emerge como el eje fundamental para fortalecer la inclusión en el sector rural. El conocimiento sobre el manejo seguro de las aplicaciones, la prevención del fraude y la gestión del ahorro digital son competencias esenciales que deben promoverse mediante procesos educativos continuos y adaptados al contexto rural.</w:t>
      </w:r>
    </w:p>
    <w:p w14:paraId="003FF921" w14:textId="77777777" w:rsidR="00D16C21" w:rsidRPr="00004AD9" w:rsidRDefault="00D16C21" w:rsidP="00D16C21">
      <w:pPr>
        <w:pStyle w:val="Ttulo1"/>
        <w:spacing w:line="360" w:lineRule="auto"/>
        <w:ind w:left="720"/>
      </w:pPr>
      <w:bookmarkStart w:id="12" w:name="_Toc81065301"/>
      <w:bookmarkStart w:id="13" w:name="_Toc212647868"/>
      <w:r>
        <w:t xml:space="preserve">Referencias </w:t>
      </w:r>
      <w:r w:rsidRPr="00004AD9">
        <w:t>Bibliogr</w:t>
      </w:r>
      <w:r>
        <w:t>áficas</w:t>
      </w:r>
      <w:bookmarkEnd w:id="12"/>
      <w:bookmarkEnd w:id="13"/>
    </w:p>
    <w:bookmarkStart w:id="14" w:name="_Toc212647869" w:displacedByCustomXml="next"/>
    <w:sdt>
      <w:sdtPr>
        <w:rPr>
          <w:rFonts w:asciiTheme="minorHAnsi" w:eastAsiaTheme="minorHAnsi" w:hAnsiTheme="minorHAnsi" w:cstheme="minorBidi"/>
          <w:b w:val="0"/>
          <w:sz w:val="22"/>
          <w:szCs w:val="22"/>
          <w:lang w:val="es-ES"/>
        </w:rPr>
        <w:id w:val="749850389"/>
        <w:docPartObj>
          <w:docPartGallery w:val="Bibliographies"/>
          <w:docPartUnique/>
        </w:docPartObj>
      </w:sdtPr>
      <w:sdtEndPr>
        <w:rPr>
          <w:rFonts w:ascii="Times New Roman" w:hAnsi="Times New Roman" w:cs="Times New Roman"/>
          <w:sz w:val="24"/>
          <w:szCs w:val="24"/>
          <w:lang w:val="es-CO"/>
        </w:rPr>
      </w:sdtEndPr>
      <w:sdtContent>
        <w:p w14:paraId="62FBB536" w14:textId="3E3A729F" w:rsidR="00DF7FBF" w:rsidRPr="00DF7FBF" w:rsidRDefault="00DF7FBF">
          <w:pPr>
            <w:pStyle w:val="Ttulo1"/>
            <w:rPr>
              <w:color w:val="FFFFFF" w:themeColor="background1"/>
            </w:rPr>
          </w:pPr>
          <w:r w:rsidRPr="00DF7FBF">
            <w:rPr>
              <w:color w:val="FFFFFF" w:themeColor="background1"/>
              <w:lang w:val="es-ES"/>
            </w:rPr>
            <w:t>Referencias</w:t>
          </w:r>
          <w:bookmarkEnd w:id="14"/>
        </w:p>
        <w:sdt>
          <w:sdtPr>
            <w:id w:val="-573587230"/>
            <w:bibliography/>
          </w:sdtPr>
          <w:sdtEndPr>
            <w:rPr>
              <w:rFonts w:cs="Times New Roman"/>
              <w:szCs w:val="24"/>
            </w:rPr>
          </w:sdtEndPr>
          <w:sdtContent>
            <w:p w14:paraId="2AE6D7FA" w14:textId="77777777" w:rsidR="00F53D43" w:rsidRPr="00F53D43" w:rsidRDefault="00F53D43" w:rsidP="00F53D43">
              <w:pPr>
                <w:numPr>
                  <w:ilvl w:val="0"/>
                  <w:numId w:val="19"/>
                </w:numPr>
              </w:pPr>
              <w:r w:rsidRPr="00F53D43">
                <w:t xml:space="preserve">Arbeláez, M., &amp; Zuluaga, S. (2020). </w:t>
              </w:r>
              <w:r w:rsidRPr="00F53D43">
                <w:rPr>
                  <w:i/>
                  <w:iCs/>
                </w:rPr>
                <w:t>Inclusión financiera y desarrollo rural en Colombia: retos y oportunidades</w:t>
              </w:r>
              <w:r w:rsidRPr="00F53D43">
                <w:t>. Revista de Economía del Caribe, (25), 45–68. Universidad del Norte. https://doi.org/10.14482/ecoca.25.2020</w:t>
              </w:r>
            </w:p>
            <w:p w14:paraId="74F862AA" w14:textId="77777777" w:rsidR="00F53D43" w:rsidRPr="00F53D43" w:rsidRDefault="00F53D43" w:rsidP="00F53D43">
              <w:pPr>
                <w:numPr>
                  <w:ilvl w:val="0"/>
                  <w:numId w:val="19"/>
                </w:numPr>
              </w:pPr>
              <w:r w:rsidRPr="00F53D43">
                <w:rPr>
                  <w:lang w:val="en-US"/>
                </w:rPr>
                <w:t xml:space="preserve">Sarma, M., &amp; Pais, J. (2011). </w:t>
              </w:r>
              <w:r w:rsidRPr="00F53D43">
                <w:rPr>
                  <w:i/>
                  <w:iCs/>
                  <w:lang w:val="en-US"/>
                </w:rPr>
                <w:t xml:space="preserve">Financial inclusion and development: A </w:t>
              </w:r>
              <w:proofErr w:type="gramStart"/>
              <w:r w:rsidRPr="00F53D43">
                <w:rPr>
                  <w:i/>
                  <w:iCs/>
                  <w:lang w:val="en-US"/>
                </w:rPr>
                <w:t>cross country</w:t>
              </w:r>
              <w:proofErr w:type="gramEnd"/>
              <w:r w:rsidRPr="00F53D43">
                <w:rPr>
                  <w:i/>
                  <w:iCs/>
                  <w:lang w:val="en-US"/>
                </w:rPr>
                <w:t xml:space="preserve"> analysis</w:t>
              </w:r>
              <w:r w:rsidRPr="00F53D43">
                <w:rPr>
                  <w:lang w:val="en-US"/>
                </w:rPr>
                <w:t xml:space="preserve">. </w:t>
              </w:r>
              <w:proofErr w:type="spellStart"/>
              <w:r w:rsidRPr="00F53D43">
                <w:t>Journal</w:t>
              </w:r>
              <w:proofErr w:type="spellEnd"/>
              <w:r w:rsidRPr="00F53D43">
                <w:t xml:space="preserve"> </w:t>
              </w:r>
              <w:proofErr w:type="spellStart"/>
              <w:r w:rsidRPr="00F53D43">
                <w:t>of</w:t>
              </w:r>
              <w:proofErr w:type="spellEnd"/>
              <w:r w:rsidRPr="00F53D43">
                <w:t xml:space="preserve"> International </w:t>
              </w:r>
              <w:proofErr w:type="spellStart"/>
              <w:r w:rsidRPr="00F53D43">
                <w:t>Development</w:t>
              </w:r>
              <w:proofErr w:type="spellEnd"/>
              <w:r w:rsidRPr="00F53D43">
                <w:t>, 23(5), 613–628. https://doi.org/10.1002/jid.1698</w:t>
              </w:r>
            </w:p>
            <w:p w14:paraId="77EE1395" w14:textId="77777777" w:rsidR="00F53D43" w:rsidRPr="00F53D43" w:rsidRDefault="00F53D43" w:rsidP="00F53D43">
              <w:pPr>
                <w:numPr>
                  <w:ilvl w:val="0"/>
                  <w:numId w:val="19"/>
                </w:numPr>
              </w:pPr>
              <w:proofErr w:type="spellStart"/>
              <w:r w:rsidRPr="00F53D43">
                <w:rPr>
                  <w:lang w:val="en-US"/>
                </w:rPr>
                <w:t>Demirgüç</w:t>
              </w:r>
              <w:proofErr w:type="spellEnd"/>
              <w:r w:rsidRPr="00F53D43">
                <w:rPr>
                  <w:lang w:val="en-US"/>
                </w:rPr>
                <w:t xml:space="preserve">-Kunt, A., Klapper, L., Singer, D., &amp; Ansar, S. (2022). </w:t>
              </w:r>
              <w:r w:rsidRPr="00F53D43">
                <w:rPr>
                  <w:i/>
                  <w:iCs/>
                  <w:lang w:val="en-US"/>
                </w:rPr>
                <w:t>The Global Findex Database 2021: Financial Inclusion, Digital Payments, and Resilience in the Age of COVID-19</w:t>
              </w:r>
              <w:r w:rsidRPr="00F53D43">
                <w:rPr>
                  <w:lang w:val="en-US"/>
                </w:rPr>
                <w:t xml:space="preserve">. </w:t>
              </w:r>
              <w:r w:rsidRPr="00F53D43">
                <w:t>World Bank Group. https://doi.org/10.1596/978-1-4648-1897-4</w:t>
              </w:r>
            </w:p>
            <w:p w14:paraId="037236D7" w14:textId="77777777" w:rsidR="00F53D43" w:rsidRPr="00F53D43" w:rsidRDefault="00F53D43" w:rsidP="00F53D43">
              <w:pPr>
                <w:numPr>
                  <w:ilvl w:val="0"/>
                  <w:numId w:val="19"/>
                </w:numPr>
              </w:pPr>
              <w:r w:rsidRPr="00F53D43">
                <w:rPr>
                  <w:lang w:val="en-US"/>
                </w:rPr>
                <w:lastRenderedPageBreak/>
                <w:t xml:space="preserve">Bateman, M. (2020). </w:t>
              </w:r>
              <w:r w:rsidRPr="00F53D43">
                <w:rPr>
                  <w:i/>
                  <w:iCs/>
                  <w:lang w:val="en-US"/>
                </w:rPr>
                <w:t>Why Microfinance Doesn’t Work: The Destructive Rise of Local Neoliberalism</w:t>
              </w:r>
              <w:r w:rsidRPr="00F53D43">
                <w:rPr>
                  <w:lang w:val="en-US"/>
                </w:rPr>
                <w:t xml:space="preserve">. </w:t>
              </w:r>
              <w:r w:rsidRPr="00F53D43">
                <w:t>Zed Books.</w:t>
              </w:r>
            </w:p>
            <w:p w14:paraId="4FAE8562" w14:textId="77777777" w:rsidR="00F53D43" w:rsidRPr="00F53D43" w:rsidRDefault="00F53D43" w:rsidP="00F53D43">
              <w:pPr>
                <w:numPr>
                  <w:ilvl w:val="0"/>
                  <w:numId w:val="19"/>
                </w:numPr>
                <w:rPr>
                  <w:lang w:val="en-US"/>
                </w:rPr>
              </w:pPr>
              <w:r w:rsidRPr="00F53D43">
                <w:rPr>
                  <w:lang w:val="en-US"/>
                </w:rPr>
                <w:t xml:space="preserve">Cámara, N., &amp; Tuesta, D. (2017). </w:t>
              </w:r>
              <w:r w:rsidRPr="00F53D43">
                <w:rPr>
                  <w:i/>
                  <w:iCs/>
                  <w:lang w:val="en-US"/>
                </w:rPr>
                <w:t>Measuring financial inclusion: A multidimensional index</w:t>
              </w:r>
              <w:r w:rsidRPr="00F53D43">
                <w:rPr>
                  <w:lang w:val="en-US"/>
                </w:rPr>
                <w:t>. BBVA Research Working Paper, 14/26.</w:t>
              </w:r>
            </w:p>
            <w:p w14:paraId="753FF20A" w14:textId="77777777" w:rsidR="00F53D43" w:rsidRPr="00F53D43" w:rsidRDefault="00F53D43" w:rsidP="00F53D43">
              <w:pPr>
                <w:numPr>
                  <w:ilvl w:val="0"/>
                  <w:numId w:val="19"/>
                </w:numPr>
              </w:pPr>
              <w:r w:rsidRPr="00F53D43">
                <w:rPr>
                  <w:lang w:val="en-US"/>
                </w:rPr>
                <w:t xml:space="preserve">Bruhn, M., &amp; Love, I. (2014). </w:t>
              </w:r>
              <w:r w:rsidRPr="00F53D43">
                <w:rPr>
                  <w:i/>
                  <w:iCs/>
                  <w:lang w:val="en-US"/>
                </w:rPr>
                <w:t>The real impact of improved access to finance: Evidence from Mexico</w:t>
              </w:r>
              <w:r w:rsidRPr="00F53D43">
                <w:rPr>
                  <w:lang w:val="en-US"/>
                </w:rPr>
                <w:t xml:space="preserve">. </w:t>
              </w:r>
              <w:r w:rsidRPr="00F53D43">
                <w:t xml:space="preserve">The </w:t>
              </w:r>
              <w:proofErr w:type="spellStart"/>
              <w:r w:rsidRPr="00F53D43">
                <w:t>Journal</w:t>
              </w:r>
              <w:proofErr w:type="spellEnd"/>
              <w:r w:rsidRPr="00F53D43">
                <w:t xml:space="preserve"> </w:t>
              </w:r>
              <w:proofErr w:type="spellStart"/>
              <w:r w:rsidRPr="00F53D43">
                <w:t>of</w:t>
              </w:r>
              <w:proofErr w:type="spellEnd"/>
              <w:r w:rsidRPr="00F53D43">
                <w:t xml:space="preserve"> </w:t>
              </w:r>
              <w:proofErr w:type="spellStart"/>
              <w:r w:rsidRPr="00F53D43">
                <w:t>Finance</w:t>
              </w:r>
              <w:proofErr w:type="spellEnd"/>
              <w:r w:rsidRPr="00F53D43">
                <w:t>, 69(3), 1347–1376. https://doi.org/10.1111/jofi.12091</w:t>
              </w:r>
            </w:p>
            <w:p w14:paraId="6921578C" w14:textId="77777777" w:rsidR="00F53D43" w:rsidRPr="00F53D43" w:rsidRDefault="00F53D43" w:rsidP="00F53D43">
              <w:pPr>
                <w:numPr>
                  <w:ilvl w:val="0"/>
                  <w:numId w:val="20"/>
                </w:numPr>
              </w:pPr>
              <w:r w:rsidRPr="00F53D43">
                <w:t xml:space="preserve">Márquez, L. (2019). </w:t>
              </w:r>
              <w:r w:rsidRPr="00F53D43">
                <w:rPr>
                  <w:i/>
                  <w:iCs/>
                </w:rPr>
                <w:t>Brechas digitales y exclusión financiera en América Latina: un análisis desde la ruralidad</w:t>
              </w:r>
              <w:r w:rsidRPr="00F53D43">
                <w:t>. Revista Latinoamericana de Desarrollo Económico, 31(2), 75–96.</w:t>
              </w:r>
            </w:p>
            <w:p w14:paraId="3F288714" w14:textId="77777777" w:rsidR="00F53D43" w:rsidRPr="00F53D43" w:rsidRDefault="00F53D43" w:rsidP="00F53D43">
              <w:pPr>
                <w:numPr>
                  <w:ilvl w:val="0"/>
                  <w:numId w:val="20"/>
                </w:numPr>
              </w:pPr>
              <w:r w:rsidRPr="00F53D43">
                <w:t xml:space="preserve">OCDE. (2022). </w:t>
              </w:r>
              <w:r w:rsidRPr="00F53D43">
                <w:rPr>
                  <w:i/>
                  <w:iCs/>
                </w:rPr>
                <w:t>Recomendaciones para la educación financiera en economías emergentes: estrategias inclusivas para la digitalización rural</w:t>
              </w:r>
              <w:r w:rsidRPr="00F53D43">
                <w:t>. OECD Publishing. https://doi.org/10.1787/fin-ed-2022</w:t>
              </w:r>
            </w:p>
            <w:p w14:paraId="10D2CF5A" w14:textId="77777777" w:rsidR="00F53D43" w:rsidRPr="00F53D43" w:rsidRDefault="00F53D43" w:rsidP="00F53D43">
              <w:pPr>
                <w:numPr>
                  <w:ilvl w:val="0"/>
                  <w:numId w:val="20"/>
                </w:numPr>
              </w:pPr>
              <w:r w:rsidRPr="00F53D43">
                <w:rPr>
                  <w:lang w:val="en-US"/>
                </w:rPr>
                <w:t xml:space="preserve">Banco Mundial. (2023). </w:t>
              </w:r>
              <w:r w:rsidRPr="00F53D43">
                <w:rPr>
                  <w:i/>
                  <w:iCs/>
                  <w:lang w:val="en-US"/>
                </w:rPr>
                <w:t>Global Findex Database 2023: Measuring Financial Inclusion and the Fintech Revolution</w:t>
              </w:r>
              <w:r w:rsidRPr="00F53D43">
                <w:rPr>
                  <w:lang w:val="en-US"/>
                </w:rPr>
                <w:t xml:space="preserve">. </w:t>
              </w:r>
              <w:r w:rsidRPr="00F53D43">
                <w:t xml:space="preserve">World Bank Group. </w:t>
              </w:r>
              <w:hyperlink r:id="rId8" w:tgtFrame="_new" w:history="1">
                <w:r w:rsidRPr="00F53D43">
                  <w:rPr>
                    <w:rStyle w:val="Hipervnculo"/>
                  </w:rPr>
                  <w:t>https://www.worldbank.org/en/publication/globalfindex</w:t>
                </w:r>
              </w:hyperlink>
            </w:p>
            <w:p w14:paraId="0269754F" w14:textId="77777777" w:rsidR="00F53D43" w:rsidRPr="00F53D43" w:rsidRDefault="00F53D43" w:rsidP="00F53D43">
              <w:pPr>
                <w:numPr>
                  <w:ilvl w:val="0"/>
                  <w:numId w:val="20"/>
                </w:numPr>
              </w:pPr>
              <w:r w:rsidRPr="00F53D43">
                <w:t xml:space="preserve">Asobancaria. (2023). </w:t>
              </w:r>
              <w:r w:rsidRPr="00F53D43">
                <w:rPr>
                  <w:i/>
                  <w:iCs/>
                </w:rPr>
                <w:t>Informe anual de banca digital en Colombia</w:t>
              </w:r>
              <w:r w:rsidRPr="00F53D43">
                <w:t>. Asociación Bancaria y de Entidades Financieras de Colombia. https://www.asobancaria.com</w:t>
              </w:r>
            </w:p>
            <w:p w14:paraId="22C6015D" w14:textId="77777777" w:rsidR="00F53D43" w:rsidRPr="00F53D43" w:rsidRDefault="00F53D43" w:rsidP="00F53D43">
              <w:pPr>
                <w:numPr>
                  <w:ilvl w:val="0"/>
                  <w:numId w:val="20"/>
                </w:numPr>
              </w:pPr>
              <w:r w:rsidRPr="00F53D43">
                <w:t xml:space="preserve">Ministerio de Tecnologías de la Información y las Comunicaciones – MinTIC. (2023). </w:t>
              </w:r>
              <w:r w:rsidRPr="00F53D43">
                <w:rPr>
                  <w:i/>
                  <w:iCs/>
                </w:rPr>
                <w:t>Plan de Conectividad Rural 2022–2026: Colombia Conectada</w:t>
              </w:r>
              <w:r w:rsidRPr="00F53D43">
                <w:t>. Bogotá, D.C.: Autor. https://www.mintic.gov.co</w:t>
              </w:r>
            </w:p>
            <w:p w14:paraId="212EFFF7" w14:textId="77777777" w:rsidR="00F53D43" w:rsidRPr="00F53D43" w:rsidRDefault="00F53D43" w:rsidP="00F53D43">
              <w:pPr>
                <w:numPr>
                  <w:ilvl w:val="0"/>
                  <w:numId w:val="20"/>
                </w:numPr>
              </w:pPr>
              <w:r w:rsidRPr="00F53D43">
                <w:lastRenderedPageBreak/>
                <w:t xml:space="preserve">Hernández, F., &amp; Gaitán, J. (2021). </w:t>
              </w:r>
              <w:r w:rsidRPr="00F53D43">
                <w:rPr>
                  <w:i/>
                  <w:iCs/>
                </w:rPr>
                <w:t>Adopción de la banca móvil en poblaciones rurales colombianas: retos de infraestructura y cultura digital</w:t>
              </w:r>
              <w:r w:rsidRPr="00F53D43">
                <w:t>. Revista Innovar, 31(80), 53–69. https://doi.org/10.15446/innovar.v31n80.</w:t>
              </w:r>
            </w:p>
            <w:p w14:paraId="40C55088" w14:textId="77777777" w:rsidR="00F53D43" w:rsidRPr="00F53D43" w:rsidRDefault="00F53D43" w:rsidP="00F53D43">
              <w:pPr>
                <w:numPr>
                  <w:ilvl w:val="0"/>
                  <w:numId w:val="21"/>
                </w:numPr>
              </w:pPr>
              <w:r w:rsidRPr="00F53D43">
                <w:t xml:space="preserve">Superintendencia Financiera de Colombia &amp; Banca de las Oportunidades. (2024). </w:t>
              </w:r>
              <w:r w:rsidRPr="00F53D43">
                <w:rPr>
                  <w:i/>
                  <w:iCs/>
                </w:rPr>
                <w:t>Reporte de Inclusión Financiera 2024</w:t>
              </w:r>
              <w:r w:rsidRPr="00F53D43">
                <w:t>. Bogotá, D.C.: Autor. https://www.bancadelasoportunidades.gov.co</w:t>
              </w:r>
            </w:p>
            <w:p w14:paraId="6CAF4B2B" w14:textId="77777777" w:rsidR="00F53D43" w:rsidRPr="00F53D43" w:rsidRDefault="00F53D43" w:rsidP="00F53D43">
              <w:pPr>
                <w:numPr>
                  <w:ilvl w:val="0"/>
                  <w:numId w:val="21"/>
                </w:numPr>
              </w:pPr>
              <w:r w:rsidRPr="00F53D43">
                <w:t xml:space="preserve">Presidencia de la República de Colombia. (2022). </w:t>
              </w:r>
              <w:r w:rsidRPr="00F53D43">
                <w:rPr>
                  <w:i/>
                  <w:iCs/>
                </w:rPr>
                <w:t>Plan Nacional de Desarrollo 2022–2026: Colombia potencia mundial de la vida</w:t>
              </w:r>
              <w:r w:rsidRPr="00F53D43">
                <w:t>. Departamento Nacional de Planeación (DNP). https://www.dnp.gov.co</w:t>
              </w:r>
            </w:p>
            <w:p w14:paraId="1BE3A1B1" w14:textId="77777777" w:rsidR="00F53D43" w:rsidRPr="00F53D43" w:rsidRDefault="00F53D43" w:rsidP="00F53D43">
              <w:pPr>
                <w:numPr>
                  <w:ilvl w:val="0"/>
                  <w:numId w:val="21"/>
                </w:numPr>
              </w:pPr>
              <w:r w:rsidRPr="00F53D43">
                <w:t xml:space="preserve">Banco de la República de Colombia. (2023). </w:t>
              </w:r>
              <w:r w:rsidRPr="00F53D43">
                <w:rPr>
                  <w:i/>
                  <w:iCs/>
                </w:rPr>
                <w:t>Educación económica y financiera: estrategias para la población rural colombiana</w:t>
              </w:r>
              <w:r w:rsidRPr="00F53D43">
                <w:t>. Bogotá, D.C.: Autor. https://www.banrep.gov.co</w:t>
              </w:r>
            </w:p>
            <w:p w14:paraId="06BEBA87" w14:textId="77777777" w:rsidR="00F53D43" w:rsidRPr="00F53D43" w:rsidRDefault="00F53D43" w:rsidP="00F53D43">
              <w:pPr>
                <w:numPr>
                  <w:ilvl w:val="0"/>
                  <w:numId w:val="21"/>
                </w:numPr>
              </w:pPr>
              <w:r w:rsidRPr="00F53D43">
                <w:t xml:space="preserve">Departamento Nacional de Planeación (DNP). (2021). </w:t>
              </w:r>
              <w:r w:rsidRPr="00F53D43">
                <w:rPr>
                  <w:i/>
                  <w:iCs/>
                </w:rPr>
                <w:t>Política Nacional de Inclusión Financiera</w:t>
              </w:r>
              <w:r w:rsidRPr="00F53D43">
                <w:t>. Bogotá, D.C.: DNP.</w:t>
              </w:r>
            </w:p>
            <w:p w14:paraId="5E067B7F" w14:textId="77777777" w:rsidR="00F53D43" w:rsidRPr="00F53D43" w:rsidRDefault="00F53D43" w:rsidP="00F53D43">
              <w:pPr>
                <w:numPr>
                  <w:ilvl w:val="0"/>
                  <w:numId w:val="21"/>
                </w:numPr>
              </w:pPr>
              <w:r w:rsidRPr="00F53D43">
                <w:t xml:space="preserve">Banca de las Oportunidades. (2022). </w:t>
              </w:r>
              <w:r w:rsidRPr="00F53D43">
                <w:rPr>
                  <w:i/>
                  <w:iCs/>
                </w:rPr>
                <w:t>Informe de avances en inclusión financiera rural 2018–2022</w:t>
              </w:r>
              <w:r w:rsidRPr="00F53D43">
                <w:t>. Bogotá, D.C.: Autor.</w:t>
              </w:r>
            </w:p>
            <w:p w14:paraId="39BCA8A7" w14:textId="77777777" w:rsidR="00F53D43" w:rsidRPr="00F53D43" w:rsidRDefault="00F53D43" w:rsidP="00F53D43">
              <w:pPr>
                <w:numPr>
                  <w:ilvl w:val="0"/>
                  <w:numId w:val="21"/>
                </w:numPr>
              </w:pPr>
              <w:r w:rsidRPr="00F53D43">
                <w:t xml:space="preserve">Superintendencia Financiera de Colombia. (2022). </w:t>
              </w:r>
              <w:r w:rsidRPr="00F53D43">
                <w:rPr>
                  <w:i/>
                  <w:iCs/>
                </w:rPr>
                <w:t>Educación financiera digital: lineamientos y buenas prácticas en el sistema financiero colombiano</w:t>
              </w:r>
              <w:r w:rsidRPr="00F53D43">
                <w:t>. Bogotá, D.C.: Autor.</w:t>
              </w:r>
            </w:p>
            <w:p w14:paraId="1060608F" w14:textId="77777777" w:rsidR="00F53D43" w:rsidRPr="00F53D43" w:rsidRDefault="00F53D43" w:rsidP="00F53D43">
              <w:pPr>
                <w:numPr>
                  <w:ilvl w:val="0"/>
                  <w:numId w:val="22"/>
                </w:numPr>
              </w:pPr>
              <w:r w:rsidRPr="00F53D43">
                <w:t xml:space="preserve">Yunus, M. (2018). </w:t>
              </w:r>
              <w:r w:rsidRPr="00F53D43">
                <w:rPr>
                  <w:i/>
                  <w:iCs/>
                </w:rPr>
                <w:t>Un mundo de tres ceros: cómo acabar con la pobreza, el desempleo y las emisiones de carbono</w:t>
              </w:r>
              <w:r w:rsidRPr="00F53D43">
                <w:t>. Paidós Empresa.</w:t>
              </w:r>
            </w:p>
            <w:p w14:paraId="5C651967" w14:textId="77777777" w:rsidR="00F53D43" w:rsidRPr="00F53D43" w:rsidRDefault="00F53D43" w:rsidP="00F53D43">
              <w:pPr>
                <w:numPr>
                  <w:ilvl w:val="0"/>
                  <w:numId w:val="22"/>
                </w:numPr>
              </w:pPr>
              <w:r w:rsidRPr="00F53D43">
                <w:lastRenderedPageBreak/>
                <w:t xml:space="preserve">Pérez, C., &amp; Pineda, L. (2021). </w:t>
              </w:r>
              <w:r w:rsidRPr="00F53D43">
                <w:rPr>
                  <w:i/>
                  <w:iCs/>
                </w:rPr>
                <w:t>Educación financiera y transformación digital en comunidades rurales de América Latina</w:t>
              </w:r>
              <w:r w:rsidRPr="00F53D43">
                <w:t>. Revista de Estudios Económicos y Sociales, 28(3), 89–110.</w:t>
              </w:r>
            </w:p>
            <w:p w14:paraId="2D8C5AE3" w14:textId="77777777" w:rsidR="00F53D43" w:rsidRPr="00F53D43" w:rsidRDefault="00F53D43" w:rsidP="00F53D43">
              <w:pPr>
                <w:numPr>
                  <w:ilvl w:val="0"/>
                  <w:numId w:val="22"/>
                </w:numPr>
              </w:pPr>
              <w:r w:rsidRPr="00F53D43">
                <w:t xml:space="preserve">Rojas, D., &amp; Amaya, P. (2020). </w:t>
              </w:r>
              <w:r w:rsidRPr="00F53D43">
                <w:rPr>
                  <w:i/>
                  <w:iCs/>
                </w:rPr>
                <w:t>La educación financiera como instrumento de desarrollo sostenible en zonas rurales</w:t>
              </w:r>
              <w:r w:rsidRPr="00F53D43">
                <w:t>. Revista de Ciencias Sociales (RCS), 26(1), 32–49. https://doi.org/10.31876/rcs.v26i1.34215</w:t>
              </w:r>
            </w:p>
            <w:p w14:paraId="7C878177" w14:textId="77777777" w:rsidR="00F53D43" w:rsidRPr="00F53D43" w:rsidRDefault="00F53D43" w:rsidP="00F53D43">
              <w:pPr>
                <w:numPr>
                  <w:ilvl w:val="0"/>
                  <w:numId w:val="22"/>
                </w:numPr>
              </w:pPr>
              <w:r w:rsidRPr="00F53D43">
                <w:t xml:space="preserve">Torres, J. (2022). </w:t>
              </w:r>
              <w:r w:rsidRPr="00F53D43">
                <w:rPr>
                  <w:i/>
                  <w:iCs/>
                </w:rPr>
                <w:t>Innovación social y bancarización en territorios rurales: desafíos para América Latina</w:t>
              </w:r>
              <w:r w:rsidRPr="00F53D43">
                <w:t>. Revista CEPAL, (138), 121–145.</w:t>
              </w:r>
            </w:p>
            <w:p w14:paraId="757EAB9D" w14:textId="77777777" w:rsidR="00F53D43" w:rsidRPr="00F53D43" w:rsidRDefault="00F53D43" w:rsidP="00F53D43">
              <w:pPr>
                <w:numPr>
                  <w:ilvl w:val="0"/>
                  <w:numId w:val="22"/>
                </w:numPr>
              </w:pPr>
              <w:r w:rsidRPr="00F53D43">
                <w:t xml:space="preserve">Gómez, N. (2023). </w:t>
              </w:r>
              <w:r w:rsidRPr="00F53D43">
                <w:rPr>
                  <w:i/>
                  <w:iCs/>
                </w:rPr>
                <w:t>Inclusión financiera y bienestar económico de comunidades rurales colombianas</w:t>
              </w:r>
              <w:r w:rsidRPr="00F53D43">
                <w:t>. Revista Economía y Región, 19(2), 45–67.</w:t>
              </w:r>
            </w:p>
            <w:p w14:paraId="366CCD30" w14:textId="77777777" w:rsidR="00F53D43" w:rsidRPr="00F53D43" w:rsidRDefault="00F53D43" w:rsidP="00F53D43">
              <w:pPr>
                <w:numPr>
                  <w:ilvl w:val="0"/>
                  <w:numId w:val="23"/>
                </w:numPr>
              </w:pPr>
              <w:r w:rsidRPr="00F53D43">
                <w:t xml:space="preserve">Hernández Sampieri, R., Fernández, C., &amp; Baptista, P. (2022). </w:t>
              </w:r>
              <w:r w:rsidRPr="00F53D43">
                <w:rPr>
                  <w:i/>
                  <w:iCs/>
                </w:rPr>
                <w:t>Metodología de la investigación</w:t>
              </w:r>
              <w:r w:rsidRPr="00F53D43">
                <w:t xml:space="preserve"> (7.ª ed.). McGraw-Hill Interamericana.</w:t>
              </w:r>
            </w:p>
            <w:p w14:paraId="07087FA3" w14:textId="77777777" w:rsidR="00F53D43" w:rsidRPr="00F53D43" w:rsidRDefault="00F53D43" w:rsidP="00F53D43">
              <w:pPr>
                <w:numPr>
                  <w:ilvl w:val="0"/>
                  <w:numId w:val="23"/>
                </w:numPr>
              </w:pPr>
              <w:r w:rsidRPr="00F53D43">
                <w:t xml:space="preserve">Flick, U. (2015). </w:t>
              </w:r>
              <w:r w:rsidRPr="00F53D43">
                <w:rPr>
                  <w:i/>
                  <w:iCs/>
                </w:rPr>
                <w:t>Introducción a la investigación cualitativa</w:t>
              </w:r>
              <w:r w:rsidRPr="00F53D43">
                <w:t xml:space="preserve"> (4.ª ed.). Ediciones Morata.</w:t>
              </w:r>
            </w:p>
            <w:p w14:paraId="6C15317B" w14:textId="77777777" w:rsidR="00F53D43" w:rsidRPr="00F53D43" w:rsidRDefault="00F53D43" w:rsidP="00F53D43">
              <w:pPr>
                <w:numPr>
                  <w:ilvl w:val="0"/>
                  <w:numId w:val="23"/>
                </w:numPr>
              </w:pPr>
              <w:r w:rsidRPr="00F53D43">
                <w:rPr>
                  <w:lang w:val="en-US"/>
                </w:rPr>
                <w:t xml:space="preserve">Creswell, J. W. (2014). </w:t>
              </w:r>
              <w:r w:rsidRPr="00F53D43">
                <w:rPr>
                  <w:i/>
                  <w:iCs/>
                  <w:lang w:val="en-US"/>
                </w:rPr>
                <w:t>Research Design: Qualitative, Quantitative, and Mixed Methods Approaches</w:t>
              </w:r>
              <w:r w:rsidRPr="00F53D43">
                <w:rPr>
                  <w:lang w:val="en-US"/>
                </w:rPr>
                <w:t xml:space="preserve"> (4th ed.). </w:t>
              </w:r>
              <w:r w:rsidRPr="00F53D43">
                <w:t xml:space="preserve">SAGE </w:t>
              </w:r>
              <w:proofErr w:type="spellStart"/>
              <w:r w:rsidRPr="00F53D43">
                <w:t>Publications</w:t>
              </w:r>
              <w:proofErr w:type="spellEnd"/>
              <w:r w:rsidRPr="00F53D43">
                <w:t>.</w:t>
              </w:r>
            </w:p>
            <w:p w14:paraId="0BFE4ACB" w14:textId="04182E67" w:rsidR="00F53D43" w:rsidRPr="00F53D43" w:rsidRDefault="00F53D43" w:rsidP="00F53D43"/>
            <w:p w14:paraId="6D63D30C" w14:textId="42E00E26" w:rsidR="00DF7FBF" w:rsidRPr="004B13DC" w:rsidRDefault="00000000">
              <w:pPr>
                <w:rPr>
                  <w:rFonts w:cs="Times New Roman"/>
                  <w:szCs w:val="24"/>
                  <w:lang w:val="en-US"/>
                </w:rPr>
              </w:pPr>
            </w:p>
          </w:sdtContent>
        </w:sdt>
      </w:sdtContent>
    </w:sdt>
    <w:p w14:paraId="08798EE7" w14:textId="2AA1A416" w:rsidR="00D16C21" w:rsidRPr="004B13DC" w:rsidRDefault="00D16C21" w:rsidP="00D16C21">
      <w:pPr>
        <w:spacing w:before="240"/>
        <w:rPr>
          <w:lang w:val="en-US"/>
        </w:rPr>
      </w:pPr>
    </w:p>
    <w:p w14:paraId="16209C2A" w14:textId="7C13A543" w:rsidR="00DF7FBF" w:rsidRPr="004B13DC" w:rsidRDefault="00DF7FBF" w:rsidP="00D16C21">
      <w:pPr>
        <w:spacing w:before="240"/>
        <w:rPr>
          <w:lang w:val="en-US"/>
        </w:rPr>
      </w:pPr>
    </w:p>
    <w:p w14:paraId="78666E63" w14:textId="1D872FE8" w:rsidR="004927D6" w:rsidRPr="004927D6" w:rsidRDefault="004927D6" w:rsidP="004927D6">
      <w:pPr>
        <w:spacing w:before="240"/>
        <w:jc w:val="center"/>
        <w:rPr>
          <w:rFonts w:cs="Times New Roman"/>
          <w:szCs w:val="24"/>
        </w:rPr>
      </w:pPr>
    </w:p>
    <w:sectPr w:rsidR="004927D6" w:rsidRPr="004927D6" w:rsidSect="00026DCF">
      <w:headerReference w:type="default" r:id="rId9"/>
      <w:pgSz w:w="12240" w:h="15840"/>
      <w:pgMar w:top="1701" w:right="1701" w:bottom="170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26D3AE" w14:textId="77777777" w:rsidR="009E1705" w:rsidRDefault="009E1705" w:rsidP="00026DCF">
      <w:pPr>
        <w:spacing w:after="0" w:line="240" w:lineRule="auto"/>
      </w:pPr>
      <w:r>
        <w:separator/>
      </w:r>
    </w:p>
  </w:endnote>
  <w:endnote w:type="continuationSeparator" w:id="0">
    <w:p w14:paraId="582E303A" w14:textId="77777777" w:rsidR="009E1705" w:rsidRDefault="009E1705" w:rsidP="00026D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2E0593" w14:textId="77777777" w:rsidR="009E1705" w:rsidRDefault="009E1705" w:rsidP="00026DCF">
      <w:pPr>
        <w:spacing w:after="0" w:line="240" w:lineRule="auto"/>
      </w:pPr>
      <w:r>
        <w:separator/>
      </w:r>
    </w:p>
  </w:footnote>
  <w:footnote w:type="continuationSeparator" w:id="0">
    <w:p w14:paraId="5095D3B3" w14:textId="77777777" w:rsidR="009E1705" w:rsidRDefault="009E1705" w:rsidP="00026D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4599012"/>
      <w:docPartObj>
        <w:docPartGallery w:val="Page Numbers (Top of Page)"/>
        <w:docPartUnique/>
      </w:docPartObj>
    </w:sdtPr>
    <w:sdtContent>
      <w:p w14:paraId="7DB4C42E" w14:textId="48DDDB03" w:rsidR="00026DCF" w:rsidRDefault="00026DCF">
        <w:pPr>
          <w:pStyle w:val="Encabezado"/>
          <w:jc w:val="right"/>
        </w:pPr>
        <w:r>
          <w:fldChar w:fldCharType="begin"/>
        </w:r>
        <w:r>
          <w:instrText>PAGE   \* MERGEFORMAT</w:instrText>
        </w:r>
        <w:r>
          <w:fldChar w:fldCharType="separate"/>
        </w:r>
        <w:r>
          <w:rPr>
            <w:lang w:val="es-ES"/>
          </w:rPr>
          <w:t>2</w:t>
        </w:r>
        <w:r>
          <w:fldChar w:fldCharType="end"/>
        </w:r>
      </w:p>
    </w:sdtContent>
  </w:sdt>
  <w:p w14:paraId="60F18DE8" w14:textId="77777777" w:rsidR="00026DCF" w:rsidRDefault="00026DCF">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AF0578"/>
    <w:multiLevelType w:val="hybridMultilevel"/>
    <w:tmpl w:val="442A5782"/>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19EB029E"/>
    <w:multiLevelType w:val="multilevel"/>
    <w:tmpl w:val="0ED2F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8B4C5F"/>
    <w:multiLevelType w:val="multilevel"/>
    <w:tmpl w:val="29AAA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B42B40"/>
    <w:multiLevelType w:val="multilevel"/>
    <w:tmpl w:val="F1DAD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3E5971"/>
    <w:multiLevelType w:val="multilevel"/>
    <w:tmpl w:val="25160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13E0F19"/>
    <w:multiLevelType w:val="multilevel"/>
    <w:tmpl w:val="C024A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63598F"/>
    <w:multiLevelType w:val="hybridMultilevel"/>
    <w:tmpl w:val="F360299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2A070014"/>
    <w:multiLevelType w:val="multilevel"/>
    <w:tmpl w:val="EA8202D2"/>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B9113BA"/>
    <w:multiLevelType w:val="multilevel"/>
    <w:tmpl w:val="049E7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6231822"/>
    <w:multiLevelType w:val="hybridMultilevel"/>
    <w:tmpl w:val="03A2C074"/>
    <w:lvl w:ilvl="0" w:tplc="240A0001">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0" w15:restartNumberingAfterBreak="0">
    <w:nsid w:val="39D30C6C"/>
    <w:multiLevelType w:val="hybridMultilevel"/>
    <w:tmpl w:val="5F5EFACA"/>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11" w15:restartNumberingAfterBreak="0">
    <w:nsid w:val="39E0776D"/>
    <w:multiLevelType w:val="multilevel"/>
    <w:tmpl w:val="B6AC86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BE04CD7"/>
    <w:multiLevelType w:val="multilevel"/>
    <w:tmpl w:val="3E34C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C57220E"/>
    <w:multiLevelType w:val="hybridMultilevel"/>
    <w:tmpl w:val="57D0599E"/>
    <w:lvl w:ilvl="0" w:tplc="240A0001">
      <w:start w:val="1"/>
      <w:numFmt w:val="bullet"/>
      <w:lvlText w:val=""/>
      <w:lvlJc w:val="left"/>
      <w:pPr>
        <w:ind w:left="1428" w:hanging="360"/>
      </w:pPr>
      <w:rPr>
        <w:rFonts w:ascii="Symbol" w:hAnsi="Symbol" w:hint="default"/>
      </w:rPr>
    </w:lvl>
    <w:lvl w:ilvl="1" w:tplc="240A0003" w:tentative="1">
      <w:start w:val="1"/>
      <w:numFmt w:val="bullet"/>
      <w:lvlText w:val="o"/>
      <w:lvlJc w:val="left"/>
      <w:pPr>
        <w:ind w:left="2148" w:hanging="360"/>
      </w:pPr>
      <w:rPr>
        <w:rFonts w:ascii="Courier New" w:hAnsi="Courier New" w:cs="Courier New" w:hint="default"/>
      </w:rPr>
    </w:lvl>
    <w:lvl w:ilvl="2" w:tplc="240A0005" w:tentative="1">
      <w:start w:val="1"/>
      <w:numFmt w:val="bullet"/>
      <w:lvlText w:val=""/>
      <w:lvlJc w:val="left"/>
      <w:pPr>
        <w:ind w:left="2868" w:hanging="360"/>
      </w:pPr>
      <w:rPr>
        <w:rFonts w:ascii="Wingdings" w:hAnsi="Wingdings" w:hint="default"/>
      </w:rPr>
    </w:lvl>
    <w:lvl w:ilvl="3" w:tplc="240A0001" w:tentative="1">
      <w:start w:val="1"/>
      <w:numFmt w:val="bullet"/>
      <w:lvlText w:val=""/>
      <w:lvlJc w:val="left"/>
      <w:pPr>
        <w:ind w:left="3588" w:hanging="360"/>
      </w:pPr>
      <w:rPr>
        <w:rFonts w:ascii="Symbol" w:hAnsi="Symbol" w:hint="default"/>
      </w:rPr>
    </w:lvl>
    <w:lvl w:ilvl="4" w:tplc="240A0003" w:tentative="1">
      <w:start w:val="1"/>
      <w:numFmt w:val="bullet"/>
      <w:lvlText w:val="o"/>
      <w:lvlJc w:val="left"/>
      <w:pPr>
        <w:ind w:left="4308" w:hanging="360"/>
      </w:pPr>
      <w:rPr>
        <w:rFonts w:ascii="Courier New" w:hAnsi="Courier New" w:cs="Courier New" w:hint="default"/>
      </w:rPr>
    </w:lvl>
    <w:lvl w:ilvl="5" w:tplc="240A0005" w:tentative="1">
      <w:start w:val="1"/>
      <w:numFmt w:val="bullet"/>
      <w:lvlText w:val=""/>
      <w:lvlJc w:val="left"/>
      <w:pPr>
        <w:ind w:left="5028" w:hanging="360"/>
      </w:pPr>
      <w:rPr>
        <w:rFonts w:ascii="Wingdings" w:hAnsi="Wingdings" w:hint="default"/>
      </w:rPr>
    </w:lvl>
    <w:lvl w:ilvl="6" w:tplc="240A0001" w:tentative="1">
      <w:start w:val="1"/>
      <w:numFmt w:val="bullet"/>
      <w:lvlText w:val=""/>
      <w:lvlJc w:val="left"/>
      <w:pPr>
        <w:ind w:left="5748" w:hanging="360"/>
      </w:pPr>
      <w:rPr>
        <w:rFonts w:ascii="Symbol" w:hAnsi="Symbol" w:hint="default"/>
      </w:rPr>
    </w:lvl>
    <w:lvl w:ilvl="7" w:tplc="240A0003" w:tentative="1">
      <w:start w:val="1"/>
      <w:numFmt w:val="bullet"/>
      <w:lvlText w:val="o"/>
      <w:lvlJc w:val="left"/>
      <w:pPr>
        <w:ind w:left="6468" w:hanging="360"/>
      </w:pPr>
      <w:rPr>
        <w:rFonts w:ascii="Courier New" w:hAnsi="Courier New" w:cs="Courier New" w:hint="default"/>
      </w:rPr>
    </w:lvl>
    <w:lvl w:ilvl="8" w:tplc="240A0005" w:tentative="1">
      <w:start w:val="1"/>
      <w:numFmt w:val="bullet"/>
      <w:lvlText w:val=""/>
      <w:lvlJc w:val="left"/>
      <w:pPr>
        <w:ind w:left="7188" w:hanging="360"/>
      </w:pPr>
      <w:rPr>
        <w:rFonts w:ascii="Wingdings" w:hAnsi="Wingdings" w:hint="default"/>
      </w:rPr>
    </w:lvl>
  </w:abstractNum>
  <w:abstractNum w:abstractNumId="14" w15:restartNumberingAfterBreak="0">
    <w:nsid w:val="3C6527D6"/>
    <w:multiLevelType w:val="hybridMultilevel"/>
    <w:tmpl w:val="62E8E352"/>
    <w:lvl w:ilvl="0" w:tplc="240A0017">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40913CD1"/>
    <w:multiLevelType w:val="multilevel"/>
    <w:tmpl w:val="9AB47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81C2323"/>
    <w:multiLevelType w:val="multilevel"/>
    <w:tmpl w:val="75D4E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8535C2C"/>
    <w:multiLevelType w:val="hybridMultilevel"/>
    <w:tmpl w:val="7A5ECF8A"/>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4B1B1E4F"/>
    <w:multiLevelType w:val="hybridMultilevel"/>
    <w:tmpl w:val="D53E3A44"/>
    <w:lvl w:ilvl="0" w:tplc="240A0001">
      <w:start w:val="1"/>
      <w:numFmt w:val="bullet"/>
      <w:lvlText w:val=""/>
      <w:lvlJc w:val="left"/>
      <w:pPr>
        <w:ind w:left="1428" w:hanging="360"/>
      </w:pPr>
      <w:rPr>
        <w:rFonts w:ascii="Symbol" w:hAnsi="Symbol" w:hint="default"/>
      </w:rPr>
    </w:lvl>
    <w:lvl w:ilvl="1" w:tplc="240A0003" w:tentative="1">
      <w:start w:val="1"/>
      <w:numFmt w:val="bullet"/>
      <w:lvlText w:val="o"/>
      <w:lvlJc w:val="left"/>
      <w:pPr>
        <w:ind w:left="2148" w:hanging="360"/>
      </w:pPr>
      <w:rPr>
        <w:rFonts w:ascii="Courier New" w:hAnsi="Courier New" w:cs="Courier New" w:hint="default"/>
      </w:rPr>
    </w:lvl>
    <w:lvl w:ilvl="2" w:tplc="240A0005" w:tentative="1">
      <w:start w:val="1"/>
      <w:numFmt w:val="bullet"/>
      <w:lvlText w:val=""/>
      <w:lvlJc w:val="left"/>
      <w:pPr>
        <w:ind w:left="2868" w:hanging="360"/>
      </w:pPr>
      <w:rPr>
        <w:rFonts w:ascii="Wingdings" w:hAnsi="Wingdings" w:hint="default"/>
      </w:rPr>
    </w:lvl>
    <w:lvl w:ilvl="3" w:tplc="240A0001" w:tentative="1">
      <w:start w:val="1"/>
      <w:numFmt w:val="bullet"/>
      <w:lvlText w:val=""/>
      <w:lvlJc w:val="left"/>
      <w:pPr>
        <w:ind w:left="3588" w:hanging="360"/>
      </w:pPr>
      <w:rPr>
        <w:rFonts w:ascii="Symbol" w:hAnsi="Symbol" w:hint="default"/>
      </w:rPr>
    </w:lvl>
    <w:lvl w:ilvl="4" w:tplc="240A0003" w:tentative="1">
      <w:start w:val="1"/>
      <w:numFmt w:val="bullet"/>
      <w:lvlText w:val="o"/>
      <w:lvlJc w:val="left"/>
      <w:pPr>
        <w:ind w:left="4308" w:hanging="360"/>
      </w:pPr>
      <w:rPr>
        <w:rFonts w:ascii="Courier New" w:hAnsi="Courier New" w:cs="Courier New" w:hint="default"/>
      </w:rPr>
    </w:lvl>
    <w:lvl w:ilvl="5" w:tplc="240A0005" w:tentative="1">
      <w:start w:val="1"/>
      <w:numFmt w:val="bullet"/>
      <w:lvlText w:val=""/>
      <w:lvlJc w:val="left"/>
      <w:pPr>
        <w:ind w:left="5028" w:hanging="360"/>
      </w:pPr>
      <w:rPr>
        <w:rFonts w:ascii="Wingdings" w:hAnsi="Wingdings" w:hint="default"/>
      </w:rPr>
    </w:lvl>
    <w:lvl w:ilvl="6" w:tplc="240A0001" w:tentative="1">
      <w:start w:val="1"/>
      <w:numFmt w:val="bullet"/>
      <w:lvlText w:val=""/>
      <w:lvlJc w:val="left"/>
      <w:pPr>
        <w:ind w:left="5748" w:hanging="360"/>
      </w:pPr>
      <w:rPr>
        <w:rFonts w:ascii="Symbol" w:hAnsi="Symbol" w:hint="default"/>
      </w:rPr>
    </w:lvl>
    <w:lvl w:ilvl="7" w:tplc="240A0003" w:tentative="1">
      <w:start w:val="1"/>
      <w:numFmt w:val="bullet"/>
      <w:lvlText w:val="o"/>
      <w:lvlJc w:val="left"/>
      <w:pPr>
        <w:ind w:left="6468" w:hanging="360"/>
      </w:pPr>
      <w:rPr>
        <w:rFonts w:ascii="Courier New" w:hAnsi="Courier New" w:cs="Courier New" w:hint="default"/>
      </w:rPr>
    </w:lvl>
    <w:lvl w:ilvl="8" w:tplc="240A0005" w:tentative="1">
      <w:start w:val="1"/>
      <w:numFmt w:val="bullet"/>
      <w:lvlText w:val=""/>
      <w:lvlJc w:val="left"/>
      <w:pPr>
        <w:ind w:left="7188" w:hanging="360"/>
      </w:pPr>
      <w:rPr>
        <w:rFonts w:ascii="Wingdings" w:hAnsi="Wingdings" w:hint="default"/>
      </w:rPr>
    </w:lvl>
  </w:abstractNum>
  <w:abstractNum w:abstractNumId="19" w15:restartNumberingAfterBreak="0">
    <w:nsid w:val="4F844A69"/>
    <w:multiLevelType w:val="hybridMultilevel"/>
    <w:tmpl w:val="AA2042C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5B133C16"/>
    <w:multiLevelType w:val="hybridMultilevel"/>
    <w:tmpl w:val="A664F42A"/>
    <w:lvl w:ilvl="0" w:tplc="E772AB9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DCD2A73"/>
    <w:multiLevelType w:val="multilevel"/>
    <w:tmpl w:val="82B4B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D0F06AB"/>
    <w:multiLevelType w:val="hybridMultilevel"/>
    <w:tmpl w:val="09DEF9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29876935">
    <w:abstractNumId w:val="22"/>
  </w:num>
  <w:num w:numId="2" w16cid:durableId="431825988">
    <w:abstractNumId w:val="6"/>
  </w:num>
  <w:num w:numId="3" w16cid:durableId="424808040">
    <w:abstractNumId w:val="19"/>
  </w:num>
  <w:num w:numId="4" w16cid:durableId="1006052916">
    <w:abstractNumId w:val="20"/>
  </w:num>
  <w:num w:numId="5" w16cid:durableId="1058355789">
    <w:abstractNumId w:val="17"/>
  </w:num>
  <w:num w:numId="6" w16cid:durableId="1606426180">
    <w:abstractNumId w:val="0"/>
  </w:num>
  <w:num w:numId="7" w16cid:durableId="146753230">
    <w:abstractNumId w:val="14"/>
  </w:num>
  <w:num w:numId="8" w16cid:durableId="921715228">
    <w:abstractNumId w:val="5"/>
  </w:num>
  <w:num w:numId="9" w16cid:durableId="1962758881">
    <w:abstractNumId w:val="13"/>
  </w:num>
  <w:num w:numId="10" w16cid:durableId="292295205">
    <w:abstractNumId w:val="18"/>
  </w:num>
  <w:num w:numId="11" w16cid:durableId="512495901">
    <w:abstractNumId w:val="10"/>
  </w:num>
  <w:num w:numId="12" w16cid:durableId="194317709">
    <w:abstractNumId w:val="9"/>
  </w:num>
  <w:num w:numId="13" w16cid:durableId="1810056063">
    <w:abstractNumId w:val="2"/>
  </w:num>
  <w:num w:numId="14" w16cid:durableId="185337930">
    <w:abstractNumId w:val="1"/>
  </w:num>
  <w:num w:numId="15" w16cid:durableId="768357033">
    <w:abstractNumId w:val="4"/>
  </w:num>
  <w:num w:numId="16" w16cid:durableId="201408390">
    <w:abstractNumId w:val="15"/>
  </w:num>
  <w:num w:numId="17" w16cid:durableId="2015719799">
    <w:abstractNumId w:val="11"/>
  </w:num>
  <w:num w:numId="18" w16cid:durableId="505555990">
    <w:abstractNumId w:val="7"/>
  </w:num>
  <w:num w:numId="19" w16cid:durableId="1766076653">
    <w:abstractNumId w:val="3"/>
  </w:num>
  <w:num w:numId="20" w16cid:durableId="1535340116">
    <w:abstractNumId w:val="8"/>
  </w:num>
  <w:num w:numId="21" w16cid:durableId="122190951">
    <w:abstractNumId w:val="21"/>
  </w:num>
  <w:num w:numId="22" w16cid:durableId="1541745964">
    <w:abstractNumId w:val="16"/>
  </w:num>
  <w:num w:numId="23" w16cid:durableId="162453049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6DCF"/>
    <w:rsid w:val="00026DCF"/>
    <w:rsid w:val="0004785B"/>
    <w:rsid w:val="000910DD"/>
    <w:rsid w:val="00096E6A"/>
    <w:rsid w:val="0010029C"/>
    <w:rsid w:val="00110463"/>
    <w:rsid w:val="00111EE8"/>
    <w:rsid w:val="00124DDA"/>
    <w:rsid w:val="001319EF"/>
    <w:rsid w:val="001A4E42"/>
    <w:rsid w:val="001C2F18"/>
    <w:rsid w:val="001F0BA9"/>
    <w:rsid w:val="00210EBA"/>
    <w:rsid w:val="002300DC"/>
    <w:rsid w:val="00291052"/>
    <w:rsid w:val="002A65C2"/>
    <w:rsid w:val="002B5FAA"/>
    <w:rsid w:val="002C38D3"/>
    <w:rsid w:val="00300F46"/>
    <w:rsid w:val="00322AA5"/>
    <w:rsid w:val="003336A6"/>
    <w:rsid w:val="003574DA"/>
    <w:rsid w:val="0037068F"/>
    <w:rsid w:val="003C62B6"/>
    <w:rsid w:val="004017CA"/>
    <w:rsid w:val="004245ED"/>
    <w:rsid w:val="0043456E"/>
    <w:rsid w:val="00457F2B"/>
    <w:rsid w:val="004654FF"/>
    <w:rsid w:val="00477CE2"/>
    <w:rsid w:val="00491031"/>
    <w:rsid w:val="004927D6"/>
    <w:rsid w:val="004B13DC"/>
    <w:rsid w:val="004B1F0C"/>
    <w:rsid w:val="004B78FA"/>
    <w:rsid w:val="00532D0F"/>
    <w:rsid w:val="005470DF"/>
    <w:rsid w:val="005606A2"/>
    <w:rsid w:val="005D6696"/>
    <w:rsid w:val="005E7499"/>
    <w:rsid w:val="006062E0"/>
    <w:rsid w:val="0063163B"/>
    <w:rsid w:val="006320CC"/>
    <w:rsid w:val="00642E27"/>
    <w:rsid w:val="006502CB"/>
    <w:rsid w:val="006523F6"/>
    <w:rsid w:val="00663299"/>
    <w:rsid w:val="006645D7"/>
    <w:rsid w:val="006D0D2A"/>
    <w:rsid w:val="006E7E71"/>
    <w:rsid w:val="006F4DDA"/>
    <w:rsid w:val="00706011"/>
    <w:rsid w:val="007A7CFD"/>
    <w:rsid w:val="007B69C4"/>
    <w:rsid w:val="00810A4C"/>
    <w:rsid w:val="00833CF5"/>
    <w:rsid w:val="00867311"/>
    <w:rsid w:val="0087007E"/>
    <w:rsid w:val="00885987"/>
    <w:rsid w:val="008D4445"/>
    <w:rsid w:val="009164B7"/>
    <w:rsid w:val="00944CF3"/>
    <w:rsid w:val="00954DB0"/>
    <w:rsid w:val="00964066"/>
    <w:rsid w:val="0096447E"/>
    <w:rsid w:val="0099092A"/>
    <w:rsid w:val="00990B8B"/>
    <w:rsid w:val="009A69DA"/>
    <w:rsid w:val="009C3122"/>
    <w:rsid w:val="009E1705"/>
    <w:rsid w:val="00A75286"/>
    <w:rsid w:val="00A766D5"/>
    <w:rsid w:val="00AF3127"/>
    <w:rsid w:val="00B02B4C"/>
    <w:rsid w:val="00B422BC"/>
    <w:rsid w:val="00B449C7"/>
    <w:rsid w:val="00B759D5"/>
    <w:rsid w:val="00BA78FF"/>
    <w:rsid w:val="00C002E5"/>
    <w:rsid w:val="00C1411E"/>
    <w:rsid w:val="00C3556F"/>
    <w:rsid w:val="00CC3D23"/>
    <w:rsid w:val="00CD741E"/>
    <w:rsid w:val="00D16C21"/>
    <w:rsid w:val="00D60A01"/>
    <w:rsid w:val="00D73DAF"/>
    <w:rsid w:val="00D73DB1"/>
    <w:rsid w:val="00D75854"/>
    <w:rsid w:val="00DA73CF"/>
    <w:rsid w:val="00DA7C85"/>
    <w:rsid w:val="00DB0545"/>
    <w:rsid w:val="00DD0811"/>
    <w:rsid w:val="00DE2831"/>
    <w:rsid w:val="00DF7FBF"/>
    <w:rsid w:val="00E10C1F"/>
    <w:rsid w:val="00E14963"/>
    <w:rsid w:val="00E33831"/>
    <w:rsid w:val="00E92149"/>
    <w:rsid w:val="00EC6010"/>
    <w:rsid w:val="00EC6EDA"/>
    <w:rsid w:val="00ED5570"/>
    <w:rsid w:val="00F1733D"/>
    <w:rsid w:val="00F53D43"/>
    <w:rsid w:val="00F61D08"/>
    <w:rsid w:val="00F76E0B"/>
    <w:rsid w:val="00F9145C"/>
    <w:rsid w:val="00FA4F5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8F084A"/>
  <w15:chartTrackingRefBased/>
  <w15:docId w15:val="{A21CE4F8-15D0-4519-A5CC-BFBBD6BC38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19EF"/>
    <w:pPr>
      <w:spacing w:line="480" w:lineRule="auto"/>
      <w:ind w:firstLine="720"/>
    </w:pPr>
    <w:rPr>
      <w:rFonts w:ascii="Times New Roman" w:hAnsi="Times New Roman"/>
      <w:sz w:val="24"/>
    </w:rPr>
  </w:style>
  <w:style w:type="paragraph" w:styleId="Ttulo1">
    <w:name w:val="heading 1"/>
    <w:basedOn w:val="Normal"/>
    <w:next w:val="Normal"/>
    <w:link w:val="Ttulo1Car"/>
    <w:uiPriority w:val="9"/>
    <w:qFormat/>
    <w:rsid w:val="00111EE8"/>
    <w:pPr>
      <w:keepNext/>
      <w:keepLines/>
      <w:spacing w:before="240" w:after="0"/>
      <w:jc w:val="center"/>
      <w:outlineLvl w:val="0"/>
    </w:pPr>
    <w:rPr>
      <w:rFonts w:eastAsiaTheme="majorEastAsia" w:cstheme="majorBidi"/>
      <w:b/>
      <w:szCs w:val="32"/>
    </w:rPr>
  </w:style>
  <w:style w:type="paragraph" w:styleId="Ttulo2">
    <w:name w:val="heading 2"/>
    <w:basedOn w:val="Normal"/>
    <w:next w:val="Normal"/>
    <w:link w:val="Ttulo2Car"/>
    <w:uiPriority w:val="9"/>
    <w:unhideWhenUsed/>
    <w:qFormat/>
    <w:rsid w:val="001C2F18"/>
    <w:pPr>
      <w:keepNext/>
      <w:keepLines/>
      <w:spacing w:before="40" w:after="0"/>
      <w:outlineLvl w:val="1"/>
    </w:pPr>
    <w:rPr>
      <w:rFonts w:eastAsiaTheme="majorEastAsia" w:cstheme="majorBidi"/>
      <w:b/>
      <w:szCs w:val="26"/>
    </w:rPr>
  </w:style>
  <w:style w:type="paragraph" w:styleId="Ttulo3">
    <w:name w:val="heading 3"/>
    <w:basedOn w:val="Normal"/>
    <w:next w:val="Normal"/>
    <w:link w:val="Ttulo3Car"/>
    <w:uiPriority w:val="9"/>
    <w:unhideWhenUsed/>
    <w:qFormat/>
    <w:rsid w:val="00210EBA"/>
    <w:pPr>
      <w:keepNext/>
      <w:keepLines/>
      <w:spacing w:before="40" w:after="0"/>
      <w:outlineLvl w:val="2"/>
    </w:pPr>
    <w:rPr>
      <w:rFonts w:eastAsiaTheme="majorEastAsia" w:cstheme="majorBidi"/>
      <w:b/>
      <w:szCs w:val="24"/>
    </w:rPr>
  </w:style>
  <w:style w:type="paragraph" w:styleId="Ttulo4">
    <w:name w:val="heading 4"/>
    <w:basedOn w:val="Normal"/>
    <w:next w:val="Normal"/>
    <w:link w:val="Ttulo4Car"/>
    <w:uiPriority w:val="9"/>
    <w:semiHidden/>
    <w:unhideWhenUsed/>
    <w:qFormat/>
    <w:rsid w:val="00964066"/>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26DC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26DCF"/>
  </w:style>
  <w:style w:type="paragraph" w:styleId="Piedepgina">
    <w:name w:val="footer"/>
    <w:basedOn w:val="Normal"/>
    <w:link w:val="PiedepginaCar"/>
    <w:uiPriority w:val="99"/>
    <w:unhideWhenUsed/>
    <w:rsid w:val="00026DC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26DCF"/>
  </w:style>
  <w:style w:type="character" w:customStyle="1" w:styleId="Ttulo1Car">
    <w:name w:val="Título 1 Car"/>
    <w:basedOn w:val="Fuentedeprrafopredeter"/>
    <w:link w:val="Ttulo1"/>
    <w:uiPriority w:val="9"/>
    <w:rsid w:val="00111EE8"/>
    <w:rPr>
      <w:rFonts w:ascii="Times New Roman" w:eastAsiaTheme="majorEastAsia" w:hAnsi="Times New Roman" w:cstheme="majorBidi"/>
      <w:b/>
      <w:sz w:val="24"/>
      <w:szCs w:val="32"/>
    </w:rPr>
  </w:style>
  <w:style w:type="paragraph" w:styleId="TtuloTDC">
    <w:name w:val="TOC Heading"/>
    <w:basedOn w:val="Ttulo1"/>
    <w:next w:val="Normal"/>
    <w:uiPriority w:val="39"/>
    <w:unhideWhenUsed/>
    <w:qFormat/>
    <w:rsid w:val="00111EE8"/>
    <w:pPr>
      <w:outlineLvl w:val="9"/>
    </w:pPr>
    <w:rPr>
      <w:lang w:eastAsia="es-CO"/>
    </w:rPr>
  </w:style>
  <w:style w:type="character" w:customStyle="1" w:styleId="Ttulo2Car">
    <w:name w:val="Título 2 Car"/>
    <w:basedOn w:val="Fuentedeprrafopredeter"/>
    <w:link w:val="Ttulo2"/>
    <w:uiPriority w:val="9"/>
    <w:rsid w:val="001C2F18"/>
    <w:rPr>
      <w:rFonts w:ascii="Times New Roman" w:eastAsiaTheme="majorEastAsia" w:hAnsi="Times New Roman" w:cstheme="majorBidi"/>
      <w:b/>
      <w:sz w:val="24"/>
      <w:szCs w:val="26"/>
    </w:rPr>
  </w:style>
  <w:style w:type="paragraph" w:styleId="Prrafodelista">
    <w:name w:val="List Paragraph"/>
    <w:basedOn w:val="Normal"/>
    <w:link w:val="PrrafodelistaCar"/>
    <w:uiPriority w:val="34"/>
    <w:qFormat/>
    <w:rsid w:val="001C2F18"/>
    <w:pPr>
      <w:suppressAutoHyphens/>
      <w:spacing w:after="0" w:line="240" w:lineRule="auto"/>
      <w:ind w:left="708"/>
    </w:pPr>
    <w:rPr>
      <w:rFonts w:ascii="Arial" w:eastAsia="Times New Roman" w:hAnsi="Arial" w:cs="Times New Roman"/>
      <w:szCs w:val="20"/>
      <w:lang w:eastAsia="es-ES"/>
    </w:rPr>
  </w:style>
  <w:style w:type="character" w:customStyle="1" w:styleId="PrrafodelistaCar">
    <w:name w:val="Párrafo de lista Car"/>
    <w:link w:val="Prrafodelista"/>
    <w:uiPriority w:val="34"/>
    <w:locked/>
    <w:rsid w:val="001C2F18"/>
    <w:rPr>
      <w:rFonts w:ascii="Arial" w:eastAsia="Times New Roman" w:hAnsi="Arial" w:cs="Times New Roman"/>
      <w:sz w:val="24"/>
      <w:szCs w:val="20"/>
      <w:lang w:eastAsia="es-ES"/>
    </w:rPr>
  </w:style>
  <w:style w:type="character" w:customStyle="1" w:styleId="Ttulo3Car">
    <w:name w:val="Título 3 Car"/>
    <w:basedOn w:val="Fuentedeprrafopredeter"/>
    <w:link w:val="Ttulo3"/>
    <w:uiPriority w:val="9"/>
    <w:rsid w:val="00210EBA"/>
    <w:rPr>
      <w:rFonts w:ascii="Times New Roman" w:eastAsiaTheme="majorEastAsia" w:hAnsi="Times New Roman" w:cstheme="majorBidi"/>
      <w:b/>
      <w:sz w:val="24"/>
      <w:szCs w:val="24"/>
    </w:rPr>
  </w:style>
  <w:style w:type="character" w:customStyle="1" w:styleId="Ttulo4Car">
    <w:name w:val="Título 4 Car"/>
    <w:basedOn w:val="Fuentedeprrafopredeter"/>
    <w:link w:val="Ttulo4"/>
    <w:uiPriority w:val="9"/>
    <w:semiHidden/>
    <w:rsid w:val="00964066"/>
    <w:rPr>
      <w:rFonts w:asciiTheme="majorHAnsi" w:eastAsiaTheme="majorEastAsia" w:hAnsiTheme="majorHAnsi" w:cstheme="majorBidi"/>
      <w:i/>
      <w:iCs/>
      <w:color w:val="2F5496" w:themeColor="accent1" w:themeShade="BF"/>
      <w:sz w:val="24"/>
    </w:rPr>
  </w:style>
  <w:style w:type="table" w:styleId="Tablanormal3">
    <w:name w:val="Plain Table 3"/>
    <w:basedOn w:val="Tablanormal"/>
    <w:uiPriority w:val="43"/>
    <w:rsid w:val="002300DC"/>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aconcuadrcula">
    <w:name w:val="Table Grid"/>
    <w:basedOn w:val="Tablanormal"/>
    <w:uiPriority w:val="39"/>
    <w:rsid w:val="00F61D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F53D43"/>
    <w:rPr>
      <w:rFonts w:cs="Times New Roman"/>
      <w:szCs w:val="24"/>
    </w:rPr>
  </w:style>
  <w:style w:type="character" w:styleId="Hipervnculo">
    <w:name w:val="Hyperlink"/>
    <w:basedOn w:val="Fuentedeprrafopredeter"/>
    <w:uiPriority w:val="99"/>
    <w:unhideWhenUsed/>
    <w:rsid w:val="00F53D43"/>
    <w:rPr>
      <w:color w:val="0563C1" w:themeColor="hyperlink"/>
      <w:u w:val="single"/>
    </w:rPr>
  </w:style>
  <w:style w:type="character" w:styleId="Mencinsinresolver">
    <w:name w:val="Unresolved Mention"/>
    <w:basedOn w:val="Fuentedeprrafopredeter"/>
    <w:uiPriority w:val="99"/>
    <w:semiHidden/>
    <w:unhideWhenUsed/>
    <w:rsid w:val="00F53D43"/>
    <w:rPr>
      <w:color w:val="605E5C"/>
      <w:shd w:val="clear" w:color="auto" w:fill="E1DFDD"/>
    </w:rPr>
  </w:style>
  <w:style w:type="paragraph" w:styleId="TDC1">
    <w:name w:val="toc 1"/>
    <w:basedOn w:val="Normal"/>
    <w:next w:val="Normal"/>
    <w:autoRedefine/>
    <w:uiPriority w:val="39"/>
    <w:unhideWhenUsed/>
    <w:rsid w:val="006D0D2A"/>
    <w:pPr>
      <w:spacing w:after="100"/>
    </w:pPr>
  </w:style>
  <w:style w:type="paragraph" w:styleId="TDC2">
    <w:name w:val="toc 2"/>
    <w:basedOn w:val="Normal"/>
    <w:next w:val="Normal"/>
    <w:autoRedefine/>
    <w:uiPriority w:val="39"/>
    <w:unhideWhenUsed/>
    <w:rsid w:val="006D0D2A"/>
    <w:pPr>
      <w:spacing w:after="100"/>
      <w:ind w:left="240"/>
    </w:pPr>
  </w:style>
  <w:style w:type="paragraph" w:styleId="TDC3">
    <w:name w:val="toc 3"/>
    <w:basedOn w:val="Normal"/>
    <w:next w:val="Normal"/>
    <w:autoRedefine/>
    <w:uiPriority w:val="39"/>
    <w:unhideWhenUsed/>
    <w:rsid w:val="006D0D2A"/>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orldbank.org/en/publication/globalfindex"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045165-DE2A-44DF-A0E1-A29AAA0CE5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19</Pages>
  <Words>4443</Words>
  <Characters>24437</Characters>
  <Application>Microsoft Office Word</Application>
  <DocSecurity>0</DocSecurity>
  <Lines>203</Lines>
  <Paragraphs>57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pc_6</cp:lastModifiedBy>
  <cp:revision>3</cp:revision>
  <dcterms:created xsi:type="dcterms:W3CDTF">2026-07-15T20:48:00Z</dcterms:created>
  <dcterms:modified xsi:type="dcterms:W3CDTF">2026-07-15T21:21:00Z</dcterms:modified>
</cp:coreProperties>
</file>