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3666687" w14:textId="4BA0F0A6" w:rsidR="005F67FF" w:rsidRPr="00F95654" w:rsidRDefault="005F67FF" w:rsidP="00F95654">
      <w:pPr>
        <w:spacing w:line="480" w:lineRule="auto"/>
        <w:jc w:val="center"/>
        <w:rPr>
          <w:rFonts w:ascii="Arial" w:hAnsi="Arial" w:cs="Arial"/>
          <w:color w:val="000000" w:themeColor="text1"/>
          <w:sz w:val="24"/>
          <w:szCs w:val="24"/>
        </w:rPr>
      </w:pPr>
      <w:bookmarkStart w:id="0" w:name="_GoBack"/>
      <w:bookmarkEnd w:id="0"/>
      <w:r w:rsidRPr="00F95654">
        <w:rPr>
          <w:rFonts w:ascii="Arial" w:hAnsi="Arial" w:cs="Arial"/>
          <w:color w:val="000000" w:themeColor="text1"/>
          <w:sz w:val="24"/>
          <w:szCs w:val="24"/>
        </w:rPr>
        <w:t>CRITERIOS LEGALES Y JURISPRUDENCIALES PARA LA DETERMINACIÓN DE LA PENSIÓN DE VEJEZ EN PERSONAS TRANSGÉNERO EN COLOMBIA</w:t>
      </w:r>
    </w:p>
    <w:p w14:paraId="783CEFFC" w14:textId="54CF9506" w:rsidR="00F27F92" w:rsidRPr="00F95654" w:rsidRDefault="00F27F92" w:rsidP="00F95654">
      <w:pPr>
        <w:spacing w:line="480" w:lineRule="auto"/>
        <w:jc w:val="center"/>
        <w:rPr>
          <w:rFonts w:ascii="Arial" w:hAnsi="Arial" w:cs="Arial"/>
          <w:color w:val="000000" w:themeColor="text1"/>
          <w:sz w:val="24"/>
          <w:szCs w:val="24"/>
        </w:rPr>
      </w:pPr>
    </w:p>
    <w:p w14:paraId="3A94F866" w14:textId="000A2625" w:rsidR="00F27F92" w:rsidRPr="00F95654" w:rsidRDefault="00F27F92" w:rsidP="00F95654">
      <w:pPr>
        <w:spacing w:line="480" w:lineRule="auto"/>
        <w:jc w:val="center"/>
        <w:rPr>
          <w:rFonts w:ascii="Arial" w:hAnsi="Arial" w:cs="Arial"/>
          <w:color w:val="000000" w:themeColor="text1"/>
          <w:sz w:val="24"/>
          <w:szCs w:val="24"/>
        </w:rPr>
      </w:pPr>
    </w:p>
    <w:p w14:paraId="2065F8B0" w14:textId="77777777" w:rsidR="00F27F92" w:rsidRPr="00F95654" w:rsidRDefault="00F27F92" w:rsidP="00F95654">
      <w:pPr>
        <w:spacing w:line="480" w:lineRule="auto"/>
        <w:jc w:val="center"/>
        <w:rPr>
          <w:rFonts w:ascii="Arial" w:hAnsi="Arial" w:cs="Arial"/>
          <w:color w:val="000000" w:themeColor="text1"/>
          <w:sz w:val="24"/>
          <w:szCs w:val="24"/>
        </w:rPr>
      </w:pPr>
    </w:p>
    <w:p w14:paraId="36F04B29" w14:textId="38E59985" w:rsidR="004265C7" w:rsidRPr="00F95654" w:rsidRDefault="004265C7" w:rsidP="00F95654">
      <w:pPr>
        <w:jc w:val="center"/>
        <w:rPr>
          <w:rFonts w:ascii="Arial" w:hAnsi="Arial" w:cs="Arial"/>
          <w:sz w:val="24"/>
          <w:szCs w:val="24"/>
        </w:rPr>
      </w:pPr>
    </w:p>
    <w:p w14:paraId="64DD262B" w14:textId="77777777" w:rsidR="00F27F92" w:rsidRPr="00F95654" w:rsidRDefault="00F27F92" w:rsidP="00F95654">
      <w:pPr>
        <w:spacing w:line="480" w:lineRule="auto"/>
        <w:jc w:val="center"/>
        <w:rPr>
          <w:rFonts w:ascii="Arial" w:hAnsi="Arial" w:cs="Arial"/>
          <w:color w:val="000000" w:themeColor="text1"/>
          <w:sz w:val="24"/>
          <w:szCs w:val="24"/>
          <w:lang w:val="es-CO"/>
        </w:rPr>
      </w:pPr>
      <w:r w:rsidRPr="00F95654">
        <w:rPr>
          <w:rFonts w:ascii="Arial" w:hAnsi="Arial" w:cs="Arial"/>
          <w:color w:val="000000" w:themeColor="text1"/>
          <w:sz w:val="24"/>
          <w:szCs w:val="24"/>
          <w:lang w:val="es-CO"/>
        </w:rPr>
        <w:t>AUTORES</w:t>
      </w:r>
    </w:p>
    <w:p w14:paraId="130E3436" w14:textId="77777777" w:rsidR="00F27F92" w:rsidRPr="00F95654" w:rsidRDefault="00F27F92" w:rsidP="00F95654">
      <w:pPr>
        <w:spacing w:line="480" w:lineRule="auto"/>
        <w:jc w:val="center"/>
        <w:rPr>
          <w:rFonts w:ascii="Arial" w:hAnsi="Arial" w:cs="Arial"/>
          <w:color w:val="000000" w:themeColor="text1"/>
          <w:sz w:val="24"/>
          <w:szCs w:val="24"/>
          <w:lang w:val="es-CO"/>
        </w:rPr>
      </w:pPr>
      <w:r w:rsidRPr="00F95654">
        <w:rPr>
          <w:rFonts w:ascii="Arial" w:hAnsi="Arial" w:cs="Arial"/>
          <w:color w:val="000000" w:themeColor="text1"/>
          <w:sz w:val="24"/>
          <w:szCs w:val="24"/>
          <w:lang w:val="es-CO"/>
        </w:rPr>
        <w:t>ALICIA CERVANTES RODRIGUEZ Y CARLOS CADAVID OSORIO</w:t>
      </w:r>
    </w:p>
    <w:p w14:paraId="22F5C75F" w14:textId="77777777" w:rsidR="00F27F92" w:rsidRPr="00F95654" w:rsidRDefault="00F27F92" w:rsidP="00F95654">
      <w:pPr>
        <w:spacing w:line="480" w:lineRule="auto"/>
        <w:jc w:val="center"/>
        <w:rPr>
          <w:rFonts w:ascii="Arial" w:hAnsi="Arial" w:cs="Arial"/>
          <w:color w:val="000000" w:themeColor="text1"/>
          <w:sz w:val="24"/>
          <w:szCs w:val="24"/>
          <w:lang w:val="es-CO"/>
        </w:rPr>
      </w:pPr>
    </w:p>
    <w:p w14:paraId="49EE537D" w14:textId="77777777" w:rsidR="00F27F92" w:rsidRPr="00F95654" w:rsidRDefault="00F27F92" w:rsidP="00F95654">
      <w:pPr>
        <w:spacing w:line="480" w:lineRule="auto"/>
        <w:jc w:val="center"/>
        <w:rPr>
          <w:rFonts w:ascii="Arial" w:hAnsi="Arial" w:cs="Arial"/>
          <w:color w:val="000000" w:themeColor="text1"/>
          <w:sz w:val="24"/>
          <w:szCs w:val="24"/>
          <w:lang w:val="es-CO"/>
        </w:rPr>
      </w:pPr>
    </w:p>
    <w:p w14:paraId="5705C34B" w14:textId="77777777" w:rsidR="00F27F92" w:rsidRPr="00F95654" w:rsidRDefault="00F27F92" w:rsidP="00F95654">
      <w:pPr>
        <w:spacing w:line="480" w:lineRule="auto"/>
        <w:jc w:val="center"/>
        <w:rPr>
          <w:rFonts w:ascii="Arial" w:hAnsi="Arial" w:cs="Arial"/>
          <w:color w:val="000000" w:themeColor="text1"/>
          <w:sz w:val="24"/>
          <w:szCs w:val="24"/>
          <w:lang w:val="es-CO"/>
        </w:rPr>
      </w:pPr>
    </w:p>
    <w:p w14:paraId="1321E8C5" w14:textId="10A41584" w:rsidR="00F27F92" w:rsidRPr="00F95654" w:rsidRDefault="00F27F92" w:rsidP="00F95654">
      <w:pPr>
        <w:spacing w:line="480" w:lineRule="auto"/>
        <w:jc w:val="center"/>
        <w:rPr>
          <w:rFonts w:ascii="Arial" w:hAnsi="Arial" w:cs="Arial"/>
          <w:color w:val="000000" w:themeColor="text1"/>
          <w:sz w:val="24"/>
          <w:szCs w:val="24"/>
          <w:lang w:val="es-CO"/>
        </w:rPr>
      </w:pPr>
    </w:p>
    <w:p w14:paraId="01DA2A4B" w14:textId="299541B6" w:rsidR="00F27F92" w:rsidRPr="00F95654" w:rsidRDefault="00F27F92" w:rsidP="00F95654">
      <w:pPr>
        <w:spacing w:line="480" w:lineRule="auto"/>
        <w:jc w:val="center"/>
        <w:rPr>
          <w:rFonts w:ascii="Arial" w:hAnsi="Arial" w:cs="Arial"/>
          <w:color w:val="000000" w:themeColor="text1"/>
          <w:sz w:val="24"/>
          <w:szCs w:val="24"/>
          <w:lang w:val="es-CO"/>
        </w:rPr>
      </w:pPr>
    </w:p>
    <w:p w14:paraId="5E069B04" w14:textId="3E75C644" w:rsidR="00F27F92" w:rsidRPr="00F95654" w:rsidRDefault="00F27F92" w:rsidP="00F95654">
      <w:pPr>
        <w:spacing w:line="480" w:lineRule="auto"/>
        <w:jc w:val="center"/>
        <w:rPr>
          <w:rFonts w:ascii="Arial" w:hAnsi="Arial" w:cs="Arial"/>
          <w:color w:val="000000" w:themeColor="text1"/>
          <w:sz w:val="24"/>
          <w:szCs w:val="24"/>
          <w:lang w:val="es-CO"/>
        </w:rPr>
      </w:pPr>
    </w:p>
    <w:p w14:paraId="4743E210" w14:textId="77777777" w:rsidR="00F27F92" w:rsidRPr="00F95654" w:rsidRDefault="00F27F92" w:rsidP="00F95654">
      <w:pPr>
        <w:spacing w:line="480" w:lineRule="auto"/>
        <w:jc w:val="center"/>
        <w:rPr>
          <w:rFonts w:ascii="Arial" w:hAnsi="Arial" w:cs="Arial"/>
          <w:color w:val="000000" w:themeColor="text1"/>
          <w:sz w:val="24"/>
          <w:szCs w:val="24"/>
          <w:lang w:val="es-CO"/>
        </w:rPr>
      </w:pPr>
    </w:p>
    <w:p w14:paraId="16EB7CD9" w14:textId="77777777" w:rsidR="00F27F92" w:rsidRPr="00F95654" w:rsidRDefault="00F27F92" w:rsidP="00F95654">
      <w:pPr>
        <w:spacing w:line="480" w:lineRule="auto"/>
        <w:jc w:val="center"/>
        <w:rPr>
          <w:rFonts w:ascii="Arial" w:hAnsi="Arial" w:cs="Arial"/>
          <w:color w:val="000000" w:themeColor="text1"/>
          <w:sz w:val="24"/>
          <w:szCs w:val="24"/>
          <w:lang w:val="es-CO"/>
        </w:rPr>
      </w:pPr>
    </w:p>
    <w:p w14:paraId="2D788CFE" w14:textId="77777777" w:rsidR="00F27F92" w:rsidRPr="00F95654" w:rsidRDefault="00F27F92" w:rsidP="00F95654">
      <w:pPr>
        <w:spacing w:line="480" w:lineRule="auto"/>
        <w:jc w:val="center"/>
        <w:rPr>
          <w:rFonts w:ascii="Arial" w:hAnsi="Arial" w:cs="Arial"/>
          <w:color w:val="000000" w:themeColor="text1"/>
          <w:sz w:val="24"/>
          <w:szCs w:val="24"/>
          <w:lang w:val="es-CO"/>
        </w:rPr>
      </w:pPr>
      <w:r w:rsidRPr="00F95654">
        <w:rPr>
          <w:rFonts w:ascii="Arial" w:hAnsi="Arial" w:cs="Arial"/>
          <w:color w:val="000000" w:themeColor="text1"/>
          <w:sz w:val="24"/>
          <w:szCs w:val="24"/>
          <w:lang w:val="es-CO"/>
        </w:rPr>
        <w:t>UNIVERSIDAD POPULAR DEL CESAR</w:t>
      </w:r>
    </w:p>
    <w:p w14:paraId="3445D876" w14:textId="77777777" w:rsidR="00F27F92" w:rsidRPr="00F95654" w:rsidRDefault="00F27F92" w:rsidP="00F95654">
      <w:pPr>
        <w:spacing w:line="480" w:lineRule="auto"/>
        <w:jc w:val="center"/>
        <w:rPr>
          <w:rFonts w:ascii="Arial" w:hAnsi="Arial" w:cs="Arial"/>
          <w:color w:val="000000" w:themeColor="text1"/>
          <w:sz w:val="24"/>
          <w:szCs w:val="24"/>
          <w:lang w:val="es-CO"/>
        </w:rPr>
      </w:pPr>
      <w:r w:rsidRPr="00F95654">
        <w:rPr>
          <w:rFonts w:ascii="Arial" w:hAnsi="Arial" w:cs="Arial"/>
          <w:color w:val="000000" w:themeColor="text1"/>
          <w:sz w:val="24"/>
          <w:szCs w:val="24"/>
          <w:lang w:val="es-CO"/>
        </w:rPr>
        <w:t>PROGRAMA</w:t>
      </w:r>
    </w:p>
    <w:p w14:paraId="6F0E4A8B" w14:textId="77777777" w:rsidR="00F27F92" w:rsidRPr="00F95654" w:rsidRDefault="00F27F92" w:rsidP="00F95654">
      <w:pPr>
        <w:spacing w:line="480" w:lineRule="auto"/>
        <w:jc w:val="center"/>
        <w:rPr>
          <w:rFonts w:ascii="Arial" w:hAnsi="Arial" w:cs="Arial"/>
          <w:color w:val="000000" w:themeColor="text1"/>
          <w:sz w:val="24"/>
          <w:szCs w:val="24"/>
          <w:lang w:val="es-CO"/>
        </w:rPr>
      </w:pPr>
      <w:r w:rsidRPr="00F95654">
        <w:rPr>
          <w:rFonts w:ascii="Arial" w:hAnsi="Arial" w:cs="Arial"/>
          <w:color w:val="000000" w:themeColor="text1"/>
          <w:sz w:val="24"/>
          <w:szCs w:val="24"/>
          <w:lang w:val="es-CO"/>
        </w:rPr>
        <w:t>VALLEDUPAR, 2022</w:t>
      </w:r>
    </w:p>
    <w:p w14:paraId="030B99DF" w14:textId="5EDD68E7" w:rsidR="00F27F92" w:rsidRPr="00F95654" w:rsidRDefault="00F27F92" w:rsidP="00F95654">
      <w:pPr>
        <w:spacing w:line="480" w:lineRule="auto"/>
        <w:jc w:val="center"/>
        <w:rPr>
          <w:rFonts w:ascii="Arial" w:hAnsi="Arial" w:cs="Arial"/>
          <w:color w:val="000000" w:themeColor="text1"/>
          <w:sz w:val="24"/>
          <w:szCs w:val="24"/>
          <w:lang w:val="es-CO"/>
        </w:rPr>
      </w:pPr>
      <w:r w:rsidRPr="00F95654">
        <w:rPr>
          <w:rFonts w:ascii="Arial" w:hAnsi="Arial" w:cs="Arial"/>
          <w:color w:val="000000" w:themeColor="text1"/>
          <w:sz w:val="24"/>
          <w:szCs w:val="24"/>
        </w:rPr>
        <w:lastRenderedPageBreak/>
        <w:t>CRITERIOS LEGALES Y JURISPRUDENCIALES PARA LA DETERMINACIÓN DE LA PENSIÓN DE VEJEZ EN PERSONAS TRANSGÉNERO EN COLOMBIA</w:t>
      </w:r>
    </w:p>
    <w:p w14:paraId="6F1AB655" w14:textId="77777777" w:rsidR="00F27F92" w:rsidRPr="00F95654" w:rsidRDefault="00F27F92" w:rsidP="00F95654">
      <w:pPr>
        <w:spacing w:line="480" w:lineRule="auto"/>
        <w:jc w:val="center"/>
        <w:rPr>
          <w:rFonts w:ascii="Arial" w:hAnsi="Arial" w:cs="Arial"/>
          <w:color w:val="000000" w:themeColor="text1"/>
          <w:sz w:val="24"/>
          <w:szCs w:val="24"/>
        </w:rPr>
      </w:pPr>
    </w:p>
    <w:p w14:paraId="6ED1CF2B" w14:textId="77777777" w:rsidR="00F27F92" w:rsidRPr="00F95654" w:rsidRDefault="00F27F92" w:rsidP="00F95654">
      <w:pPr>
        <w:spacing w:line="480" w:lineRule="auto"/>
        <w:jc w:val="center"/>
        <w:rPr>
          <w:rFonts w:ascii="Arial" w:hAnsi="Arial" w:cs="Arial"/>
          <w:color w:val="000000" w:themeColor="text1"/>
          <w:sz w:val="24"/>
          <w:szCs w:val="24"/>
        </w:rPr>
      </w:pPr>
    </w:p>
    <w:p w14:paraId="020591F2" w14:textId="77777777" w:rsidR="00F27F92" w:rsidRPr="00F95654" w:rsidRDefault="00F27F92" w:rsidP="00F95654">
      <w:pPr>
        <w:spacing w:line="480" w:lineRule="auto"/>
        <w:jc w:val="center"/>
        <w:rPr>
          <w:rFonts w:ascii="Arial" w:hAnsi="Arial" w:cs="Arial"/>
          <w:color w:val="000000" w:themeColor="text1"/>
          <w:sz w:val="24"/>
          <w:szCs w:val="24"/>
        </w:rPr>
      </w:pPr>
    </w:p>
    <w:p w14:paraId="2ABCA4FE" w14:textId="77777777" w:rsidR="00F27F92" w:rsidRPr="00F95654" w:rsidRDefault="00F27F92" w:rsidP="00F95654">
      <w:pPr>
        <w:jc w:val="center"/>
        <w:rPr>
          <w:rFonts w:ascii="Arial" w:hAnsi="Arial" w:cs="Arial"/>
          <w:sz w:val="24"/>
          <w:szCs w:val="24"/>
        </w:rPr>
      </w:pPr>
    </w:p>
    <w:p w14:paraId="221260F8" w14:textId="77777777" w:rsidR="00F27F92" w:rsidRPr="00F95654" w:rsidRDefault="00F27F92" w:rsidP="00F95654">
      <w:pPr>
        <w:spacing w:line="480" w:lineRule="auto"/>
        <w:jc w:val="center"/>
        <w:rPr>
          <w:rFonts w:ascii="Arial" w:hAnsi="Arial" w:cs="Arial"/>
          <w:color w:val="000000" w:themeColor="text1"/>
          <w:sz w:val="24"/>
          <w:szCs w:val="24"/>
          <w:lang w:val="es-CO"/>
        </w:rPr>
      </w:pPr>
      <w:r w:rsidRPr="00F95654">
        <w:rPr>
          <w:rFonts w:ascii="Arial" w:hAnsi="Arial" w:cs="Arial"/>
          <w:color w:val="000000" w:themeColor="text1"/>
          <w:sz w:val="24"/>
          <w:szCs w:val="24"/>
          <w:lang w:val="es-CO"/>
        </w:rPr>
        <w:t>AUTORES</w:t>
      </w:r>
    </w:p>
    <w:p w14:paraId="361ED985" w14:textId="77777777" w:rsidR="00F27F92" w:rsidRPr="00F95654" w:rsidRDefault="00F27F92" w:rsidP="00F95654">
      <w:pPr>
        <w:spacing w:line="480" w:lineRule="auto"/>
        <w:jc w:val="center"/>
        <w:rPr>
          <w:rFonts w:ascii="Arial" w:hAnsi="Arial" w:cs="Arial"/>
          <w:color w:val="000000" w:themeColor="text1"/>
          <w:sz w:val="24"/>
          <w:szCs w:val="24"/>
          <w:lang w:val="es-CO"/>
        </w:rPr>
      </w:pPr>
      <w:r w:rsidRPr="00F95654">
        <w:rPr>
          <w:rFonts w:ascii="Arial" w:hAnsi="Arial" w:cs="Arial"/>
          <w:color w:val="000000" w:themeColor="text1"/>
          <w:sz w:val="24"/>
          <w:szCs w:val="24"/>
          <w:lang w:val="es-CO"/>
        </w:rPr>
        <w:t>ALICIA CERVANTES RODRIGUEZ Y CARLOS CADAVID OSORIO</w:t>
      </w:r>
    </w:p>
    <w:p w14:paraId="588B8B79" w14:textId="77777777" w:rsidR="00F27F92" w:rsidRPr="00F95654" w:rsidRDefault="00F27F92" w:rsidP="00F95654">
      <w:pPr>
        <w:spacing w:line="480" w:lineRule="auto"/>
        <w:jc w:val="center"/>
        <w:rPr>
          <w:rFonts w:ascii="Arial" w:hAnsi="Arial" w:cs="Arial"/>
          <w:color w:val="000000" w:themeColor="text1"/>
          <w:sz w:val="24"/>
          <w:szCs w:val="24"/>
          <w:lang w:val="es-CO"/>
        </w:rPr>
      </w:pPr>
    </w:p>
    <w:p w14:paraId="7C7277B8" w14:textId="77777777" w:rsidR="00F27F92" w:rsidRPr="00F95654" w:rsidRDefault="00F27F92" w:rsidP="00F95654">
      <w:pPr>
        <w:spacing w:line="480" w:lineRule="auto"/>
        <w:jc w:val="center"/>
        <w:rPr>
          <w:rFonts w:ascii="Arial" w:hAnsi="Arial" w:cs="Arial"/>
          <w:color w:val="000000" w:themeColor="text1"/>
          <w:sz w:val="24"/>
          <w:szCs w:val="24"/>
          <w:lang w:val="es-CO"/>
        </w:rPr>
      </w:pPr>
    </w:p>
    <w:p w14:paraId="4E67DB15" w14:textId="77777777" w:rsidR="00F27F92" w:rsidRPr="00F95654" w:rsidRDefault="00F27F92" w:rsidP="00F95654">
      <w:pPr>
        <w:spacing w:line="480" w:lineRule="auto"/>
        <w:jc w:val="center"/>
        <w:rPr>
          <w:rFonts w:ascii="Arial" w:hAnsi="Arial" w:cs="Arial"/>
          <w:color w:val="000000" w:themeColor="text1"/>
          <w:sz w:val="24"/>
          <w:szCs w:val="24"/>
          <w:lang w:val="es-CO"/>
        </w:rPr>
      </w:pPr>
    </w:p>
    <w:p w14:paraId="014C9D9C" w14:textId="77777777" w:rsidR="00F27F92" w:rsidRPr="00F95654" w:rsidRDefault="00F27F92" w:rsidP="00F95654">
      <w:pPr>
        <w:spacing w:line="480" w:lineRule="auto"/>
        <w:jc w:val="center"/>
        <w:rPr>
          <w:rFonts w:ascii="Arial" w:hAnsi="Arial" w:cs="Arial"/>
          <w:color w:val="000000" w:themeColor="text1"/>
          <w:sz w:val="24"/>
          <w:szCs w:val="24"/>
          <w:lang w:val="es-CO"/>
        </w:rPr>
      </w:pPr>
    </w:p>
    <w:p w14:paraId="73470924" w14:textId="77777777" w:rsidR="00F27F92" w:rsidRPr="00F95654" w:rsidRDefault="00F27F92" w:rsidP="00F95654">
      <w:pPr>
        <w:spacing w:line="480" w:lineRule="auto"/>
        <w:jc w:val="center"/>
        <w:rPr>
          <w:rFonts w:ascii="Arial" w:hAnsi="Arial" w:cs="Arial"/>
          <w:color w:val="000000" w:themeColor="text1"/>
          <w:sz w:val="24"/>
          <w:szCs w:val="24"/>
          <w:lang w:val="es-CO"/>
        </w:rPr>
      </w:pPr>
    </w:p>
    <w:p w14:paraId="07368F03" w14:textId="77777777" w:rsidR="00F27F92" w:rsidRPr="00F95654" w:rsidRDefault="00F27F92" w:rsidP="00F95654">
      <w:pPr>
        <w:spacing w:line="480" w:lineRule="auto"/>
        <w:jc w:val="center"/>
        <w:rPr>
          <w:rFonts w:ascii="Arial" w:hAnsi="Arial" w:cs="Arial"/>
          <w:color w:val="000000" w:themeColor="text1"/>
          <w:sz w:val="24"/>
          <w:szCs w:val="24"/>
          <w:lang w:val="es-CO"/>
        </w:rPr>
      </w:pPr>
    </w:p>
    <w:p w14:paraId="53191884" w14:textId="77777777" w:rsidR="00F27F92" w:rsidRPr="00F95654" w:rsidRDefault="00F27F92" w:rsidP="00F95654">
      <w:pPr>
        <w:spacing w:line="480" w:lineRule="auto"/>
        <w:jc w:val="center"/>
        <w:rPr>
          <w:rFonts w:ascii="Arial" w:hAnsi="Arial" w:cs="Arial"/>
          <w:color w:val="000000" w:themeColor="text1"/>
          <w:sz w:val="24"/>
          <w:szCs w:val="24"/>
          <w:lang w:val="es-CO"/>
        </w:rPr>
      </w:pPr>
    </w:p>
    <w:p w14:paraId="04CE632A" w14:textId="77777777" w:rsidR="00F27F92" w:rsidRPr="00F95654" w:rsidRDefault="00F27F92" w:rsidP="00F95654">
      <w:pPr>
        <w:spacing w:line="480" w:lineRule="auto"/>
        <w:jc w:val="center"/>
        <w:rPr>
          <w:rFonts w:ascii="Arial" w:hAnsi="Arial" w:cs="Arial"/>
          <w:color w:val="000000" w:themeColor="text1"/>
          <w:sz w:val="24"/>
          <w:szCs w:val="24"/>
          <w:lang w:val="es-CO"/>
        </w:rPr>
      </w:pPr>
    </w:p>
    <w:p w14:paraId="7CBEE240" w14:textId="77777777" w:rsidR="00F27F92" w:rsidRPr="00F95654" w:rsidRDefault="00F27F92" w:rsidP="00F95654">
      <w:pPr>
        <w:spacing w:line="480" w:lineRule="auto"/>
        <w:jc w:val="center"/>
        <w:rPr>
          <w:rFonts w:ascii="Arial" w:hAnsi="Arial" w:cs="Arial"/>
          <w:color w:val="000000" w:themeColor="text1"/>
          <w:sz w:val="24"/>
          <w:szCs w:val="24"/>
          <w:lang w:val="es-CO"/>
        </w:rPr>
      </w:pPr>
      <w:r w:rsidRPr="00F95654">
        <w:rPr>
          <w:rFonts w:ascii="Arial" w:hAnsi="Arial" w:cs="Arial"/>
          <w:color w:val="000000" w:themeColor="text1"/>
          <w:sz w:val="24"/>
          <w:szCs w:val="24"/>
          <w:lang w:val="es-CO"/>
        </w:rPr>
        <w:t>UNIVERSIDAD POPULAR DEL CESAR</w:t>
      </w:r>
    </w:p>
    <w:p w14:paraId="41FAA098" w14:textId="77777777" w:rsidR="00F27F92" w:rsidRPr="00F95654" w:rsidRDefault="00F27F92" w:rsidP="00F95654">
      <w:pPr>
        <w:spacing w:line="480" w:lineRule="auto"/>
        <w:jc w:val="center"/>
        <w:rPr>
          <w:rFonts w:ascii="Arial" w:hAnsi="Arial" w:cs="Arial"/>
          <w:color w:val="000000" w:themeColor="text1"/>
          <w:sz w:val="24"/>
          <w:szCs w:val="24"/>
          <w:lang w:val="es-CO"/>
        </w:rPr>
      </w:pPr>
      <w:r w:rsidRPr="00F95654">
        <w:rPr>
          <w:rFonts w:ascii="Arial" w:hAnsi="Arial" w:cs="Arial"/>
          <w:color w:val="000000" w:themeColor="text1"/>
          <w:sz w:val="24"/>
          <w:szCs w:val="24"/>
          <w:lang w:val="es-CO"/>
        </w:rPr>
        <w:t>PROGRAMA</w:t>
      </w:r>
    </w:p>
    <w:p w14:paraId="46EFBE0F" w14:textId="77777777" w:rsidR="00F27F92" w:rsidRPr="00F95654" w:rsidRDefault="00F27F92" w:rsidP="00F95654">
      <w:pPr>
        <w:spacing w:line="480" w:lineRule="auto"/>
        <w:jc w:val="center"/>
        <w:rPr>
          <w:rFonts w:ascii="Arial" w:hAnsi="Arial" w:cs="Arial"/>
          <w:color w:val="000000" w:themeColor="text1"/>
          <w:sz w:val="24"/>
          <w:szCs w:val="24"/>
          <w:lang w:val="es-CO"/>
        </w:rPr>
      </w:pPr>
      <w:r w:rsidRPr="00F95654">
        <w:rPr>
          <w:rFonts w:ascii="Arial" w:hAnsi="Arial" w:cs="Arial"/>
          <w:color w:val="000000" w:themeColor="text1"/>
          <w:sz w:val="24"/>
          <w:szCs w:val="24"/>
          <w:lang w:val="es-CO"/>
        </w:rPr>
        <w:t>VALLEDUPAR, 2022</w:t>
      </w:r>
    </w:p>
    <w:sdt>
      <w:sdtPr>
        <w:rPr>
          <w:rFonts w:asciiTheme="minorHAnsi" w:eastAsiaTheme="minorEastAsia" w:hAnsiTheme="minorHAnsi" w:cstheme="minorBidi"/>
          <w:color w:val="auto"/>
          <w:sz w:val="22"/>
          <w:szCs w:val="22"/>
          <w:lang w:val="es-ES" w:eastAsia="es-ES"/>
        </w:rPr>
        <w:id w:val="-922261581"/>
        <w:docPartObj>
          <w:docPartGallery w:val="Table of Contents"/>
          <w:docPartUnique/>
        </w:docPartObj>
      </w:sdtPr>
      <w:sdtEndPr>
        <w:rPr>
          <w:b/>
          <w:bCs/>
        </w:rPr>
      </w:sdtEndPr>
      <w:sdtContent>
        <w:p w14:paraId="69B8AB2F" w14:textId="198B5F4A" w:rsidR="006F1ABB" w:rsidRDefault="006F1ABB">
          <w:pPr>
            <w:pStyle w:val="TtulodeTDC"/>
            <w:rPr>
              <w:b/>
              <w:bCs/>
              <w:color w:val="auto"/>
              <w:lang w:val="es-ES"/>
            </w:rPr>
          </w:pPr>
          <w:r w:rsidRPr="006F1ABB">
            <w:rPr>
              <w:b/>
              <w:bCs/>
              <w:color w:val="auto"/>
              <w:lang w:val="es-ES"/>
            </w:rPr>
            <w:t>TABLA DE CONTENIDO</w:t>
          </w:r>
        </w:p>
        <w:p w14:paraId="12D3505C" w14:textId="4FBE8EEC" w:rsidR="006F1ABB" w:rsidRDefault="006F1ABB" w:rsidP="006F1ABB">
          <w:pPr>
            <w:rPr>
              <w:lang w:val="es-ES" w:eastAsia="es-CO"/>
            </w:rPr>
          </w:pPr>
        </w:p>
        <w:p w14:paraId="5C7DC1BC" w14:textId="77777777" w:rsidR="006F1ABB" w:rsidRPr="006F1ABB" w:rsidRDefault="006F1ABB" w:rsidP="006F1ABB">
          <w:pPr>
            <w:rPr>
              <w:lang w:val="es-ES" w:eastAsia="es-CO"/>
            </w:rPr>
          </w:pPr>
        </w:p>
        <w:p w14:paraId="473D147E" w14:textId="264AEA3D" w:rsidR="006F1ABB" w:rsidRDefault="006F1ABB">
          <w:pPr>
            <w:pStyle w:val="TDC1"/>
            <w:tabs>
              <w:tab w:val="right" w:leader="dot" w:pos="8828"/>
            </w:tabs>
            <w:rPr>
              <w:noProof/>
              <w:lang w:val="es-CO" w:eastAsia="es-CO"/>
            </w:rPr>
          </w:pPr>
          <w:r>
            <w:fldChar w:fldCharType="begin"/>
          </w:r>
          <w:r>
            <w:instrText xml:space="preserve"> TOC \o "1-3" \h \z \u </w:instrText>
          </w:r>
          <w:r>
            <w:fldChar w:fldCharType="separate"/>
          </w:r>
          <w:hyperlink w:anchor="_Toc115414169" w:history="1">
            <w:r w:rsidRPr="00FB1CEF">
              <w:rPr>
                <w:rStyle w:val="Hipervnculo"/>
                <w:rFonts w:ascii="Arial" w:hAnsi="Arial" w:cs="Arial"/>
                <w:b/>
                <w:bCs/>
                <w:noProof/>
              </w:rPr>
              <w:t>RESUMEN</w:t>
            </w:r>
            <w:r>
              <w:rPr>
                <w:noProof/>
                <w:webHidden/>
              </w:rPr>
              <w:tab/>
            </w:r>
            <w:r>
              <w:rPr>
                <w:noProof/>
                <w:webHidden/>
              </w:rPr>
              <w:fldChar w:fldCharType="begin"/>
            </w:r>
            <w:r>
              <w:rPr>
                <w:noProof/>
                <w:webHidden/>
              </w:rPr>
              <w:instrText xml:space="preserve"> PAGEREF _Toc115414169 \h </w:instrText>
            </w:r>
            <w:r>
              <w:rPr>
                <w:noProof/>
                <w:webHidden/>
              </w:rPr>
            </w:r>
            <w:r>
              <w:rPr>
                <w:noProof/>
                <w:webHidden/>
              </w:rPr>
              <w:fldChar w:fldCharType="separate"/>
            </w:r>
            <w:r>
              <w:rPr>
                <w:noProof/>
                <w:webHidden/>
              </w:rPr>
              <w:t>4</w:t>
            </w:r>
            <w:r>
              <w:rPr>
                <w:noProof/>
                <w:webHidden/>
              </w:rPr>
              <w:fldChar w:fldCharType="end"/>
            </w:r>
          </w:hyperlink>
        </w:p>
        <w:p w14:paraId="0D47EEAF" w14:textId="3071EB43" w:rsidR="006F1ABB" w:rsidRDefault="000D426C">
          <w:pPr>
            <w:pStyle w:val="TDC2"/>
            <w:tabs>
              <w:tab w:val="right" w:leader="dot" w:pos="8828"/>
            </w:tabs>
            <w:rPr>
              <w:noProof/>
              <w:lang w:val="es-CO" w:eastAsia="es-CO"/>
            </w:rPr>
          </w:pPr>
          <w:hyperlink w:anchor="_Toc115414170" w:history="1">
            <w:r w:rsidR="006F1ABB" w:rsidRPr="00FB1CEF">
              <w:rPr>
                <w:rStyle w:val="Hipervnculo"/>
                <w:rFonts w:ascii="Arial" w:hAnsi="Arial" w:cs="Arial"/>
                <w:b/>
                <w:bCs/>
                <w:noProof/>
              </w:rPr>
              <w:t>PALABRAS CLAVE</w:t>
            </w:r>
            <w:r w:rsidR="006F1ABB">
              <w:rPr>
                <w:noProof/>
                <w:webHidden/>
              </w:rPr>
              <w:tab/>
            </w:r>
            <w:r w:rsidR="006F1ABB">
              <w:rPr>
                <w:noProof/>
                <w:webHidden/>
              </w:rPr>
              <w:fldChar w:fldCharType="begin"/>
            </w:r>
            <w:r w:rsidR="006F1ABB">
              <w:rPr>
                <w:noProof/>
                <w:webHidden/>
              </w:rPr>
              <w:instrText xml:space="preserve"> PAGEREF _Toc115414170 \h </w:instrText>
            </w:r>
            <w:r w:rsidR="006F1ABB">
              <w:rPr>
                <w:noProof/>
                <w:webHidden/>
              </w:rPr>
            </w:r>
            <w:r w:rsidR="006F1ABB">
              <w:rPr>
                <w:noProof/>
                <w:webHidden/>
              </w:rPr>
              <w:fldChar w:fldCharType="separate"/>
            </w:r>
            <w:r w:rsidR="006F1ABB">
              <w:rPr>
                <w:noProof/>
                <w:webHidden/>
              </w:rPr>
              <w:t>5</w:t>
            </w:r>
            <w:r w:rsidR="006F1ABB">
              <w:rPr>
                <w:noProof/>
                <w:webHidden/>
              </w:rPr>
              <w:fldChar w:fldCharType="end"/>
            </w:r>
          </w:hyperlink>
        </w:p>
        <w:p w14:paraId="1B9C58F0" w14:textId="22A9C034" w:rsidR="006F1ABB" w:rsidRDefault="000D426C">
          <w:pPr>
            <w:pStyle w:val="TDC1"/>
            <w:tabs>
              <w:tab w:val="right" w:leader="dot" w:pos="8828"/>
            </w:tabs>
            <w:rPr>
              <w:noProof/>
              <w:lang w:val="es-CO" w:eastAsia="es-CO"/>
            </w:rPr>
          </w:pPr>
          <w:hyperlink w:anchor="_Toc115414171" w:history="1">
            <w:r w:rsidR="006F1ABB" w:rsidRPr="00FB1CEF">
              <w:rPr>
                <w:rStyle w:val="Hipervnculo"/>
                <w:rFonts w:ascii="Arial" w:hAnsi="Arial" w:cs="Arial"/>
                <w:b/>
                <w:bCs/>
                <w:noProof/>
              </w:rPr>
              <w:t>ABSTRACT</w:t>
            </w:r>
            <w:r w:rsidR="006F1ABB">
              <w:rPr>
                <w:noProof/>
                <w:webHidden/>
              </w:rPr>
              <w:tab/>
            </w:r>
            <w:r w:rsidR="006F1ABB">
              <w:rPr>
                <w:noProof/>
                <w:webHidden/>
              </w:rPr>
              <w:fldChar w:fldCharType="begin"/>
            </w:r>
            <w:r w:rsidR="006F1ABB">
              <w:rPr>
                <w:noProof/>
                <w:webHidden/>
              </w:rPr>
              <w:instrText xml:space="preserve"> PAGEREF _Toc115414171 \h </w:instrText>
            </w:r>
            <w:r w:rsidR="006F1ABB">
              <w:rPr>
                <w:noProof/>
                <w:webHidden/>
              </w:rPr>
            </w:r>
            <w:r w:rsidR="006F1ABB">
              <w:rPr>
                <w:noProof/>
                <w:webHidden/>
              </w:rPr>
              <w:fldChar w:fldCharType="separate"/>
            </w:r>
            <w:r w:rsidR="006F1ABB">
              <w:rPr>
                <w:noProof/>
                <w:webHidden/>
              </w:rPr>
              <w:t>5</w:t>
            </w:r>
            <w:r w:rsidR="006F1ABB">
              <w:rPr>
                <w:noProof/>
                <w:webHidden/>
              </w:rPr>
              <w:fldChar w:fldCharType="end"/>
            </w:r>
          </w:hyperlink>
        </w:p>
        <w:p w14:paraId="580CACDA" w14:textId="72CD1C22" w:rsidR="006F1ABB" w:rsidRDefault="000D426C">
          <w:pPr>
            <w:pStyle w:val="TDC2"/>
            <w:tabs>
              <w:tab w:val="right" w:leader="dot" w:pos="8828"/>
            </w:tabs>
            <w:rPr>
              <w:noProof/>
              <w:lang w:val="es-CO" w:eastAsia="es-CO"/>
            </w:rPr>
          </w:pPr>
          <w:hyperlink w:anchor="_Toc115414172" w:history="1">
            <w:r w:rsidR="006F1ABB" w:rsidRPr="00FB1CEF">
              <w:rPr>
                <w:rStyle w:val="Hipervnculo"/>
                <w:rFonts w:ascii="Arial" w:hAnsi="Arial" w:cs="Arial"/>
                <w:b/>
                <w:bCs/>
                <w:noProof/>
              </w:rPr>
              <w:t>KEY WORDS</w:t>
            </w:r>
            <w:r w:rsidR="006F1ABB">
              <w:rPr>
                <w:noProof/>
                <w:webHidden/>
              </w:rPr>
              <w:tab/>
            </w:r>
            <w:r w:rsidR="006F1ABB">
              <w:rPr>
                <w:noProof/>
                <w:webHidden/>
              </w:rPr>
              <w:fldChar w:fldCharType="begin"/>
            </w:r>
            <w:r w:rsidR="006F1ABB">
              <w:rPr>
                <w:noProof/>
                <w:webHidden/>
              </w:rPr>
              <w:instrText xml:space="preserve"> PAGEREF _Toc115414172 \h </w:instrText>
            </w:r>
            <w:r w:rsidR="006F1ABB">
              <w:rPr>
                <w:noProof/>
                <w:webHidden/>
              </w:rPr>
            </w:r>
            <w:r w:rsidR="006F1ABB">
              <w:rPr>
                <w:noProof/>
                <w:webHidden/>
              </w:rPr>
              <w:fldChar w:fldCharType="separate"/>
            </w:r>
            <w:r w:rsidR="006F1ABB">
              <w:rPr>
                <w:noProof/>
                <w:webHidden/>
              </w:rPr>
              <w:t>6</w:t>
            </w:r>
            <w:r w:rsidR="006F1ABB">
              <w:rPr>
                <w:noProof/>
                <w:webHidden/>
              </w:rPr>
              <w:fldChar w:fldCharType="end"/>
            </w:r>
          </w:hyperlink>
        </w:p>
        <w:p w14:paraId="795013D7" w14:textId="64E32A7F" w:rsidR="006F1ABB" w:rsidRDefault="000D426C">
          <w:pPr>
            <w:pStyle w:val="TDC1"/>
            <w:tabs>
              <w:tab w:val="right" w:leader="dot" w:pos="8828"/>
            </w:tabs>
            <w:rPr>
              <w:noProof/>
              <w:lang w:val="es-CO" w:eastAsia="es-CO"/>
            </w:rPr>
          </w:pPr>
          <w:hyperlink w:anchor="_Toc115414173" w:history="1">
            <w:r w:rsidR="006F1ABB" w:rsidRPr="00FB1CEF">
              <w:rPr>
                <w:rStyle w:val="Hipervnculo"/>
                <w:rFonts w:ascii="Arial" w:hAnsi="Arial" w:cs="Arial"/>
                <w:b/>
                <w:bCs/>
                <w:noProof/>
              </w:rPr>
              <w:t>INTRODUCCIÓN</w:t>
            </w:r>
            <w:r w:rsidR="006F1ABB">
              <w:rPr>
                <w:noProof/>
                <w:webHidden/>
              </w:rPr>
              <w:tab/>
            </w:r>
            <w:r w:rsidR="006F1ABB">
              <w:rPr>
                <w:noProof/>
                <w:webHidden/>
              </w:rPr>
              <w:fldChar w:fldCharType="begin"/>
            </w:r>
            <w:r w:rsidR="006F1ABB">
              <w:rPr>
                <w:noProof/>
                <w:webHidden/>
              </w:rPr>
              <w:instrText xml:space="preserve"> PAGEREF _Toc115414173 \h </w:instrText>
            </w:r>
            <w:r w:rsidR="006F1ABB">
              <w:rPr>
                <w:noProof/>
                <w:webHidden/>
              </w:rPr>
            </w:r>
            <w:r w:rsidR="006F1ABB">
              <w:rPr>
                <w:noProof/>
                <w:webHidden/>
              </w:rPr>
              <w:fldChar w:fldCharType="separate"/>
            </w:r>
            <w:r w:rsidR="006F1ABB">
              <w:rPr>
                <w:noProof/>
                <w:webHidden/>
              </w:rPr>
              <w:t>6</w:t>
            </w:r>
            <w:r w:rsidR="006F1ABB">
              <w:rPr>
                <w:noProof/>
                <w:webHidden/>
              </w:rPr>
              <w:fldChar w:fldCharType="end"/>
            </w:r>
          </w:hyperlink>
        </w:p>
        <w:p w14:paraId="1016077C" w14:textId="2BB95A3A" w:rsidR="006F1ABB" w:rsidRDefault="000D426C">
          <w:pPr>
            <w:pStyle w:val="TDC1"/>
            <w:tabs>
              <w:tab w:val="right" w:leader="dot" w:pos="8828"/>
            </w:tabs>
            <w:rPr>
              <w:noProof/>
              <w:lang w:val="es-CO" w:eastAsia="es-CO"/>
            </w:rPr>
          </w:pPr>
          <w:hyperlink w:anchor="_Toc115414174" w:history="1">
            <w:r w:rsidR="006F1ABB" w:rsidRPr="00FB1CEF">
              <w:rPr>
                <w:rStyle w:val="Hipervnculo"/>
                <w:rFonts w:ascii="Arial" w:hAnsi="Arial" w:cs="Arial"/>
                <w:b/>
                <w:bCs/>
                <w:noProof/>
              </w:rPr>
              <w:t>METODOLOGÍA</w:t>
            </w:r>
            <w:r w:rsidR="006F1ABB">
              <w:rPr>
                <w:noProof/>
                <w:webHidden/>
              </w:rPr>
              <w:tab/>
            </w:r>
            <w:r w:rsidR="006F1ABB">
              <w:rPr>
                <w:noProof/>
                <w:webHidden/>
              </w:rPr>
              <w:fldChar w:fldCharType="begin"/>
            </w:r>
            <w:r w:rsidR="006F1ABB">
              <w:rPr>
                <w:noProof/>
                <w:webHidden/>
              </w:rPr>
              <w:instrText xml:space="preserve"> PAGEREF _Toc115414174 \h </w:instrText>
            </w:r>
            <w:r w:rsidR="006F1ABB">
              <w:rPr>
                <w:noProof/>
                <w:webHidden/>
              </w:rPr>
            </w:r>
            <w:r w:rsidR="006F1ABB">
              <w:rPr>
                <w:noProof/>
                <w:webHidden/>
              </w:rPr>
              <w:fldChar w:fldCharType="separate"/>
            </w:r>
            <w:r w:rsidR="006F1ABB">
              <w:rPr>
                <w:noProof/>
                <w:webHidden/>
              </w:rPr>
              <w:t>8</w:t>
            </w:r>
            <w:r w:rsidR="006F1ABB">
              <w:rPr>
                <w:noProof/>
                <w:webHidden/>
              </w:rPr>
              <w:fldChar w:fldCharType="end"/>
            </w:r>
          </w:hyperlink>
        </w:p>
        <w:p w14:paraId="3829D493" w14:textId="090CFD5D" w:rsidR="006F1ABB" w:rsidRDefault="000D426C">
          <w:pPr>
            <w:pStyle w:val="TDC1"/>
            <w:tabs>
              <w:tab w:val="right" w:leader="dot" w:pos="8828"/>
            </w:tabs>
            <w:rPr>
              <w:noProof/>
              <w:lang w:val="es-CO" w:eastAsia="es-CO"/>
            </w:rPr>
          </w:pPr>
          <w:hyperlink w:anchor="_Toc115414175" w:history="1">
            <w:r w:rsidR="006F1ABB" w:rsidRPr="00FB1CEF">
              <w:rPr>
                <w:rStyle w:val="Hipervnculo"/>
                <w:rFonts w:ascii="Arial" w:hAnsi="Arial" w:cs="Arial"/>
                <w:b/>
                <w:bCs/>
                <w:noProof/>
              </w:rPr>
              <w:t>DESARROLLO DEL TEMA</w:t>
            </w:r>
            <w:r w:rsidR="006F1ABB">
              <w:rPr>
                <w:noProof/>
                <w:webHidden/>
              </w:rPr>
              <w:tab/>
            </w:r>
            <w:r w:rsidR="006F1ABB">
              <w:rPr>
                <w:noProof/>
                <w:webHidden/>
              </w:rPr>
              <w:fldChar w:fldCharType="begin"/>
            </w:r>
            <w:r w:rsidR="006F1ABB">
              <w:rPr>
                <w:noProof/>
                <w:webHidden/>
              </w:rPr>
              <w:instrText xml:space="preserve"> PAGEREF _Toc115414175 \h </w:instrText>
            </w:r>
            <w:r w:rsidR="006F1ABB">
              <w:rPr>
                <w:noProof/>
                <w:webHidden/>
              </w:rPr>
            </w:r>
            <w:r w:rsidR="006F1ABB">
              <w:rPr>
                <w:noProof/>
                <w:webHidden/>
              </w:rPr>
              <w:fldChar w:fldCharType="separate"/>
            </w:r>
            <w:r w:rsidR="006F1ABB">
              <w:rPr>
                <w:noProof/>
                <w:webHidden/>
              </w:rPr>
              <w:t>9</w:t>
            </w:r>
            <w:r w:rsidR="006F1ABB">
              <w:rPr>
                <w:noProof/>
                <w:webHidden/>
              </w:rPr>
              <w:fldChar w:fldCharType="end"/>
            </w:r>
          </w:hyperlink>
        </w:p>
        <w:p w14:paraId="37CCCB8B" w14:textId="5CCD44C5" w:rsidR="006F1ABB" w:rsidRDefault="000D426C">
          <w:pPr>
            <w:pStyle w:val="TDC2"/>
            <w:tabs>
              <w:tab w:val="right" w:leader="dot" w:pos="8828"/>
            </w:tabs>
            <w:rPr>
              <w:noProof/>
              <w:lang w:val="es-CO" w:eastAsia="es-CO"/>
            </w:rPr>
          </w:pPr>
          <w:hyperlink w:anchor="_Toc115414176" w:history="1">
            <w:r w:rsidR="006F1ABB" w:rsidRPr="00FB1CEF">
              <w:rPr>
                <w:rStyle w:val="Hipervnculo"/>
                <w:rFonts w:ascii="Arial" w:hAnsi="Arial" w:cs="Arial"/>
                <w:b/>
                <w:bCs/>
                <w:noProof/>
              </w:rPr>
              <w:t>GENERALIDADES SOBRE EL REGIMEN PENSIONAL EN COLOMBIA</w:t>
            </w:r>
            <w:r w:rsidR="006F1ABB">
              <w:rPr>
                <w:noProof/>
                <w:webHidden/>
              </w:rPr>
              <w:tab/>
            </w:r>
            <w:r w:rsidR="006F1ABB">
              <w:rPr>
                <w:noProof/>
                <w:webHidden/>
              </w:rPr>
              <w:fldChar w:fldCharType="begin"/>
            </w:r>
            <w:r w:rsidR="006F1ABB">
              <w:rPr>
                <w:noProof/>
                <w:webHidden/>
              </w:rPr>
              <w:instrText xml:space="preserve"> PAGEREF _Toc115414176 \h </w:instrText>
            </w:r>
            <w:r w:rsidR="006F1ABB">
              <w:rPr>
                <w:noProof/>
                <w:webHidden/>
              </w:rPr>
            </w:r>
            <w:r w:rsidR="006F1ABB">
              <w:rPr>
                <w:noProof/>
                <w:webHidden/>
              </w:rPr>
              <w:fldChar w:fldCharType="separate"/>
            </w:r>
            <w:r w:rsidR="006F1ABB">
              <w:rPr>
                <w:noProof/>
                <w:webHidden/>
              </w:rPr>
              <w:t>10</w:t>
            </w:r>
            <w:r w:rsidR="006F1ABB">
              <w:rPr>
                <w:noProof/>
                <w:webHidden/>
              </w:rPr>
              <w:fldChar w:fldCharType="end"/>
            </w:r>
          </w:hyperlink>
        </w:p>
        <w:p w14:paraId="46A9598E" w14:textId="769A6212" w:rsidR="006F1ABB" w:rsidRDefault="000D426C">
          <w:pPr>
            <w:pStyle w:val="TDC2"/>
            <w:tabs>
              <w:tab w:val="right" w:leader="dot" w:pos="8828"/>
            </w:tabs>
            <w:rPr>
              <w:noProof/>
              <w:lang w:val="es-CO" w:eastAsia="es-CO"/>
            </w:rPr>
          </w:pPr>
          <w:hyperlink w:anchor="_Toc115414177" w:history="1">
            <w:r w:rsidR="006F1ABB" w:rsidRPr="00FB1CEF">
              <w:rPr>
                <w:rStyle w:val="Hipervnculo"/>
                <w:rFonts w:ascii="Arial" w:hAnsi="Arial" w:cs="Arial"/>
                <w:b/>
                <w:bCs/>
                <w:noProof/>
                <w:shd w:val="clear" w:color="auto" w:fill="FFFFFF"/>
              </w:rPr>
              <w:t>EL genero y su papel en el Sistema General de Pensiones de Colombia</w:t>
            </w:r>
            <w:r w:rsidR="006F1ABB">
              <w:rPr>
                <w:noProof/>
                <w:webHidden/>
              </w:rPr>
              <w:tab/>
            </w:r>
            <w:r w:rsidR="006F1ABB">
              <w:rPr>
                <w:noProof/>
                <w:webHidden/>
              </w:rPr>
              <w:fldChar w:fldCharType="begin"/>
            </w:r>
            <w:r w:rsidR="006F1ABB">
              <w:rPr>
                <w:noProof/>
                <w:webHidden/>
              </w:rPr>
              <w:instrText xml:space="preserve"> PAGEREF _Toc115414177 \h </w:instrText>
            </w:r>
            <w:r w:rsidR="006F1ABB">
              <w:rPr>
                <w:noProof/>
                <w:webHidden/>
              </w:rPr>
            </w:r>
            <w:r w:rsidR="006F1ABB">
              <w:rPr>
                <w:noProof/>
                <w:webHidden/>
              </w:rPr>
              <w:fldChar w:fldCharType="separate"/>
            </w:r>
            <w:r w:rsidR="006F1ABB">
              <w:rPr>
                <w:noProof/>
                <w:webHidden/>
              </w:rPr>
              <w:t>12</w:t>
            </w:r>
            <w:r w:rsidR="006F1ABB">
              <w:rPr>
                <w:noProof/>
                <w:webHidden/>
              </w:rPr>
              <w:fldChar w:fldCharType="end"/>
            </w:r>
          </w:hyperlink>
        </w:p>
        <w:p w14:paraId="69DD700E" w14:textId="377FDCB8" w:rsidR="006F1ABB" w:rsidRDefault="000D426C">
          <w:pPr>
            <w:pStyle w:val="TDC1"/>
            <w:tabs>
              <w:tab w:val="right" w:leader="dot" w:pos="8828"/>
            </w:tabs>
            <w:rPr>
              <w:noProof/>
              <w:lang w:val="es-CO" w:eastAsia="es-CO"/>
            </w:rPr>
          </w:pPr>
          <w:hyperlink w:anchor="_Toc115414178" w:history="1">
            <w:r w:rsidR="006F1ABB" w:rsidRPr="00FB1CEF">
              <w:rPr>
                <w:rStyle w:val="Hipervnculo"/>
                <w:rFonts w:ascii="Arial" w:hAnsi="Arial" w:cs="Arial"/>
                <w:b/>
                <w:bCs/>
                <w:noProof/>
              </w:rPr>
              <w:t>CONSTRUCCIÓN JURISPRUDENCIAL DE LAS REGLAS PARA LA DETERMINACIÓN DE LA PENSIÓN A PERSONAS TRANS.</w:t>
            </w:r>
            <w:r w:rsidR="006F1ABB">
              <w:rPr>
                <w:noProof/>
                <w:webHidden/>
              </w:rPr>
              <w:tab/>
            </w:r>
            <w:r w:rsidR="006F1ABB">
              <w:rPr>
                <w:noProof/>
                <w:webHidden/>
              </w:rPr>
              <w:fldChar w:fldCharType="begin"/>
            </w:r>
            <w:r w:rsidR="006F1ABB">
              <w:rPr>
                <w:noProof/>
                <w:webHidden/>
              </w:rPr>
              <w:instrText xml:space="preserve"> PAGEREF _Toc115414178 \h </w:instrText>
            </w:r>
            <w:r w:rsidR="006F1ABB">
              <w:rPr>
                <w:noProof/>
                <w:webHidden/>
              </w:rPr>
            </w:r>
            <w:r w:rsidR="006F1ABB">
              <w:rPr>
                <w:noProof/>
                <w:webHidden/>
              </w:rPr>
              <w:fldChar w:fldCharType="separate"/>
            </w:r>
            <w:r w:rsidR="006F1ABB">
              <w:rPr>
                <w:noProof/>
                <w:webHidden/>
              </w:rPr>
              <w:t>13</w:t>
            </w:r>
            <w:r w:rsidR="006F1ABB">
              <w:rPr>
                <w:noProof/>
                <w:webHidden/>
              </w:rPr>
              <w:fldChar w:fldCharType="end"/>
            </w:r>
          </w:hyperlink>
        </w:p>
        <w:p w14:paraId="6F20B042" w14:textId="5453E63A" w:rsidR="006F1ABB" w:rsidRDefault="000D426C">
          <w:pPr>
            <w:pStyle w:val="TDC1"/>
            <w:tabs>
              <w:tab w:val="right" w:leader="dot" w:pos="8828"/>
            </w:tabs>
            <w:rPr>
              <w:noProof/>
              <w:lang w:val="es-CO" w:eastAsia="es-CO"/>
            </w:rPr>
          </w:pPr>
          <w:hyperlink w:anchor="_Toc115414179" w:history="1">
            <w:r w:rsidR="006F1ABB" w:rsidRPr="00FB1CEF">
              <w:rPr>
                <w:rStyle w:val="Hipervnculo"/>
                <w:rFonts w:ascii="Arial" w:hAnsi="Arial" w:cs="Arial"/>
                <w:b/>
                <w:bCs/>
                <w:noProof/>
              </w:rPr>
              <w:t>CONCLUSIONES</w:t>
            </w:r>
            <w:r w:rsidR="006F1ABB">
              <w:rPr>
                <w:noProof/>
                <w:webHidden/>
              </w:rPr>
              <w:tab/>
            </w:r>
            <w:r w:rsidR="006F1ABB">
              <w:rPr>
                <w:noProof/>
                <w:webHidden/>
              </w:rPr>
              <w:fldChar w:fldCharType="begin"/>
            </w:r>
            <w:r w:rsidR="006F1ABB">
              <w:rPr>
                <w:noProof/>
                <w:webHidden/>
              </w:rPr>
              <w:instrText xml:space="preserve"> PAGEREF _Toc115414179 \h </w:instrText>
            </w:r>
            <w:r w:rsidR="006F1ABB">
              <w:rPr>
                <w:noProof/>
                <w:webHidden/>
              </w:rPr>
            </w:r>
            <w:r w:rsidR="006F1ABB">
              <w:rPr>
                <w:noProof/>
                <w:webHidden/>
              </w:rPr>
              <w:fldChar w:fldCharType="separate"/>
            </w:r>
            <w:r w:rsidR="006F1ABB">
              <w:rPr>
                <w:noProof/>
                <w:webHidden/>
              </w:rPr>
              <w:t>17</w:t>
            </w:r>
            <w:r w:rsidR="006F1ABB">
              <w:rPr>
                <w:noProof/>
                <w:webHidden/>
              </w:rPr>
              <w:fldChar w:fldCharType="end"/>
            </w:r>
          </w:hyperlink>
        </w:p>
        <w:p w14:paraId="5416D8C0" w14:textId="74A15CAE" w:rsidR="006F1ABB" w:rsidRDefault="000D426C">
          <w:pPr>
            <w:pStyle w:val="TDC1"/>
            <w:tabs>
              <w:tab w:val="right" w:leader="dot" w:pos="8828"/>
            </w:tabs>
            <w:rPr>
              <w:noProof/>
              <w:lang w:val="es-CO" w:eastAsia="es-CO"/>
            </w:rPr>
          </w:pPr>
          <w:hyperlink w:anchor="_Toc115414180" w:history="1">
            <w:r w:rsidR="006F1ABB" w:rsidRPr="00FB1CEF">
              <w:rPr>
                <w:rStyle w:val="Hipervnculo"/>
                <w:rFonts w:ascii="Arial" w:hAnsi="Arial" w:cs="Arial"/>
                <w:b/>
                <w:bCs/>
                <w:noProof/>
              </w:rPr>
              <w:t>BIBLIOGRAFÍA</w:t>
            </w:r>
            <w:r w:rsidR="006F1ABB">
              <w:rPr>
                <w:noProof/>
                <w:webHidden/>
              </w:rPr>
              <w:tab/>
            </w:r>
            <w:r w:rsidR="006F1ABB">
              <w:rPr>
                <w:noProof/>
                <w:webHidden/>
              </w:rPr>
              <w:fldChar w:fldCharType="begin"/>
            </w:r>
            <w:r w:rsidR="006F1ABB">
              <w:rPr>
                <w:noProof/>
                <w:webHidden/>
              </w:rPr>
              <w:instrText xml:space="preserve"> PAGEREF _Toc115414180 \h </w:instrText>
            </w:r>
            <w:r w:rsidR="006F1ABB">
              <w:rPr>
                <w:noProof/>
                <w:webHidden/>
              </w:rPr>
            </w:r>
            <w:r w:rsidR="006F1ABB">
              <w:rPr>
                <w:noProof/>
                <w:webHidden/>
              </w:rPr>
              <w:fldChar w:fldCharType="separate"/>
            </w:r>
            <w:r w:rsidR="006F1ABB">
              <w:rPr>
                <w:noProof/>
                <w:webHidden/>
              </w:rPr>
              <w:t>17</w:t>
            </w:r>
            <w:r w:rsidR="006F1ABB">
              <w:rPr>
                <w:noProof/>
                <w:webHidden/>
              </w:rPr>
              <w:fldChar w:fldCharType="end"/>
            </w:r>
          </w:hyperlink>
        </w:p>
        <w:p w14:paraId="6C8C1B97" w14:textId="0B86127F" w:rsidR="006F1ABB" w:rsidRDefault="006F1ABB">
          <w:r>
            <w:rPr>
              <w:b/>
              <w:bCs/>
              <w:lang w:val="es-ES"/>
            </w:rPr>
            <w:fldChar w:fldCharType="end"/>
          </w:r>
        </w:p>
      </w:sdtContent>
    </w:sdt>
    <w:p w14:paraId="49A9B952" w14:textId="0F376418" w:rsidR="00F27F92" w:rsidRPr="00F95654" w:rsidRDefault="00F27F92" w:rsidP="00F95654">
      <w:pPr>
        <w:jc w:val="both"/>
        <w:rPr>
          <w:rFonts w:ascii="Arial" w:hAnsi="Arial" w:cs="Arial"/>
          <w:sz w:val="24"/>
          <w:szCs w:val="24"/>
        </w:rPr>
      </w:pPr>
    </w:p>
    <w:p w14:paraId="5B07B65F" w14:textId="51EC498E" w:rsidR="00F27F92" w:rsidRPr="00F95654" w:rsidRDefault="00F27F92" w:rsidP="00F95654">
      <w:pPr>
        <w:jc w:val="both"/>
        <w:rPr>
          <w:rFonts w:ascii="Arial" w:hAnsi="Arial" w:cs="Arial"/>
          <w:sz w:val="24"/>
          <w:szCs w:val="24"/>
        </w:rPr>
      </w:pPr>
    </w:p>
    <w:p w14:paraId="70CEADC4" w14:textId="43ED2898" w:rsidR="00F27F92" w:rsidRPr="00F95654" w:rsidRDefault="00F27F92" w:rsidP="00F95654">
      <w:pPr>
        <w:jc w:val="both"/>
        <w:rPr>
          <w:rFonts w:ascii="Arial" w:hAnsi="Arial" w:cs="Arial"/>
          <w:sz w:val="24"/>
          <w:szCs w:val="24"/>
        </w:rPr>
      </w:pPr>
    </w:p>
    <w:p w14:paraId="7C3B3ABD" w14:textId="0749579B" w:rsidR="00F27F92" w:rsidRPr="00F95654" w:rsidRDefault="00F27F92" w:rsidP="00F95654">
      <w:pPr>
        <w:jc w:val="both"/>
        <w:rPr>
          <w:rFonts w:ascii="Arial" w:hAnsi="Arial" w:cs="Arial"/>
          <w:sz w:val="24"/>
          <w:szCs w:val="24"/>
        </w:rPr>
      </w:pPr>
    </w:p>
    <w:p w14:paraId="23B27B00" w14:textId="1125707E" w:rsidR="00F27F92" w:rsidRPr="00F95654" w:rsidRDefault="00F27F92" w:rsidP="00F95654">
      <w:pPr>
        <w:jc w:val="both"/>
        <w:rPr>
          <w:rFonts w:ascii="Arial" w:hAnsi="Arial" w:cs="Arial"/>
          <w:sz w:val="24"/>
          <w:szCs w:val="24"/>
        </w:rPr>
      </w:pPr>
    </w:p>
    <w:p w14:paraId="64593BCE" w14:textId="4E584A37" w:rsidR="00F27F92" w:rsidRPr="00F95654" w:rsidRDefault="00F27F92" w:rsidP="00F95654">
      <w:pPr>
        <w:jc w:val="both"/>
        <w:rPr>
          <w:rFonts w:ascii="Arial" w:hAnsi="Arial" w:cs="Arial"/>
          <w:sz w:val="24"/>
          <w:szCs w:val="24"/>
        </w:rPr>
      </w:pPr>
    </w:p>
    <w:p w14:paraId="2C240DE7" w14:textId="7E361C4C" w:rsidR="00F27F92" w:rsidRPr="00F95654" w:rsidRDefault="00F27F92" w:rsidP="00F95654">
      <w:pPr>
        <w:jc w:val="both"/>
        <w:rPr>
          <w:rFonts w:ascii="Arial" w:hAnsi="Arial" w:cs="Arial"/>
          <w:sz w:val="24"/>
          <w:szCs w:val="24"/>
        </w:rPr>
      </w:pPr>
    </w:p>
    <w:p w14:paraId="7CE89773" w14:textId="0207231F" w:rsidR="00F27F92" w:rsidRPr="00F95654" w:rsidRDefault="00F27F92" w:rsidP="00F95654">
      <w:pPr>
        <w:jc w:val="both"/>
        <w:rPr>
          <w:rFonts w:ascii="Arial" w:hAnsi="Arial" w:cs="Arial"/>
          <w:sz w:val="24"/>
          <w:szCs w:val="24"/>
        </w:rPr>
      </w:pPr>
    </w:p>
    <w:p w14:paraId="66DB17FA" w14:textId="7E33C91B" w:rsidR="00F27F92" w:rsidRPr="00F95654" w:rsidRDefault="00F27F92" w:rsidP="00F95654">
      <w:pPr>
        <w:jc w:val="both"/>
        <w:rPr>
          <w:rFonts w:ascii="Arial" w:hAnsi="Arial" w:cs="Arial"/>
          <w:sz w:val="24"/>
          <w:szCs w:val="24"/>
        </w:rPr>
      </w:pPr>
    </w:p>
    <w:p w14:paraId="23B7083F" w14:textId="3FC4210B" w:rsidR="00F27F92" w:rsidRPr="00F95654" w:rsidRDefault="00F27F92" w:rsidP="00F95654">
      <w:pPr>
        <w:jc w:val="both"/>
        <w:rPr>
          <w:rFonts w:ascii="Arial" w:hAnsi="Arial" w:cs="Arial"/>
          <w:sz w:val="24"/>
          <w:szCs w:val="24"/>
        </w:rPr>
      </w:pPr>
    </w:p>
    <w:p w14:paraId="623479C3" w14:textId="123014B8" w:rsidR="00F27F92" w:rsidRPr="00F95654" w:rsidRDefault="00F27F92" w:rsidP="00F95654">
      <w:pPr>
        <w:jc w:val="both"/>
        <w:rPr>
          <w:rFonts w:ascii="Arial" w:hAnsi="Arial" w:cs="Arial"/>
          <w:sz w:val="24"/>
          <w:szCs w:val="24"/>
        </w:rPr>
      </w:pPr>
    </w:p>
    <w:p w14:paraId="59979961" w14:textId="27E40378" w:rsidR="00F27F92" w:rsidRPr="00F95654" w:rsidRDefault="00F27F92" w:rsidP="00F95654">
      <w:pPr>
        <w:jc w:val="both"/>
        <w:rPr>
          <w:rFonts w:ascii="Arial" w:hAnsi="Arial" w:cs="Arial"/>
          <w:sz w:val="24"/>
          <w:szCs w:val="24"/>
        </w:rPr>
      </w:pPr>
    </w:p>
    <w:p w14:paraId="7165D547" w14:textId="6AB3F7F5" w:rsidR="00F27F92" w:rsidRPr="00F95654" w:rsidRDefault="00F27F92" w:rsidP="00F95654">
      <w:pPr>
        <w:jc w:val="both"/>
        <w:rPr>
          <w:rFonts w:ascii="Arial" w:hAnsi="Arial" w:cs="Arial"/>
          <w:sz w:val="24"/>
          <w:szCs w:val="24"/>
        </w:rPr>
      </w:pPr>
    </w:p>
    <w:p w14:paraId="7555BD7D" w14:textId="755362D0" w:rsidR="00F27F92" w:rsidRPr="00F95654" w:rsidRDefault="00F27F92" w:rsidP="00F95654">
      <w:pPr>
        <w:jc w:val="both"/>
        <w:rPr>
          <w:rFonts w:ascii="Arial" w:hAnsi="Arial" w:cs="Arial"/>
          <w:sz w:val="24"/>
          <w:szCs w:val="24"/>
        </w:rPr>
      </w:pPr>
    </w:p>
    <w:p w14:paraId="1B02AFE3" w14:textId="512267B6" w:rsidR="00F27F92" w:rsidRPr="00F95654" w:rsidRDefault="00F27F92" w:rsidP="00F95654">
      <w:pPr>
        <w:jc w:val="both"/>
        <w:rPr>
          <w:rFonts w:ascii="Arial" w:hAnsi="Arial" w:cs="Arial"/>
          <w:sz w:val="24"/>
          <w:szCs w:val="24"/>
        </w:rPr>
      </w:pPr>
    </w:p>
    <w:p w14:paraId="231CE755" w14:textId="77777777" w:rsidR="00F27F92" w:rsidRPr="00F95654" w:rsidRDefault="00F27F92" w:rsidP="00F95654">
      <w:pPr>
        <w:spacing w:line="480" w:lineRule="auto"/>
        <w:jc w:val="both"/>
        <w:rPr>
          <w:rFonts w:ascii="Arial" w:hAnsi="Arial" w:cs="Arial"/>
          <w:color w:val="000000" w:themeColor="text1"/>
          <w:sz w:val="24"/>
          <w:szCs w:val="24"/>
        </w:rPr>
      </w:pPr>
      <w:r w:rsidRPr="00F95654">
        <w:rPr>
          <w:rFonts w:ascii="Arial" w:hAnsi="Arial" w:cs="Arial"/>
          <w:color w:val="000000" w:themeColor="text1"/>
          <w:sz w:val="24"/>
          <w:szCs w:val="24"/>
        </w:rPr>
        <w:t>CRITERIOS LEGALES Y JURISPRUDENCIALES PARA LA DETERMINACIÓN DE LA PENSIÓN DE VEJEZ EN PERSONAS TRANSGÉNERO EN COLOMBIA</w:t>
      </w:r>
    </w:p>
    <w:p w14:paraId="492E6E33" w14:textId="31133CEA" w:rsidR="005F67FF" w:rsidRDefault="002F43CF" w:rsidP="00F95654">
      <w:pPr>
        <w:pStyle w:val="Ttulo1"/>
        <w:jc w:val="both"/>
        <w:rPr>
          <w:rFonts w:ascii="Arial" w:hAnsi="Arial" w:cs="Arial"/>
          <w:b/>
          <w:bCs/>
          <w:color w:val="auto"/>
          <w:sz w:val="24"/>
          <w:szCs w:val="24"/>
        </w:rPr>
      </w:pPr>
      <w:bookmarkStart w:id="1" w:name="_Toc115414169"/>
      <w:r w:rsidRPr="00F95654">
        <w:rPr>
          <w:rFonts w:ascii="Arial" w:hAnsi="Arial" w:cs="Arial"/>
          <w:b/>
          <w:bCs/>
          <w:color w:val="auto"/>
          <w:sz w:val="24"/>
          <w:szCs w:val="24"/>
        </w:rPr>
        <w:t>RESUMEN</w:t>
      </w:r>
      <w:bookmarkEnd w:id="1"/>
    </w:p>
    <w:p w14:paraId="4A14979A" w14:textId="1308CA70" w:rsidR="00F95654" w:rsidRPr="00F95654" w:rsidRDefault="00F95654" w:rsidP="00F95654">
      <w:r>
        <w:tab/>
      </w:r>
    </w:p>
    <w:p w14:paraId="063B29EE" w14:textId="5D3AC460" w:rsidR="00C60405" w:rsidRPr="00F95654" w:rsidRDefault="00C60405" w:rsidP="00F95654">
      <w:pPr>
        <w:spacing w:line="480" w:lineRule="auto"/>
        <w:jc w:val="both"/>
        <w:rPr>
          <w:rFonts w:ascii="Arial" w:hAnsi="Arial" w:cs="Arial"/>
          <w:sz w:val="24"/>
          <w:szCs w:val="24"/>
        </w:rPr>
      </w:pPr>
      <w:r w:rsidRPr="00F95654">
        <w:rPr>
          <w:rFonts w:ascii="Arial" w:hAnsi="Arial" w:cs="Arial"/>
          <w:sz w:val="24"/>
          <w:szCs w:val="24"/>
        </w:rPr>
        <w:t xml:space="preserve">El desarrollo jurisprudencial frente al reconocimiento del derecho pensional por parte de las personas trans, constituye un avance significativo en garantía de derechos. No obstante, la discusión sobre ello es por lo tanto </w:t>
      </w:r>
      <w:r w:rsidR="004867D5" w:rsidRPr="00F95654">
        <w:rPr>
          <w:rFonts w:ascii="Arial" w:hAnsi="Arial" w:cs="Arial"/>
          <w:sz w:val="24"/>
          <w:szCs w:val="24"/>
        </w:rPr>
        <w:t xml:space="preserve">un espacio abierto al debate para el análisis de las reglas que han de guiar, a partir del género, los criterios por medio de los cuales un usuario del Sistema General de Pensiones en Colombia puede acceder a la misma. El desarrollo de este estudio se orientó teniendo como objetivo </w:t>
      </w:r>
      <w:r w:rsidR="004867D5" w:rsidRPr="00F95654">
        <w:rPr>
          <w:rFonts w:ascii="Arial" w:hAnsi="Arial" w:cs="Arial"/>
          <w:color w:val="000000" w:themeColor="text1"/>
          <w:sz w:val="24"/>
          <w:szCs w:val="24"/>
        </w:rPr>
        <w:t>el análisis de los criterios legales y jurisprudenciales para la determinación de la pensión de vejez en personas transgénero en Colombia. Para esto, metodológicamente se desarrolló como investigación documental teniendo en cuenta el método analítico; el tipo de investigación es descriptivo</w:t>
      </w:r>
      <w:r w:rsidR="004867D5" w:rsidRPr="00F95654">
        <w:rPr>
          <w:rFonts w:ascii="Arial" w:hAnsi="Arial" w:cs="Arial"/>
          <w:sz w:val="24"/>
          <w:szCs w:val="24"/>
        </w:rPr>
        <w:t xml:space="preserve"> </w:t>
      </w:r>
      <w:r w:rsidR="004867D5" w:rsidRPr="00F95654">
        <w:rPr>
          <w:rFonts w:ascii="Arial" w:hAnsi="Arial" w:cs="Arial"/>
          <w:color w:val="000000" w:themeColor="text1"/>
          <w:sz w:val="24"/>
          <w:szCs w:val="24"/>
        </w:rPr>
        <w:t>se siguió con un enfoque cualitativo. De esta manera, se logró concluir que la lectura sobre los derechos pensionales, en el marco de la garantía a la Seguridad Social no deben ser sometidos por reglas excluyentes a partir del género, sin embargo, la determinación de esto debe orientarse por procesos que permitan la garantía de los derechos y no la afectación del Sistema General de Pensiones.</w:t>
      </w:r>
    </w:p>
    <w:p w14:paraId="0275A57E" w14:textId="328C6CBE" w:rsidR="002F43CF" w:rsidRPr="00F95654" w:rsidRDefault="002F43CF" w:rsidP="00F95654">
      <w:pPr>
        <w:pStyle w:val="Ttulo2"/>
        <w:jc w:val="both"/>
        <w:rPr>
          <w:rFonts w:ascii="Arial" w:hAnsi="Arial" w:cs="Arial"/>
          <w:b/>
          <w:bCs/>
          <w:color w:val="auto"/>
          <w:sz w:val="24"/>
          <w:szCs w:val="24"/>
        </w:rPr>
      </w:pPr>
      <w:bookmarkStart w:id="2" w:name="_Toc115414170"/>
      <w:r w:rsidRPr="00F95654">
        <w:rPr>
          <w:rFonts w:ascii="Arial" w:hAnsi="Arial" w:cs="Arial"/>
          <w:b/>
          <w:bCs/>
          <w:color w:val="auto"/>
          <w:sz w:val="24"/>
          <w:szCs w:val="24"/>
        </w:rPr>
        <w:t>PALABRAS CLAVE</w:t>
      </w:r>
      <w:bookmarkEnd w:id="2"/>
    </w:p>
    <w:p w14:paraId="50349502" w14:textId="2FCD15F8" w:rsidR="004867D5" w:rsidRPr="00F95654" w:rsidRDefault="004867D5" w:rsidP="00F95654">
      <w:pPr>
        <w:spacing w:line="480" w:lineRule="auto"/>
        <w:jc w:val="both"/>
        <w:rPr>
          <w:rFonts w:ascii="Arial" w:hAnsi="Arial" w:cs="Arial"/>
          <w:sz w:val="24"/>
          <w:szCs w:val="24"/>
        </w:rPr>
      </w:pPr>
      <w:r w:rsidRPr="00F95654">
        <w:rPr>
          <w:rFonts w:ascii="Arial" w:hAnsi="Arial" w:cs="Arial"/>
          <w:sz w:val="24"/>
          <w:szCs w:val="24"/>
        </w:rPr>
        <w:t xml:space="preserve">Constitución, </w:t>
      </w:r>
      <w:r w:rsidR="00F27F92" w:rsidRPr="00F95654">
        <w:rPr>
          <w:rFonts w:ascii="Arial" w:hAnsi="Arial" w:cs="Arial"/>
          <w:sz w:val="24"/>
          <w:szCs w:val="24"/>
        </w:rPr>
        <w:t xml:space="preserve">Jurisprudencia, </w:t>
      </w:r>
      <w:r w:rsidRPr="00F95654">
        <w:rPr>
          <w:rFonts w:ascii="Arial" w:hAnsi="Arial" w:cs="Arial"/>
          <w:sz w:val="24"/>
          <w:szCs w:val="24"/>
        </w:rPr>
        <w:t>Pensión, Seguridad Social, Transgénero</w:t>
      </w:r>
    </w:p>
    <w:p w14:paraId="73EDA0AE" w14:textId="69D0A11C" w:rsidR="002F43CF" w:rsidRPr="00F95654" w:rsidRDefault="002F43CF" w:rsidP="00F95654">
      <w:pPr>
        <w:pStyle w:val="Ttulo1"/>
        <w:jc w:val="both"/>
        <w:rPr>
          <w:rFonts w:ascii="Arial" w:hAnsi="Arial" w:cs="Arial"/>
          <w:b/>
          <w:bCs/>
          <w:color w:val="auto"/>
          <w:sz w:val="24"/>
          <w:szCs w:val="24"/>
        </w:rPr>
      </w:pPr>
      <w:bookmarkStart w:id="3" w:name="_Toc115414171"/>
      <w:r w:rsidRPr="00F95654">
        <w:rPr>
          <w:rFonts w:ascii="Arial" w:hAnsi="Arial" w:cs="Arial"/>
          <w:b/>
          <w:bCs/>
          <w:color w:val="auto"/>
          <w:sz w:val="24"/>
          <w:szCs w:val="24"/>
        </w:rPr>
        <w:lastRenderedPageBreak/>
        <w:t>ABSTRACT</w:t>
      </w:r>
      <w:bookmarkEnd w:id="3"/>
    </w:p>
    <w:p w14:paraId="03C19D18" w14:textId="30EF1AA1" w:rsidR="00F27F92" w:rsidRPr="00F95654" w:rsidRDefault="00F27F92" w:rsidP="00F95654">
      <w:pPr>
        <w:spacing w:line="480" w:lineRule="auto"/>
        <w:jc w:val="both"/>
        <w:rPr>
          <w:rFonts w:ascii="Arial" w:hAnsi="Arial" w:cs="Arial"/>
          <w:sz w:val="24"/>
          <w:szCs w:val="24"/>
        </w:rPr>
      </w:pPr>
      <w:r w:rsidRPr="00F95654">
        <w:rPr>
          <w:rFonts w:ascii="Arial" w:hAnsi="Arial" w:cs="Arial"/>
          <w:sz w:val="24"/>
          <w:szCs w:val="24"/>
          <w:lang w:val="en"/>
        </w:rPr>
        <w:t xml:space="preserve">The jurisprudential development against the recognition of pension rights by trans people constitutes a significant advance in guaranteeing rights. However, the discussion on this is therefore a space open to debate for the analysis of the rules that must guide, based on gender, the criteria through which a user of the General Pension System in Colombia can access it. The development of this study was oriented with the objective of </w:t>
      </w:r>
      <w:proofErr w:type="spellStart"/>
      <w:r w:rsidRPr="00F95654">
        <w:rPr>
          <w:rFonts w:ascii="Arial" w:hAnsi="Arial" w:cs="Arial"/>
          <w:color w:val="000000" w:themeColor="text1"/>
          <w:sz w:val="24"/>
          <w:szCs w:val="24"/>
          <w:lang w:val="en"/>
        </w:rPr>
        <w:t>thenatural</w:t>
      </w:r>
      <w:proofErr w:type="spellEnd"/>
      <w:r w:rsidRPr="00F95654">
        <w:rPr>
          <w:rFonts w:ascii="Arial" w:hAnsi="Arial" w:cs="Arial"/>
          <w:color w:val="000000" w:themeColor="text1"/>
          <w:sz w:val="24"/>
          <w:szCs w:val="24"/>
          <w:lang w:val="en"/>
        </w:rPr>
        <w:t xml:space="preserve"> nature of the legal and jurisprudential criteria for the determination of the old-age pension in transgender people in Colombia. For this, methodologically it was developed as documentary research taking into account the analytical </w:t>
      </w:r>
      <w:proofErr w:type="spellStart"/>
      <w:r w:rsidRPr="00F95654">
        <w:rPr>
          <w:rFonts w:ascii="Arial" w:hAnsi="Arial" w:cs="Arial"/>
          <w:color w:val="000000" w:themeColor="text1"/>
          <w:sz w:val="24"/>
          <w:szCs w:val="24"/>
          <w:lang w:val="en"/>
        </w:rPr>
        <w:t>methodor</w:t>
      </w:r>
      <w:proofErr w:type="spellEnd"/>
      <w:proofErr w:type="gramStart"/>
      <w:r w:rsidRPr="00F95654">
        <w:rPr>
          <w:rFonts w:ascii="Arial" w:hAnsi="Arial" w:cs="Arial"/>
          <w:color w:val="000000" w:themeColor="text1"/>
          <w:sz w:val="24"/>
          <w:szCs w:val="24"/>
          <w:lang w:val="en"/>
        </w:rPr>
        <w:t xml:space="preserve">; </w:t>
      </w:r>
      <w:r w:rsidRPr="00F95654">
        <w:rPr>
          <w:rFonts w:ascii="Arial" w:hAnsi="Arial" w:cs="Arial"/>
          <w:sz w:val="24"/>
          <w:szCs w:val="24"/>
          <w:lang w:val="en"/>
        </w:rPr>
        <w:t xml:space="preserve"> </w:t>
      </w:r>
      <w:r w:rsidRPr="00F95654">
        <w:rPr>
          <w:rFonts w:ascii="Arial" w:hAnsi="Arial" w:cs="Arial"/>
          <w:color w:val="000000" w:themeColor="text1"/>
          <w:sz w:val="24"/>
          <w:szCs w:val="24"/>
          <w:lang w:val="en"/>
        </w:rPr>
        <w:t>the</w:t>
      </w:r>
      <w:proofErr w:type="gramEnd"/>
      <w:r w:rsidRPr="00F95654">
        <w:rPr>
          <w:rFonts w:ascii="Arial" w:hAnsi="Arial" w:cs="Arial"/>
          <w:color w:val="000000" w:themeColor="text1"/>
          <w:sz w:val="24"/>
          <w:szCs w:val="24"/>
          <w:lang w:val="en"/>
        </w:rPr>
        <w:t xml:space="preserve"> type of research is descriptive </w:t>
      </w:r>
      <w:proofErr w:type="spellStart"/>
      <w:r w:rsidRPr="00F95654">
        <w:rPr>
          <w:rFonts w:ascii="Arial" w:hAnsi="Arial" w:cs="Arial"/>
          <w:color w:val="000000" w:themeColor="text1"/>
          <w:sz w:val="24"/>
          <w:szCs w:val="24"/>
          <w:lang w:val="en"/>
        </w:rPr>
        <w:t>andfollowed</w:t>
      </w:r>
      <w:proofErr w:type="spellEnd"/>
      <w:r w:rsidRPr="00F95654">
        <w:rPr>
          <w:rFonts w:ascii="Arial" w:hAnsi="Arial" w:cs="Arial"/>
          <w:color w:val="000000" w:themeColor="text1"/>
          <w:sz w:val="24"/>
          <w:szCs w:val="24"/>
          <w:lang w:val="en"/>
        </w:rPr>
        <w:t xml:space="preserve"> by a qualitative approach. In this way, it was concluded that the reading on pension rights, within the framework of the Guarantee to Social Security should not be subject to exclusionary rules based on gender, however, the determination of this must be guided by processes that allow the guarantee of rights and not the affectation of the General Pension System.</w:t>
      </w:r>
    </w:p>
    <w:p w14:paraId="5C259A96" w14:textId="184786AB" w:rsidR="002F43CF" w:rsidRPr="00F95654" w:rsidRDefault="002F43CF" w:rsidP="00F95654">
      <w:pPr>
        <w:pStyle w:val="Ttulo2"/>
        <w:jc w:val="both"/>
        <w:rPr>
          <w:rFonts w:ascii="Arial" w:hAnsi="Arial" w:cs="Arial"/>
          <w:b/>
          <w:bCs/>
          <w:color w:val="auto"/>
          <w:sz w:val="24"/>
          <w:szCs w:val="24"/>
        </w:rPr>
      </w:pPr>
      <w:bookmarkStart w:id="4" w:name="_Toc115414172"/>
      <w:r w:rsidRPr="00F95654">
        <w:rPr>
          <w:rFonts w:ascii="Arial" w:hAnsi="Arial" w:cs="Arial"/>
          <w:b/>
          <w:bCs/>
          <w:color w:val="auto"/>
          <w:sz w:val="24"/>
          <w:szCs w:val="24"/>
        </w:rPr>
        <w:t>KEY WORDS</w:t>
      </w:r>
      <w:bookmarkEnd w:id="4"/>
    </w:p>
    <w:p w14:paraId="2C68055A" w14:textId="77777777" w:rsidR="00F27F92" w:rsidRPr="00F95654" w:rsidRDefault="00F27F92" w:rsidP="00F95654">
      <w:pPr>
        <w:spacing w:line="480" w:lineRule="auto"/>
        <w:jc w:val="both"/>
        <w:rPr>
          <w:rFonts w:ascii="Arial" w:hAnsi="Arial" w:cs="Arial"/>
          <w:sz w:val="24"/>
          <w:szCs w:val="24"/>
        </w:rPr>
      </w:pPr>
      <w:r w:rsidRPr="00F95654">
        <w:rPr>
          <w:rFonts w:ascii="Arial" w:hAnsi="Arial" w:cs="Arial"/>
          <w:sz w:val="24"/>
          <w:szCs w:val="24"/>
          <w:lang w:val="en"/>
        </w:rPr>
        <w:t>Constitution, Jurisprudence, Pension, Social Security, Transgender</w:t>
      </w:r>
    </w:p>
    <w:p w14:paraId="0B061C80" w14:textId="77777777" w:rsidR="00F27F92" w:rsidRPr="00F95654" w:rsidRDefault="00F27F92" w:rsidP="00F95654">
      <w:pPr>
        <w:spacing w:line="480" w:lineRule="auto"/>
        <w:jc w:val="both"/>
        <w:rPr>
          <w:rFonts w:ascii="Arial" w:hAnsi="Arial" w:cs="Arial"/>
          <w:b/>
          <w:bCs/>
          <w:sz w:val="24"/>
          <w:szCs w:val="24"/>
        </w:rPr>
      </w:pPr>
    </w:p>
    <w:p w14:paraId="063744FC" w14:textId="5DAA548E" w:rsidR="002F43CF" w:rsidRDefault="002F43CF" w:rsidP="00F95654">
      <w:pPr>
        <w:pStyle w:val="Ttulo1"/>
        <w:jc w:val="both"/>
        <w:rPr>
          <w:rFonts w:ascii="Arial" w:hAnsi="Arial" w:cs="Arial"/>
          <w:b/>
          <w:bCs/>
          <w:color w:val="auto"/>
          <w:sz w:val="24"/>
          <w:szCs w:val="24"/>
        </w:rPr>
      </w:pPr>
      <w:bookmarkStart w:id="5" w:name="_Toc115414173"/>
      <w:r w:rsidRPr="00F95654">
        <w:rPr>
          <w:rFonts w:ascii="Arial" w:hAnsi="Arial" w:cs="Arial"/>
          <w:b/>
          <w:bCs/>
          <w:color w:val="auto"/>
          <w:sz w:val="24"/>
          <w:szCs w:val="24"/>
        </w:rPr>
        <w:t>INTRODUCCIÓN</w:t>
      </w:r>
      <w:bookmarkEnd w:id="5"/>
    </w:p>
    <w:p w14:paraId="6A7AB60F" w14:textId="77777777" w:rsidR="00F95654" w:rsidRPr="00F95654" w:rsidRDefault="00F95654" w:rsidP="00F95654"/>
    <w:p w14:paraId="3E29F2DE" w14:textId="32E81B72" w:rsidR="002F43CF" w:rsidRPr="00F95654" w:rsidRDefault="002F43CF" w:rsidP="00F95654">
      <w:pPr>
        <w:spacing w:line="480" w:lineRule="auto"/>
        <w:ind w:firstLine="708"/>
        <w:jc w:val="both"/>
        <w:rPr>
          <w:rFonts w:ascii="Arial" w:hAnsi="Arial" w:cs="Arial"/>
          <w:color w:val="000000" w:themeColor="text1"/>
          <w:sz w:val="24"/>
          <w:szCs w:val="24"/>
        </w:rPr>
      </w:pPr>
      <w:r w:rsidRPr="00F95654">
        <w:rPr>
          <w:rFonts w:ascii="Arial" w:hAnsi="Arial" w:cs="Arial"/>
          <w:color w:val="000000" w:themeColor="text1"/>
          <w:sz w:val="24"/>
          <w:szCs w:val="24"/>
        </w:rPr>
        <w:t xml:space="preserve">El derecho pensional, desde la ley 100 de 1993, y su </w:t>
      </w:r>
      <w:r w:rsidR="00140457" w:rsidRPr="00F95654">
        <w:rPr>
          <w:rFonts w:ascii="Arial" w:hAnsi="Arial" w:cs="Arial"/>
          <w:color w:val="000000" w:themeColor="text1"/>
          <w:sz w:val="24"/>
          <w:szCs w:val="24"/>
        </w:rPr>
        <w:t>reconocimiento</w:t>
      </w:r>
      <w:r w:rsidRPr="00F95654">
        <w:rPr>
          <w:rFonts w:ascii="Arial" w:hAnsi="Arial" w:cs="Arial"/>
          <w:color w:val="000000" w:themeColor="text1"/>
          <w:sz w:val="24"/>
          <w:szCs w:val="24"/>
        </w:rPr>
        <w:t xml:space="preserve"> constitucional en el artículo 48 reconoce el respectivo derecho a la seguridad social, figura</w:t>
      </w:r>
      <w:r w:rsidR="00140457" w:rsidRPr="00F95654">
        <w:rPr>
          <w:rFonts w:ascii="Arial" w:hAnsi="Arial" w:cs="Arial"/>
          <w:color w:val="000000" w:themeColor="text1"/>
          <w:sz w:val="24"/>
          <w:szCs w:val="24"/>
        </w:rPr>
        <w:t>ndo</w:t>
      </w:r>
      <w:r w:rsidRPr="00F95654">
        <w:rPr>
          <w:rFonts w:ascii="Arial" w:hAnsi="Arial" w:cs="Arial"/>
          <w:color w:val="000000" w:themeColor="text1"/>
          <w:sz w:val="24"/>
          <w:szCs w:val="24"/>
        </w:rPr>
        <w:t xml:space="preserve"> la pensión de vejez como un criterio para la estabilidad económica de quienes acceden a dicha pensión.</w:t>
      </w:r>
    </w:p>
    <w:p w14:paraId="6A57093C" w14:textId="77777777" w:rsidR="002F43CF" w:rsidRPr="00F95654" w:rsidRDefault="002F43CF" w:rsidP="00F95654">
      <w:pPr>
        <w:spacing w:line="480" w:lineRule="auto"/>
        <w:jc w:val="both"/>
        <w:rPr>
          <w:rFonts w:ascii="Arial" w:hAnsi="Arial" w:cs="Arial"/>
          <w:color w:val="000000" w:themeColor="text1"/>
          <w:sz w:val="24"/>
          <w:szCs w:val="24"/>
        </w:rPr>
      </w:pPr>
      <w:r w:rsidRPr="00F95654">
        <w:rPr>
          <w:rFonts w:ascii="Arial" w:hAnsi="Arial" w:cs="Arial"/>
          <w:color w:val="000000" w:themeColor="text1"/>
          <w:sz w:val="24"/>
          <w:szCs w:val="24"/>
        </w:rPr>
        <w:lastRenderedPageBreak/>
        <w:tab/>
        <w:t>No obstante, la construcción jurídica, a partir de la ley 100 de 1993 se ha enfrentado a circunstancias concretas frente a la identificación de los beneficiarios de dicha pensión al cumplir requisitos como la edad pensional y el total de semanas cotizadas, legalmente definidas para disfrutar de una vejez digna. Ergo, la identidad en materia de genero resulta de presente un asunto de interés académico, político y social relevante.</w:t>
      </w:r>
    </w:p>
    <w:p w14:paraId="280A33CA" w14:textId="7A4BF46C" w:rsidR="002F43CF" w:rsidRPr="00F95654" w:rsidRDefault="002F43CF" w:rsidP="00F95654">
      <w:pPr>
        <w:spacing w:line="480" w:lineRule="auto"/>
        <w:jc w:val="both"/>
        <w:rPr>
          <w:rFonts w:ascii="Arial" w:hAnsi="Arial" w:cs="Arial"/>
          <w:color w:val="000000" w:themeColor="text1"/>
          <w:sz w:val="24"/>
          <w:szCs w:val="24"/>
        </w:rPr>
      </w:pPr>
      <w:r w:rsidRPr="00F95654">
        <w:rPr>
          <w:rFonts w:ascii="Arial" w:hAnsi="Arial" w:cs="Arial"/>
          <w:color w:val="000000" w:themeColor="text1"/>
          <w:sz w:val="24"/>
          <w:szCs w:val="24"/>
        </w:rPr>
        <w:tab/>
        <w:t xml:space="preserve">Pues bien, con la sentencia SU 440 de 2021, </w:t>
      </w:r>
      <w:r w:rsidR="00140457" w:rsidRPr="00F95654">
        <w:rPr>
          <w:rFonts w:ascii="Arial" w:hAnsi="Arial" w:cs="Arial"/>
          <w:color w:val="000000" w:themeColor="text1"/>
          <w:sz w:val="24"/>
          <w:szCs w:val="24"/>
        </w:rPr>
        <w:t xml:space="preserve">con la </w:t>
      </w:r>
      <w:r w:rsidRPr="00F95654">
        <w:rPr>
          <w:rFonts w:ascii="Arial" w:hAnsi="Arial" w:cs="Arial"/>
          <w:color w:val="000000" w:themeColor="text1"/>
          <w:sz w:val="24"/>
          <w:szCs w:val="24"/>
        </w:rPr>
        <w:t xml:space="preserve">magistrada ponente Paola Andrea </w:t>
      </w:r>
      <w:r w:rsidR="006D3A7A" w:rsidRPr="00F95654">
        <w:rPr>
          <w:rFonts w:ascii="Arial" w:hAnsi="Arial" w:cs="Arial"/>
          <w:color w:val="000000" w:themeColor="text1"/>
          <w:sz w:val="24"/>
          <w:szCs w:val="24"/>
        </w:rPr>
        <w:t>Meneses Mosquera,</w:t>
      </w:r>
      <w:r w:rsidRPr="00F95654">
        <w:rPr>
          <w:rFonts w:ascii="Arial" w:hAnsi="Arial" w:cs="Arial"/>
          <w:color w:val="000000" w:themeColor="text1"/>
          <w:sz w:val="24"/>
          <w:szCs w:val="24"/>
        </w:rPr>
        <w:t xml:space="preserve"> la </w:t>
      </w:r>
      <w:r w:rsidR="006D3A7A" w:rsidRPr="00F95654">
        <w:rPr>
          <w:rFonts w:ascii="Arial" w:hAnsi="Arial" w:cs="Arial"/>
          <w:color w:val="000000" w:themeColor="text1"/>
          <w:sz w:val="24"/>
          <w:szCs w:val="24"/>
        </w:rPr>
        <w:t>C</w:t>
      </w:r>
      <w:r w:rsidRPr="00F95654">
        <w:rPr>
          <w:rFonts w:ascii="Arial" w:hAnsi="Arial" w:cs="Arial"/>
          <w:color w:val="000000" w:themeColor="text1"/>
          <w:sz w:val="24"/>
          <w:szCs w:val="24"/>
        </w:rPr>
        <w:t xml:space="preserve">orte </w:t>
      </w:r>
      <w:r w:rsidR="006D3A7A" w:rsidRPr="00F95654">
        <w:rPr>
          <w:rFonts w:ascii="Arial" w:hAnsi="Arial" w:cs="Arial"/>
          <w:color w:val="000000" w:themeColor="text1"/>
          <w:sz w:val="24"/>
          <w:szCs w:val="24"/>
        </w:rPr>
        <w:t>C</w:t>
      </w:r>
      <w:r w:rsidRPr="00F95654">
        <w:rPr>
          <w:rFonts w:ascii="Arial" w:hAnsi="Arial" w:cs="Arial"/>
          <w:color w:val="000000" w:themeColor="text1"/>
          <w:sz w:val="24"/>
          <w:szCs w:val="24"/>
        </w:rPr>
        <w:t xml:space="preserve">onstitucional se plantea el problema relativo al reconocimiento pensional de </w:t>
      </w:r>
      <w:r w:rsidR="006D3A7A" w:rsidRPr="00F95654">
        <w:rPr>
          <w:rFonts w:ascii="Arial" w:hAnsi="Arial" w:cs="Arial"/>
          <w:color w:val="000000" w:themeColor="text1"/>
          <w:sz w:val="24"/>
          <w:szCs w:val="24"/>
        </w:rPr>
        <w:t>las personas</w:t>
      </w:r>
      <w:r w:rsidRPr="00F95654">
        <w:rPr>
          <w:rFonts w:ascii="Arial" w:hAnsi="Arial" w:cs="Arial"/>
          <w:color w:val="000000" w:themeColor="text1"/>
          <w:sz w:val="24"/>
          <w:szCs w:val="24"/>
        </w:rPr>
        <w:t xml:space="preserve"> </w:t>
      </w:r>
      <w:proofErr w:type="spellStart"/>
      <w:r w:rsidRPr="00F95654">
        <w:rPr>
          <w:rFonts w:ascii="Arial" w:hAnsi="Arial" w:cs="Arial"/>
          <w:i/>
          <w:iCs/>
          <w:color w:val="000000" w:themeColor="text1"/>
          <w:sz w:val="24"/>
          <w:szCs w:val="24"/>
        </w:rPr>
        <w:t>transgenero</w:t>
      </w:r>
      <w:proofErr w:type="spellEnd"/>
      <w:r w:rsidRPr="00F95654">
        <w:rPr>
          <w:rFonts w:ascii="Arial" w:hAnsi="Arial" w:cs="Arial"/>
          <w:color w:val="000000" w:themeColor="text1"/>
          <w:sz w:val="24"/>
          <w:szCs w:val="24"/>
        </w:rPr>
        <w:t xml:space="preserve"> como miembros de la comunidad LGTBQ+, del cual se abre el interrogatorio respecto a los elementos y criterios que serán tenidos en cuenta para el acceso a la pensión de vejez, en reconocimiento del principio de igualdad en tanto se da un trato igualitario a los distintos en tanto se reconocen diferentes, no obstante, bajo el reconocimiento de identidad de género.</w:t>
      </w:r>
    </w:p>
    <w:p w14:paraId="2A71A2ED" w14:textId="0D71B989" w:rsidR="002F43CF" w:rsidRPr="00F95654" w:rsidRDefault="002F43CF" w:rsidP="00F95654">
      <w:pPr>
        <w:spacing w:line="480" w:lineRule="auto"/>
        <w:jc w:val="both"/>
        <w:rPr>
          <w:rFonts w:ascii="Arial" w:hAnsi="Arial" w:cs="Arial"/>
          <w:color w:val="000000" w:themeColor="text1"/>
          <w:sz w:val="24"/>
          <w:szCs w:val="24"/>
        </w:rPr>
      </w:pPr>
      <w:r w:rsidRPr="00F95654">
        <w:rPr>
          <w:rFonts w:ascii="Arial" w:hAnsi="Arial" w:cs="Arial"/>
          <w:color w:val="000000" w:themeColor="text1"/>
          <w:sz w:val="24"/>
          <w:szCs w:val="24"/>
        </w:rPr>
        <w:tab/>
        <w:t>Entonces la necesidad de atender al reconocimiento de la diversidad de genero permite establecer nuevos paradigmas administrativo-legales en la medida que se atiende a las medidas que atienden a la protección de la dignidad humana, que en el contexto de la seguridad social, para el reconocimiento de la pensión de vejez, se constituye como la determinación de lineamientos de orden constitucional para fijar líneas de interpretación no discriminatorias.</w:t>
      </w:r>
    </w:p>
    <w:p w14:paraId="255E1216" w14:textId="77777777" w:rsidR="00140457" w:rsidRPr="00F95654" w:rsidRDefault="00140457" w:rsidP="00F95654">
      <w:pPr>
        <w:spacing w:line="480" w:lineRule="auto"/>
        <w:ind w:firstLine="708"/>
        <w:jc w:val="both"/>
        <w:rPr>
          <w:rFonts w:ascii="Arial" w:hAnsi="Arial" w:cs="Arial"/>
          <w:color w:val="000000" w:themeColor="text1"/>
          <w:sz w:val="24"/>
          <w:szCs w:val="24"/>
        </w:rPr>
      </w:pPr>
      <w:r w:rsidRPr="00F95654">
        <w:rPr>
          <w:rFonts w:ascii="Arial" w:hAnsi="Arial" w:cs="Arial"/>
          <w:color w:val="000000" w:themeColor="text1"/>
          <w:sz w:val="24"/>
          <w:szCs w:val="24"/>
        </w:rPr>
        <w:t xml:space="preserve">El reconocimiento del derecho pensional a una mujer transgénero resultó relevante para la Corte Constitucional en la medida que, atendiendo a los criterios constitucionales en materia de derechos se establecía el cuestionamiento sobre el </w:t>
      </w:r>
      <w:r w:rsidRPr="00F95654">
        <w:rPr>
          <w:rFonts w:ascii="Arial" w:hAnsi="Arial" w:cs="Arial"/>
          <w:color w:val="000000" w:themeColor="text1"/>
          <w:sz w:val="24"/>
          <w:szCs w:val="24"/>
        </w:rPr>
        <w:lastRenderedPageBreak/>
        <w:t>rechazo por parte de Colpensiones al acceso a la pensión de vejez, afectando los derechos a la vida, la seguridad social igualdad y dignidad humana.</w:t>
      </w:r>
    </w:p>
    <w:p w14:paraId="24E889D8" w14:textId="77777777" w:rsidR="00140457" w:rsidRPr="00F95654" w:rsidRDefault="00140457" w:rsidP="00F95654">
      <w:pPr>
        <w:spacing w:line="480" w:lineRule="auto"/>
        <w:jc w:val="both"/>
        <w:rPr>
          <w:rFonts w:ascii="Arial" w:hAnsi="Arial" w:cs="Arial"/>
          <w:color w:val="000000" w:themeColor="text1"/>
          <w:sz w:val="24"/>
          <w:szCs w:val="24"/>
        </w:rPr>
      </w:pPr>
      <w:r w:rsidRPr="00F95654">
        <w:rPr>
          <w:rFonts w:ascii="Arial" w:hAnsi="Arial" w:cs="Arial"/>
          <w:color w:val="000000" w:themeColor="text1"/>
          <w:sz w:val="24"/>
          <w:szCs w:val="24"/>
        </w:rPr>
        <w:tab/>
        <w:t>Pues bien, el argumento clave resultaba en identificar que, teniendo en cuenta que se reconocía como mujer transgénero para efectos pensionales ¿el cálculo de la edad pensional se ajustaba a su reconocimiento como hombre o mujer? Para la corte constitucional, el punto de quiebre se presentaba en si se concluye discriminación en los trámites administrativos y tratos legales entre las mujeres transgénero y las mujeres cisgénero.</w:t>
      </w:r>
    </w:p>
    <w:p w14:paraId="07FCF19F" w14:textId="77777777" w:rsidR="00140457" w:rsidRPr="00F95654" w:rsidRDefault="00140457" w:rsidP="00F95654">
      <w:pPr>
        <w:spacing w:line="480" w:lineRule="auto"/>
        <w:jc w:val="both"/>
        <w:rPr>
          <w:rFonts w:ascii="Arial" w:hAnsi="Arial" w:cs="Arial"/>
          <w:color w:val="000000" w:themeColor="text1"/>
          <w:sz w:val="24"/>
          <w:szCs w:val="24"/>
        </w:rPr>
      </w:pPr>
      <w:r w:rsidRPr="00F95654">
        <w:rPr>
          <w:rFonts w:ascii="Arial" w:hAnsi="Arial" w:cs="Arial"/>
          <w:color w:val="000000" w:themeColor="text1"/>
          <w:sz w:val="24"/>
          <w:szCs w:val="24"/>
        </w:rPr>
        <w:tab/>
        <w:t xml:space="preserve">Si bien se establecen diferencias entre las mujeres cisgénero y las mujeres transgénero, diferencias biológicamente establecidas, la idea de diversidad toma relevancia para concluir a partir de ello la necesidad de atender a dicha circunstancia. Aunque la diversidad representa un asunto clave para la corte, se ha de considerar al mismo tiempo que, sin desconocer la historia en materia de discriminación a los grupos LGTBQ+, la ida de defraudación a las entidades administrativas para acceso a la pensión resulta una problemática a la cual atender para identificar con ello la distinción entre un acto que busca el favorecimiento de aquel para el reconocimiento y garantía de un derecho. </w:t>
      </w:r>
    </w:p>
    <w:p w14:paraId="0DCE258D" w14:textId="2F54DBDA" w:rsidR="00140457" w:rsidRPr="00F95654" w:rsidRDefault="00140457" w:rsidP="00F95654">
      <w:pPr>
        <w:spacing w:line="480" w:lineRule="auto"/>
        <w:jc w:val="both"/>
        <w:rPr>
          <w:rFonts w:ascii="Arial" w:hAnsi="Arial" w:cs="Arial"/>
          <w:color w:val="000000" w:themeColor="text1"/>
          <w:sz w:val="24"/>
          <w:szCs w:val="24"/>
        </w:rPr>
      </w:pPr>
      <w:r w:rsidRPr="00F95654">
        <w:rPr>
          <w:rFonts w:ascii="Arial" w:hAnsi="Arial" w:cs="Arial"/>
          <w:color w:val="000000" w:themeColor="text1"/>
          <w:sz w:val="24"/>
          <w:szCs w:val="24"/>
        </w:rPr>
        <w:tab/>
        <w:t>El reconocimiento social constituye un avance en materia de derechos. Es por esto, que, reconocimiento de la diversidad de género, se plantea el interrogante sobre las formas de inclusión. Si bien estos procesos resultan ser lentos, pero consistentes, hay asuntos en los que se hace necesaria una pronta atención.</w:t>
      </w:r>
    </w:p>
    <w:p w14:paraId="2CB9AEC7" w14:textId="6CCAD6BE" w:rsidR="002F43CF" w:rsidRPr="00F95654" w:rsidRDefault="00140457" w:rsidP="00F95654">
      <w:pPr>
        <w:spacing w:line="480" w:lineRule="auto"/>
        <w:jc w:val="both"/>
        <w:rPr>
          <w:rFonts w:ascii="Arial" w:hAnsi="Arial" w:cs="Arial"/>
          <w:color w:val="000000" w:themeColor="text1"/>
          <w:sz w:val="24"/>
          <w:szCs w:val="24"/>
        </w:rPr>
      </w:pPr>
      <w:r w:rsidRPr="00F95654">
        <w:rPr>
          <w:rFonts w:ascii="Arial" w:hAnsi="Arial" w:cs="Arial"/>
          <w:color w:val="000000" w:themeColor="text1"/>
          <w:sz w:val="24"/>
          <w:szCs w:val="24"/>
        </w:rPr>
        <w:lastRenderedPageBreak/>
        <w:tab/>
      </w:r>
      <w:r w:rsidR="007A6739" w:rsidRPr="00F95654">
        <w:rPr>
          <w:rFonts w:ascii="Arial" w:hAnsi="Arial" w:cs="Arial"/>
          <w:color w:val="000000" w:themeColor="text1"/>
          <w:sz w:val="24"/>
          <w:szCs w:val="24"/>
        </w:rPr>
        <w:t>No obstante, antes de precisar algunos apartes críticos sobre lo anterior, es necesario partir por el entendido, en</w:t>
      </w:r>
      <w:r w:rsidRPr="00F95654">
        <w:rPr>
          <w:rFonts w:ascii="Arial" w:hAnsi="Arial" w:cs="Arial"/>
          <w:color w:val="000000" w:themeColor="text1"/>
          <w:sz w:val="24"/>
          <w:szCs w:val="24"/>
        </w:rPr>
        <w:t xml:space="preserve"> términos de Luisa </w:t>
      </w:r>
      <w:proofErr w:type="spellStart"/>
      <w:r w:rsidRPr="00F95654">
        <w:rPr>
          <w:rFonts w:ascii="Arial" w:hAnsi="Arial" w:cs="Arial"/>
          <w:color w:val="000000" w:themeColor="text1"/>
          <w:sz w:val="24"/>
          <w:szCs w:val="24"/>
        </w:rPr>
        <w:t>Fernandez</w:t>
      </w:r>
      <w:proofErr w:type="spellEnd"/>
      <w:r w:rsidRPr="00F95654">
        <w:rPr>
          <w:rFonts w:ascii="Arial" w:hAnsi="Arial" w:cs="Arial"/>
          <w:color w:val="000000" w:themeColor="text1"/>
          <w:sz w:val="24"/>
          <w:szCs w:val="24"/>
        </w:rPr>
        <w:t xml:space="preserve"> </w:t>
      </w:r>
      <w:proofErr w:type="spellStart"/>
      <w:r w:rsidRPr="00F95654">
        <w:rPr>
          <w:rFonts w:ascii="Arial" w:hAnsi="Arial" w:cs="Arial"/>
          <w:color w:val="000000" w:themeColor="text1"/>
          <w:sz w:val="24"/>
          <w:szCs w:val="24"/>
        </w:rPr>
        <w:t>Zorilla</w:t>
      </w:r>
      <w:proofErr w:type="spellEnd"/>
      <w:r w:rsidRPr="00F95654">
        <w:rPr>
          <w:rFonts w:ascii="Arial" w:hAnsi="Arial" w:cs="Arial"/>
          <w:color w:val="000000" w:themeColor="text1"/>
          <w:sz w:val="24"/>
          <w:szCs w:val="24"/>
        </w:rPr>
        <w:t xml:space="preserve"> (2020),</w:t>
      </w:r>
      <w:r w:rsidR="007A6739" w:rsidRPr="00F95654">
        <w:rPr>
          <w:rFonts w:ascii="Arial" w:hAnsi="Arial" w:cs="Arial"/>
          <w:color w:val="000000" w:themeColor="text1"/>
          <w:sz w:val="24"/>
          <w:szCs w:val="24"/>
        </w:rPr>
        <w:t xml:space="preserve"> de</w:t>
      </w:r>
      <w:r w:rsidRPr="00F95654">
        <w:rPr>
          <w:rFonts w:ascii="Arial" w:hAnsi="Arial" w:cs="Arial"/>
          <w:color w:val="000000" w:themeColor="text1"/>
          <w:sz w:val="24"/>
          <w:szCs w:val="24"/>
        </w:rPr>
        <w:t xml:space="preserve"> la comunidad transgénero</w:t>
      </w:r>
      <w:r w:rsidR="007A6739" w:rsidRPr="00F95654">
        <w:rPr>
          <w:rFonts w:ascii="Arial" w:hAnsi="Arial" w:cs="Arial"/>
          <w:color w:val="000000" w:themeColor="text1"/>
          <w:sz w:val="24"/>
          <w:szCs w:val="24"/>
        </w:rPr>
        <w:t>, la cual</w:t>
      </w:r>
      <w:r w:rsidRPr="00F95654">
        <w:rPr>
          <w:rFonts w:ascii="Arial" w:hAnsi="Arial" w:cs="Arial"/>
          <w:color w:val="000000" w:themeColor="text1"/>
          <w:sz w:val="24"/>
          <w:szCs w:val="24"/>
        </w:rPr>
        <w:t xml:space="preserve"> “</w:t>
      </w:r>
      <w:r w:rsidR="00DE2BE8" w:rsidRPr="00F95654">
        <w:rPr>
          <w:rFonts w:ascii="Arial" w:hAnsi="Arial" w:cs="Arial"/>
          <w:color w:val="000000" w:themeColor="text1"/>
          <w:sz w:val="24"/>
          <w:szCs w:val="24"/>
        </w:rPr>
        <w:t>desde hace varios años ha tenido que vivir y ser sometidos a diferentes tratos en los tramites que le implican este reconocimiento del cambio de su género en la sociedad</w:t>
      </w:r>
      <w:r w:rsidRPr="00F95654">
        <w:rPr>
          <w:rFonts w:ascii="Arial" w:hAnsi="Arial" w:cs="Arial"/>
          <w:color w:val="000000" w:themeColor="text1"/>
          <w:sz w:val="24"/>
          <w:szCs w:val="24"/>
        </w:rPr>
        <w:t xml:space="preserve">.” (p. 6) por lo que atender a esta problemática, aun en la actualidad, representa un asunto relevante. Por tal motivo, la discusión relativa a los derechos pensionales resulta relevante en tanto que el reconocimiento de las personas transgénero representa no solo un cambio en la materia, sino también un avance en </w:t>
      </w:r>
      <w:r w:rsidR="008E40DC" w:rsidRPr="00F95654">
        <w:rPr>
          <w:rFonts w:ascii="Arial" w:hAnsi="Arial" w:cs="Arial"/>
          <w:color w:val="000000" w:themeColor="text1"/>
          <w:sz w:val="24"/>
          <w:szCs w:val="24"/>
        </w:rPr>
        <w:t>la</w:t>
      </w:r>
      <w:r w:rsidRPr="00F95654">
        <w:rPr>
          <w:rFonts w:ascii="Arial" w:hAnsi="Arial" w:cs="Arial"/>
          <w:color w:val="000000" w:themeColor="text1"/>
          <w:sz w:val="24"/>
          <w:szCs w:val="24"/>
        </w:rPr>
        <w:t xml:space="preserve"> garantía efectiva de derechos.</w:t>
      </w:r>
    </w:p>
    <w:p w14:paraId="7EB5E0C1" w14:textId="3C671C5D" w:rsidR="002F43CF" w:rsidRDefault="002F43CF" w:rsidP="00F95654">
      <w:pPr>
        <w:pStyle w:val="Ttulo1"/>
        <w:jc w:val="both"/>
        <w:rPr>
          <w:rFonts w:ascii="Arial" w:hAnsi="Arial" w:cs="Arial"/>
          <w:b/>
          <w:bCs/>
          <w:color w:val="auto"/>
          <w:sz w:val="24"/>
          <w:szCs w:val="24"/>
        </w:rPr>
      </w:pPr>
      <w:bookmarkStart w:id="6" w:name="_Toc115414174"/>
      <w:r w:rsidRPr="00F95654">
        <w:rPr>
          <w:rFonts w:ascii="Arial" w:hAnsi="Arial" w:cs="Arial"/>
          <w:b/>
          <w:bCs/>
          <w:color w:val="auto"/>
          <w:sz w:val="24"/>
          <w:szCs w:val="24"/>
        </w:rPr>
        <w:t>METODOLOGÍA</w:t>
      </w:r>
      <w:bookmarkEnd w:id="6"/>
    </w:p>
    <w:p w14:paraId="5AB7F121" w14:textId="77777777" w:rsidR="00F95654" w:rsidRPr="00F95654" w:rsidRDefault="00F95654" w:rsidP="00F95654"/>
    <w:p w14:paraId="163CC067" w14:textId="77777777" w:rsidR="00984836" w:rsidRPr="00F95654" w:rsidRDefault="00984836" w:rsidP="00F95654">
      <w:pPr>
        <w:spacing w:line="480" w:lineRule="auto"/>
        <w:ind w:firstLine="708"/>
        <w:jc w:val="both"/>
        <w:rPr>
          <w:rFonts w:ascii="Arial" w:hAnsi="Arial" w:cs="Arial"/>
          <w:color w:val="000000" w:themeColor="text1"/>
          <w:sz w:val="24"/>
          <w:szCs w:val="24"/>
        </w:rPr>
      </w:pPr>
      <w:r w:rsidRPr="00F95654">
        <w:rPr>
          <w:rFonts w:ascii="Arial" w:hAnsi="Arial" w:cs="Arial"/>
          <w:color w:val="000000" w:themeColor="text1"/>
          <w:sz w:val="24"/>
          <w:szCs w:val="24"/>
        </w:rPr>
        <w:t>Para el desarrollo de la presente investigación se siguió como una investigación documental teniendo en cuenta el método analítico, donde la problemática, en torno a los asuntos relativos a la identidad de género, se manifiesta en asuntos propios del derecho como lo es el acceso a la pensión y en general a la seguridad social. Por lo anterior, el tipo de investigación es descriptivo, teniendo en cuenta que se realizó el respectivo análisis sobre las normas legales y constitucionales, en relación con la jurisprudencia nacional frente al papel de las personas transgénero y su reconocimiento como miembros de la comunidad LGTBI y las garantías constitucionales que en materia de seguridad social se protegen. Por lo tanto, se sigue con un enfoque cualitativo, en tanto se hace un estudio conceptual, y normativo, atendiendo a lo desarrollado en la teoría y fundamentando el análisis a través de la obtención de datos por medio de leyes, jurisprudencia, doctrina, libros y artículos académicos, noticias y revistas científicas.</w:t>
      </w:r>
    </w:p>
    <w:p w14:paraId="62BA0ACA" w14:textId="77777777" w:rsidR="00984836" w:rsidRPr="00F95654" w:rsidRDefault="00984836" w:rsidP="00F95654">
      <w:pPr>
        <w:jc w:val="both"/>
        <w:rPr>
          <w:rFonts w:ascii="Arial" w:hAnsi="Arial" w:cs="Arial"/>
          <w:b/>
          <w:bCs/>
          <w:sz w:val="24"/>
          <w:szCs w:val="24"/>
        </w:rPr>
      </w:pPr>
    </w:p>
    <w:p w14:paraId="154B7B32" w14:textId="77777777" w:rsidR="002F43CF" w:rsidRPr="00F95654" w:rsidRDefault="002F43CF" w:rsidP="00F95654">
      <w:pPr>
        <w:jc w:val="both"/>
        <w:rPr>
          <w:rFonts w:ascii="Arial" w:hAnsi="Arial" w:cs="Arial"/>
          <w:b/>
          <w:bCs/>
          <w:sz w:val="24"/>
          <w:szCs w:val="24"/>
        </w:rPr>
      </w:pPr>
    </w:p>
    <w:p w14:paraId="3C13322F" w14:textId="65C15216" w:rsidR="002F43CF" w:rsidRPr="00F95654" w:rsidRDefault="002F43CF" w:rsidP="00F95654">
      <w:pPr>
        <w:pStyle w:val="Ttulo1"/>
        <w:jc w:val="both"/>
        <w:rPr>
          <w:rFonts w:ascii="Arial" w:hAnsi="Arial" w:cs="Arial"/>
          <w:b/>
          <w:bCs/>
          <w:color w:val="auto"/>
          <w:sz w:val="24"/>
          <w:szCs w:val="24"/>
        </w:rPr>
      </w:pPr>
      <w:bookmarkStart w:id="7" w:name="_Toc115414175"/>
      <w:r w:rsidRPr="00F95654">
        <w:rPr>
          <w:rFonts w:ascii="Arial" w:hAnsi="Arial" w:cs="Arial"/>
          <w:b/>
          <w:bCs/>
          <w:color w:val="auto"/>
          <w:sz w:val="24"/>
          <w:szCs w:val="24"/>
        </w:rPr>
        <w:t>DESARROLLO DEL TEMA</w:t>
      </w:r>
      <w:bookmarkEnd w:id="7"/>
    </w:p>
    <w:p w14:paraId="4476F048" w14:textId="21ECCF47" w:rsidR="00140457" w:rsidRPr="00F95654" w:rsidRDefault="00140457" w:rsidP="00F95654">
      <w:pPr>
        <w:jc w:val="both"/>
        <w:rPr>
          <w:rFonts w:ascii="Arial" w:hAnsi="Arial" w:cs="Arial"/>
          <w:b/>
          <w:bCs/>
          <w:sz w:val="24"/>
          <w:szCs w:val="24"/>
        </w:rPr>
      </w:pPr>
    </w:p>
    <w:p w14:paraId="35DD8134" w14:textId="77777777" w:rsidR="008E40DC" w:rsidRPr="00F95654" w:rsidRDefault="00140457" w:rsidP="00F95654">
      <w:pPr>
        <w:spacing w:line="480" w:lineRule="auto"/>
        <w:ind w:firstLine="708"/>
        <w:jc w:val="both"/>
        <w:rPr>
          <w:rFonts w:ascii="Arial" w:hAnsi="Arial" w:cs="Arial"/>
          <w:color w:val="000000" w:themeColor="text1"/>
          <w:sz w:val="24"/>
          <w:szCs w:val="24"/>
        </w:rPr>
      </w:pPr>
      <w:r w:rsidRPr="00F95654">
        <w:rPr>
          <w:rFonts w:ascii="Arial" w:hAnsi="Arial" w:cs="Arial"/>
          <w:color w:val="000000" w:themeColor="text1"/>
          <w:sz w:val="24"/>
          <w:szCs w:val="24"/>
        </w:rPr>
        <w:t xml:space="preserve">El contexto relativo al régimen de pensiones en Colombia, si bien demanda un análisis </w:t>
      </w:r>
      <w:r w:rsidR="008E40DC" w:rsidRPr="00F95654">
        <w:rPr>
          <w:rFonts w:ascii="Arial" w:hAnsi="Arial" w:cs="Arial"/>
          <w:color w:val="000000" w:themeColor="text1"/>
          <w:sz w:val="24"/>
          <w:szCs w:val="24"/>
        </w:rPr>
        <w:t>legal y también</w:t>
      </w:r>
      <w:r w:rsidRPr="00F95654">
        <w:rPr>
          <w:rFonts w:ascii="Arial" w:hAnsi="Arial" w:cs="Arial"/>
          <w:color w:val="000000" w:themeColor="text1"/>
          <w:sz w:val="24"/>
          <w:szCs w:val="24"/>
        </w:rPr>
        <w:t xml:space="preserve"> administrativo</w:t>
      </w:r>
      <w:r w:rsidR="008E40DC" w:rsidRPr="00F95654">
        <w:rPr>
          <w:rFonts w:ascii="Arial" w:hAnsi="Arial" w:cs="Arial"/>
          <w:color w:val="000000" w:themeColor="text1"/>
          <w:sz w:val="24"/>
          <w:szCs w:val="24"/>
        </w:rPr>
        <w:t xml:space="preserve"> a partir de las consideraciones propias de la Corte Constitucional. Por lo tanto, para hablar del reconocimiento de las personas </w:t>
      </w:r>
      <w:r w:rsidR="008E40DC" w:rsidRPr="00F95654">
        <w:rPr>
          <w:rFonts w:ascii="Arial" w:hAnsi="Arial" w:cs="Arial"/>
          <w:i/>
          <w:iCs/>
          <w:color w:val="000000" w:themeColor="text1"/>
          <w:sz w:val="24"/>
          <w:szCs w:val="24"/>
        </w:rPr>
        <w:t xml:space="preserve">trans, </w:t>
      </w:r>
      <w:r w:rsidR="008E40DC" w:rsidRPr="00F95654">
        <w:rPr>
          <w:rFonts w:ascii="Arial" w:hAnsi="Arial" w:cs="Arial"/>
          <w:color w:val="000000" w:themeColor="text1"/>
          <w:sz w:val="24"/>
          <w:szCs w:val="24"/>
        </w:rPr>
        <w:t xml:space="preserve">este será el </w:t>
      </w:r>
      <w:proofErr w:type="spellStart"/>
      <w:r w:rsidR="008E40DC" w:rsidRPr="00F95654">
        <w:rPr>
          <w:rFonts w:ascii="Arial" w:hAnsi="Arial" w:cs="Arial"/>
          <w:color w:val="000000" w:themeColor="text1"/>
          <w:sz w:val="24"/>
          <w:szCs w:val="24"/>
        </w:rPr>
        <w:t>sunto</w:t>
      </w:r>
      <w:proofErr w:type="spellEnd"/>
      <w:r w:rsidRPr="00F95654">
        <w:rPr>
          <w:rFonts w:ascii="Arial" w:hAnsi="Arial" w:cs="Arial"/>
          <w:color w:val="000000" w:themeColor="text1"/>
          <w:sz w:val="24"/>
          <w:szCs w:val="24"/>
        </w:rPr>
        <w:t xml:space="preserve"> resolver e</w:t>
      </w:r>
      <w:r w:rsidR="008E40DC" w:rsidRPr="00F95654">
        <w:rPr>
          <w:rFonts w:ascii="Arial" w:hAnsi="Arial" w:cs="Arial"/>
          <w:color w:val="000000" w:themeColor="text1"/>
          <w:sz w:val="24"/>
          <w:szCs w:val="24"/>
        </w:rPr>
        <w:t>n lo que conceptualmente respecta</w:t>
      </w:r>
      <w:r w:rsidRPr="00F95654">
        <w:rPr>
          <w:rFonts w:ascii="Arial" w:hAnsi="Arial" w:cs="Arial"/>
          <w:color w:val="000000" w:themeColor="text1"/>
          <w:sz w:val="24"/>
          <w:szCs w:val="24"/>
        </w:rPr>
        <w:t xml:space="preserve">. </w:t>
      </w:r>
    </w:p>
    <w:p w14:paraId="543733FA" w14:textId="729CEB7A" w:rsidR="00140457" w:rsidRPr="00F95654" w:rsidRDefault="00140457" w:rsidP="00F95654">
      <w:pPr>
        <w:spacing w:line="480" w:lineRule="auto"/>
        <w:ind w:firstLine="708"/>
        <w:jc w:val="both"/>
        <w:rPr>
          <w:rFonts w:ascii="Arial" w:hAnsi="Arial" w:cs="Arial"/>
          <w:i/>
          <w:iCs/>
          <w:color w:val="000000" w:themeColor="text1"/>
          <w:sz w:val="24"/>
          <w:szCs w:val="24"/>
          <w:shd w:val="clear" w:color="auto" w:fill="FFFFFF"/>
        </w:rPr>
      </w:pPr>
      <w:r w:rsidRPr="00F95654">
        <w:rPr>
          <w:rFonts w:ascii="Arial" w:hAnsi="Arial" w:cs="Arial"/>
          <w:color w:val="000000" w:themeColor="text1"/>
          <w:sz w:val="24"/>
          <w:szCs w:val="24"/>
        </w:rPr>
        <w:t xml:space="preserve">Por </w:t>
      </w:r>
      <w:r w:rsidRPr="00F95654">
        <w:rPr>
          <w:rFonts w:ascii="Arial" w:hAnsi="Arial" w:cs="Arial"/>
          <w:i/>
          <w:iCs/>
          <w:color w:val="000000" w:themeColor="text1"/>
          <w:sz w:val="24"/>
          <w:szCs w:val="24"/>
        </w:rPr>
        <w:t xml:space="preserve">transgénero, </w:t>
      </w:r>
      <w:r w:rsidRPr="00F95654">
        <w:rPr>
          <w:rFonts w:ascii="Arial" w:hAnsi="Arial" w:cs="Arial"/>
          <w:color w:val="000000" w:themeColor="text1"/>
          <w:sz w:val="24"/>
          <w:szCs w:val="24"/>
        </w:rPr>
        <w:t xml:space="preserve">Marco Antonio Ruiz Nieves (2018) expresa que con base en los fallos de tutela de la Corte Constitucional, por </w:t>
      </w:r>
      <w:r w:rsidRPr="00F95654">
        <w:rPr>
          <w:rFonts w:ascii="Arial" w:hAnsi="Arial" w:cs="Arial"/>
          <w:i/>
          <w:iCs/>
          <w:color w:val="000000" w:themeColor="text1"/>
          <w:sz w:val="24"/>
          <w:szCs w:val="24"/>
        </w:rPr>
        <w:t xml:space="preserve">transgénero </w:t>
      </w:r>
      <w:r w:rsidRPr="00F95654">
        <w:rPr>
          <w:rFonts w:ascii="Arial" w:hAnsi="Arial" w:cs="Arial"/>
          <w:color w:val="000000" w:themeColor="text1"/>
          <w:sz w:val="24"/>
          <w:szCs w:val="24"/>
        </w:rPr>
        <w:t>puede entenderse que “</w:t>
      </w:r>
      <w:r w:rsidRPr="00F95654">
        <w:rPr>
          <w:rFonts w:ascii="Arial" w:hAnsi="Arial" w:cs="Arial"/>
          <w:color w:val="000000" w:themeColor="text1"/>
          <w:sz w:val="24"/>
          <w:szCs w:val="24"/>
          <w:shd w:val="clear" w:color="auto" w:fill="FFFFFF"/>
        </w:rPr>
        <w:t xml:space="preserve">hace referencia a un concepto fuera de la </w:t>
      </w:r>
      <w:proofErr w:type="spellStart"/>
      <w:r w:rsidRPr="00F95654">
        <w:rPr>
          <w:rFonts w:ascii="Arial" w:hAnsi="Arial" w:cs="Arial"/>
          <w:color w:val="000000" w:themeColor="text1"/>
          <w:sz w:val="24"/>
          <w:szCs w:val="24"/>
          <w:shd w:val="clear" w:color="auto" w:fill="FFFFFF"/>
        </w:rPr>
        <w:t>binariedad</w:t>
      </w:r>
      <w:proofErr w:type="spellEnd"/>
      <w:r w:rsidRPr="00F95654">
        <w:rPr>
          <w:rFonts w:ascii="Arial" w:hAnsi="Arial" w:cs="Arial"/>
          <w:color w:val="000000" w:themeColor="text1"/>
          <w:sz w:val="24"/>
          <w:szCs w:val="24"/>
          <w:shd w:val="clear" w:color="auto" w:fill="FFFFFF"/>
        </w:rPr>
        <w:t xml:space="preserve"> genérica” (Nieves , 2018)</w:t>
      </w:r>
      <w:r w:rsidR="008E40DC" w:rsidRPr="00F95654">
        <w:rPr>
          <w:rFonts w:ascii="Arial" w:hAnsi="Arial" w:cs="Arial"/>
          <w:color w:val="000000" w:themeColor="text1"/>
          <w:sz w:val="24"/>
          <w:szCs w:val="24"/>
          <w:shd w:val="clear" w:color="auto" w:fill="FFFFFF"/>
        </w:rPr>
        <w:t>,</w:t>
      </w:r>
      <w:r w:rsidRPr="00F95654">
        <w:rPr>
          <w:rFonts w:ascii="Arial" w:hAnsi="Arial" w:cs="Arial"/>
          <w:color w:val="000000" w:themeColor="text1"/>
          <w:sz w:val="24"/>
          <w:szCs w:val="24"/>
          <w:shd w:val="clear" w:color="auto" w:fill="FFFFFF"/>
        </w:rPr>
        <w:t xml:space="preserve"> sin embargo, aunque se parte de la distinción entre </w:t>
      </w:r>
      <w:r w:rsidRPr="00F95654">
        <w:rPr>
          <w:rFonts w:ascii="Arial" w:hAnsi="Arial" w:cs="Arial"/>
          <w:i/>
          <w:iCs/>
          <w:color w:val="000000" w:themeColor="text1"/>
          <w:sz w:val="24"/>
          <w:szCs w:val="24"/>
          <w:shd w:val="clear" w:color="auto" w:fill="FFFFFF"/>
        </w:rPr>
        <w:t xml:space="preserve">transgénero </w:t>
      </w:r>
      <w:r w:rsidRPr="00F95654">
        <w:rPr>
          <w:rFonts w:ascii="Arial" w:hAnsi="Arial" w:cs="Arial"/>
          <w:color w:val="000000" w:themeColor="text1"/>
          <w:sz w:val="24"/>
          <w:szCs w:val="24"/>
          <w:shd w:val="clear" w:color="auto" w:fill="FFFFFF"/>
        </w:rPr>
        <w:t xml:space="preserve">y </w:t>
      </w:r>
      <w:r w:rsidRPr="00F95654">
        <w:rPr>
          <w:rFonts w:ascii="Arial" w:hAnsi="Arial" w:cs="Arial"/>
          <w:i/>
          <w:iCs/>
          <w:color w:val="000000" w:themeColor="text1"/>
          <w:sz w:val="24"/>
          <w:szCs w:val="24"/>
          <w:shd w:val="clear" w:color="auto" w:fill="FFFFFF"/>
        </w:rPr>
        <w:t xml:space="preserve">travestis, </w:t>
      </w:r>
      <w:r w:rsidR="008E40DC" w:rsidRPr="00F95654">
        <w:rPr>
          <w:rFonts w:ascii="Arial" w:hAnsi="Arial" w:cs="Arial"/>
          <w:color w:val="000000" w:themeColor="text1"/>
          <w:sz w:val="24"/>
          <w:szCs w:val="24"/>
          <w:shd w:val="clear" w:color="auto" w:fill="FFFFFF"/>
        </w:rPr>
        <w:t>con este primero se parte</w:t>
      </w:r>
      <w:r w:rsidRPr="00F95654">
        <w:rPr>
          <w:rFonts w:ascii="Arial" w:hAnsi="Arial" w:cs="Arial"/>
          <w:color w:val="000000" w:themeColor="text1"/>
          <w:sz w:val="24"/>
          <w:szCs w:val="24"/>
          <w:shd w:val="clear" w:color="auto" w:fill="FFFFFF"/>
        </w:rPr>
        <w:t xml:space="preserve"> por el reconocimiento de un concepto que, si bien no es estático, se aborda con base en cada caso concreto, ya que por ejemplo “todas las personas transexuales son </w:t>
      </w:r>
      <w:proofErr w:type="spellStart"/>
      <w:r w:rsidRPr="00F95654">
        <w:rPr>
          <w:rFonts w:ascii="Arial" w:hAnsi="Arial" w:cs="Arial"/>
          <w:color w:val="000000" w:themeColor="text1"/>
          <w:sz w:val="24"/>
          <w:szCs w:val="24"/>
          <w:shd w:val="clear" w:color="auto" w:fill="FFFFFF"/>
        </w:rPr>
        <w:t>trans</w:t>
      </w:r>
      <w:proofErr w:type="spellEnd"/>
      <w:r w:rsidRPr="00F95654">
        <w:rPr>
          <w:rFonts w:ascii="Arial" w:hAnsi="Arial" w:cs="Arial"/>
          <w:color w:val="000000" w:themeColor="text1"/>
          <w:sz w:val="24"/>
          <w:szCs w:val="24"/>
          <w:shd w:val="clear" w:color="auto" w:fill="FFFFFF"/>
        </w:rPr>
        <w:t xml:space="preserve">-género, pero no todas las personas transgénero son transexuales” (Nieves, 2018, p. 108) por lo que en la pluralidad de casos se especifica una atención concreta al mismo para identificar la identidad de género </w:t>
      </w:r>
      <w:r w:rsidRPr="00F95654">
        <w:rPr>
          <w:rFonts w:ascii="Arial" w:hAnsi="Arial" w:cs="Arial"/>
          <w:i/>
          <w:iCs/>
          <w:color w:val="000000" w:themeColor="text1"/>
          <w:sz w:val="24"/>
          <w:szCs w:val="24"/>
          <w:shd w:val="clear" w:color="auto" w:fill="FFFFFF"/>
        </w:rPr>
        <w:t>trans.</w:t>
      </w:r>
    </w:p>
    <w:p w14:paraId="64D1DACE" w14:textId="77777777" w:rsidR="00140457" w:rsidRPr="00F95654" w:rsidRDefault="00140457" w:rsidP="00F95654">
      <w:pPr>
        <w:spacing w:line="480" w:lineRule="auto"/>
        <w:jc w:val="both"/>
        <w:rPr>
          <w:rFonts w:ascii="Arial" w:hAnsi="Arial" w:cs="Arial"/>
          <w:color w:val="000000" w:themeColor="text1"/>
          <w:sz w:val="24"/>
          <w:szCs w:val="24"/>
        </w:rPr>
      </w:pPr>
      <w:r w:rsidRPr="00F95654">
        <w:rPr>
          <w:rFonts w:ascii="Arial" w:hAnsi="Arial" w:cs="Arial"/>
          <w:color w:val="000000" w:themeColor="text1"/>
          <w:sz w:val="24"/>
          <w:szCs w:val="24"/>
          <w:shd w:val="clear" w:color="auto" w:fill="FFFFFF"/>
        </w:rPr>
        <w:tab/>
        <w:t xml:space="preserve">Desde la </w:t>
      </w:r>
      <w:r w:rsidRPr="00F95654">
        <w:rPr>
          <w:rFonts w:ascii="Arial" w:hAnsi="Arial" w:cs="Arial"/>
          <w:i/>
          <w:iCs/>
          <w:color w:val="000000" w:themeColor="text1"/>
          <w:sz w:val="24"/>
          <w:szCs w:val="24"/>
          <w:shd w:val="clear" w:color="auto" w:fill="FFFFFF"/>
        </w:rPr>
        <w:t xml:space="preserve">Asociación Americana de Psicología </w:t>
      </w:r>
      <w:r w:rsidRPr="00F95654">
        <w:rPr>
          <w:rFonts w:ascii="Arial" w:hAnsi="Arial" w:cs="Arial"/>
          <w:color w:val="000000" w:themeColor="text1"/>
          <w:sz w:val="24"/>
          <w:szCs w:val="24"/>
          <w:shd w:val="clear" w:color="auto" w:fill="FFFFFF"/>
        </w:rPr>
        <w:t>(2020), entiende por transgénero “</w:t>
      </w:r>
      <w:r w:rsidRPr="00F95654">
        <w:rPr>
          <w:rFonts w:ascii="Arial" w:hAnsi="Arial" w:cs="Arial"/>
          <w:color w:val="000000" w:themeColor="text1"/>
          <w:sz w:val="24"/>
          <w:szCs w:val="24"/>
        </w:rPr>
        <w:t xml:space="preserve">personas cuya identidad de género, expresión de género o conducta no se ajusta a aquella generalmente asociada con el sexo que se les asignó al nacer” (p. 1) no obstante, el prefijo </w:t>
      </w:r>
      <w:r w:rsidRPr="00F95654">
        <w:rPr>
          <w:rFonts w:ascii="Arial" w:hAnsi="Arial" w:cs="Arial"/>
          <w:i/>
          <w:iCs/>
          <w:color w:val="000000" w:themeColor="text1"/>
          <w:sz w:val="24"/>
          <w:szCs w:val="24"/>
        </w:rPr>
        <w:t xml:space="preserve">trans, </w:t>
      </w:r>
      <w:r w:rsidRPr="00F95654">
        <w:rPr>
          <w:rFonts w:ascii="Arial" w:hAnsi="Arial" w:cs="Arial"/>
          <w:color w:val="000000" w:themeColor="text1"/>
          <w:sz w:val="24"/>
          <w:szCs w:val="24"/>
        </w:rPr>
        <w:t xml:space="preserve">en desarrollo por parte de la Comisión Nacional de Derechos Humanos (CNDH) tanto para hombres o mujeres </w:t>
      </w:r>
      <w:r w:rsidRPr="00F95654">
        <w:rPr>
          <w:rFonts w:ascii="Arial" w:hAnsi="Arial" w:cs="Arial"/>
          <w:i/>
          <w:iCs/>
          <w:color w:val="000000" w:themeColor="text1"/>
          <w:sz w:val="24"/>
          <w:szCs w:val="24"/>
        </w:rPr>
        <w:t xml:space="preserve">trans, </w:t>
      </w:r>
      <w:r w:rsidRPr="00F95654">
        <w:rPr>
          <w:rFonts w:ascii="Arial" w:hAnsi="Arial" w:cs="Arial"/>
          <w:color w:val="000000" w:themeColor="text1"/>
          <w:sz w:val="24"/>
          <w:szCs w:val="24"/>
        </w:rPr>
        <w:t xml:space="preserve">en tanto </w:t>
      </w:r>
      <w:r w:rsidRPr="00F95654">
        <w:rPr>
          <w:rFonts w:ascii="Arial" w:hAnsi="Arial" w:cs="Arial"/>
          <w:i/>
          <w:iCs/>
          <w:color w:val="000000" w:themeColor="text1"/>
          <w:sz w:val="24"/>
          <w:szCs w:val="24"/>
        </w:rPr>
        <w:t xml:space="preserve">personas trans </w:t>
      </w:r>
      <w:r w:rsidRPr="00F95654">
        <w:rPr>
          <w:rFonts w:ascii="Arial" w:hAnsi="Arial" w:cs="Arial"/>
          <w:color w:val="000000" w:themeColor="text1"/>
          <w:sz w:val="24"/>
          <w:szCs w:val="24"/>
        </w:rPr>
        <w:t xml:space="preserve">como “alguien que se auto-identifica fuera del binario </w:t>
      </w:r>
      <w:r w:rsidRPr="00F95654">
        <w:rPr>
          <w:rFonts w:ascii="Arial" w:hAnsi="Arial" w:cs="Arial"/>
          <w:color w:val="000000" w:themeColor="text1"/>
          <w:sz w:val="24"/>
          <w:szCs w:val="24"/>
        </w:rPr>
        <w:lastRenderedPageBreak/>
        <w:t xml:space="preserve">mujer/hombre. Adicionalmente, algunas mujeres </w:t>
      </w:r>
      <w:proofErr w:type="spellStart"/>
      <w:r w:rsidRPr="00F95654">
        <w:rPr>
          <w:rFonts w:ascii="Arial" w:hAnsi="Arial" w:cs="Arial"/>
          <w:color w:val="000000" w:themeColor="text1"/>
          <w:sz w:val="24"/>
          <w:szCs w:val="24"/>
        </w:rPr>
        <w:t>Trans</w:t>
      </w:r>
      <w:proofErr w:type="spellEnd"/>
      <w:r w:rsidRPr="00F95654">
        <w:rPr>
          <w:rFonts w:ascii="Arial" w:hAnsi="Arial" w:cs="Arial"/>
          <w:color w:val="000000" w:themeColor="text1"/>
          <w:sz w:val="24"/>
          <w:szCs w:val="24"/>
        </w:rPr>
        <w:t xml:space="preserve"> se auto-identifican como mujeres, y algunos hombres </w:t>
      </w:r>
      <w:proofErr w:type="spellStart"/>
      <w:r w:rsidRPr="00F95654">
        <w:rPr>
          <w:rFonts w:ascii="Arial" w:hAnsi="Arial" w:cs="Arial"/>
          <w:color w:val="000000" w:themeColor="text1"/>
          <w:sz w:val="24"/>
          <w:szCs w:val="24"/>
        </w:rPr>
        <w:t>Trans</w:t>
      </w:r>
      <w:proofErr w:type="spellEnd"/>
      <w:r w:rsidRPr="00F95654">
        <w:rPr>
          <w:rFonts w:ascii="Arial" w:hAnsi="Arial" w:cs="Arial"/>
          <w:color w:val="000000" w:themeColor="text1"/>
          <w:sz w:val="24"/>
          <w:szCs w:val="24"/>
        </w:rPr>
        <w:t xml:space="preserve"> se auto-identifican como hombres” (CNDH, 2016).</w:t>
      </w:r>
    </w:p>
    <w:p w14:paraId="367304F9" w14:textId="3DCC4E74" w:rsidR="00140457" w:rsidRPr="00F95654" w:rsidRDefault="00140457" w:rsidP="00F95654">
      <w:pPr>
        <w:spacing w:line="480" w:lineRule="auto"/>
        <w:jc w:val="both"/>
        <w:rPr>
          <w:rFonts w:ascii="Arial" w:hAnsi="Arial" w:cs="Arial"/>
          <w:color w:val="000000" w:themeColor="text1"/>
          <w:sz w:val="24"/>
          <w:szCs w:val="24"/>
        </w:rPr>
      </w:pPr>
      <w:r w:rsidRPr="00F95654">
        <w:rPr>
          <w:rFonts w:ascii="Arial" w:hAnsi="Arial" w:cs="Arial"/>
          <w:color w:val="000000" w:themeColor="text1"/>
          <w:sz w:val="24"/>
          <w:szCs w:val="24"/>
        </w:rPr>
        <w:tab/>
      </w:r>
    </w:p>
    <w:p w14:paraId="7592A26A" w14:textId="77777777" w:rsidR="00140457" w:rsidRPr="00F95654" w:rsidRDefault="00140457" w:rsidP="00F95654">
      <w:pPr>
        <w:spacing w:line="480" w:lineRule="auto"/>
        <w:jc w:val="both"/>
        <w:rPr>
          <w:rFonts w:ascii="Arial" w:hAnsi="Arial" w:cs="Arial"/>
          <w:color w:val="000000" w:themeColor="text1"/>
          <w:sz w:val="24"/>
          <w:szCs w:val="24"/>
        </w:rPr>
      </w:pPr>
      <w:r w:rsidRPr="00F95654">
        <w:rPr>
          <w:rFonts w:ascii="Arial" w:hAnsi="Arial" w:cs="Arial"/>
          <w:color w:val="000000" w:themeColor="text1"/>
          <w:sz w:val="24"/>
          <w:szCs w:val="24"/>
        </w:rPr>
        <w:tab/>
        <w:t>El análisis del Sistema General de Pensiones en Colombia y los casos de reconocimiento de la pensión, si bien se encuentran constituidos por reglas determinadas por criterios de identificación de sexo en tanto masculino y femenino, con base en la Ley 100 de 1993, ya sea respecto al Régimen de Prima media con prestación definida o el régimen de ahorro individual con solidaridad, las condiciones, según los artículos 33, 64 y 64, se determinan las condiciones según sea el caso, es decir, tratándose de hombre o mujer.</w:t>
      </w:r>
    </w:p>
    <w:p w14:paraId="62860B51" w14:textId="5F7E2682" w:rsidR="002F43CF" w:rsidRDefault="00140457" w:rsidP="00F95654">
      <w:pPr>
        <w:pStyle w:val="Ttulo2"/>
        <w:jc w:val="both"/>
        <w:rPr>
          <w:rFonts w:ascii="Arial" w:hAnsi="Arial" w:cs="Arial"/>
          <w:b/>
          <w:bCs/>
          <w:color w:val="auto"/>
          <w:sz w:val="24"/>
          <w:szCs w:val="24"/>
        </w:rPr>
      </w:pPr>
      <w:r w:rsidRPr="00F95654">
        <w:rPr>
          <w:rFonts w:ascii="Arial" w:hAnsi="Arial" w:cs="Arial"/>
          <w:sz w:val="24"/>
          <w:szCs w:val="24"/>
        </w:rPr>
        <w:tab/>
      </w:r>
      <w:bookmarkStart w:id="8" w:name="_Toc115414176"/>
      <w:r w:rsidR="002F43CF" w:rsidRPr="00F95654">
        <w:rPr>
          <w:rFonts w:ascii="Arial" w:hAnsi="Arial" w:cs="Arial"/>
          <w:b/>
          <w:bCs/>
          <w:color w:val="auto"/>
          <w:sz w:val="24"/>
          <w:szCs w:val="24"/>
        </w:rPr>
        <w:t>GENERALIDADES</w:t>
      </w:r>
      <w:r w:rsidR="00EC3718" w:rsidRPr="00F95654">
        <w:rPr>
          <w:rFonts w:ascii="Arial" w:hAnsi="Arial" w:cs="Arial"/>
          <w:b/>
          <w:bCs/>
          <w:color w:val="auto"/>
          <w:sz w:val="24"/>
          <w:szCs w:val="24"/>
        </w:rPr>
        <w:t xml:space="preserve"> SOBRE EL REGIMEN PENSIONAL EN COLOMBIA</w:t>
      </w:r>
      <w:bookmarkEnd w:id="8"/>
    </w:p>
    <w:p w14:paraId="05982192" w14:textId="77777777" w:rsidR="006F1ABB" w:rsidRPr="006F1ABB" w:rsidRDefault="006F1ABB" w:rsidP="006F1ABB"/>
    <w:p w14:paraId="0B86BC07" w14:textId="1DC6DDAC" w:rsidR="00EC3718" w:rsidRPr="00F95654" w:rsidRDefault="00EC3718" w:rsidP="00F95654">
      <w:pPr>
        <w:spacing w:line="480" w:lineRule="auto"/>
        <w:ind w:firstLine="708"/>
        <w:jc w:val="both"/>
        <w:rPr>
          <w:rFonts w:ascii="Arial" w:hAnsi="Arial" w:cs="Arial"/>
          <w:sz w:val="24"/>
          <w:szCs w:val="24"/>
        </w:rPr>
      </w:pPr>
      <w:r w:rsidRPr="00F95654">
        <w:rPr>
          <w:rFonts w:ascii="Arial" w:hAnsi="Arial" w:cs="Arial"/>
          <w:sz w:val="24"/>
          <w:szCs w:val="24"/>
        </w:rPr>
        <w:t xml:space="preserve">Como se enunció anteriormente, es con la ley 100 de 1993 por medio de la cual se reconoce la base legal para el tratamiento y reconocimiento del sistema pensional colombiano. Con esto, los detalles que se han de precisar sobre la materia para el efectivo reconocimiento del derecho pensional </w:t>
      </w:r>
      <w:proofErr w:type="gramStart"/>
      <w:r w:rsidRPr="00F95654">
        <w:rPr>
          <w:rFonts w:ascii="Arial" w:hAnsi="Arial" w:cs="Arial"/>
          <w:sz w:val="24"/>
          <w:szCs w:val="24"/>
        </w:rPr>
        <w:t>es</w:t>
      </w:r>
      <w:proofErr w:type="gramEnd"/>
      <w:r w:rsidRPr="00F95654">
        <w:rPr>
          <w:rFonts w:ascii="Arial" w:hAnsi="Arial" w:cs="Arial"/>
          <w:sz w:val="24"/>
          <w:szCs w:val="24"/>
        </w:rPr>
        <w:t xml:space="preserve"> en torno a la identidad de género.</w:t>
      </w:r>
    </w:p>
    <w:p w14:paraId="66067905" w14:textId="4622A232" w:rsidR="00EC3718" w:rsidRPr="00F95654" w:rsidRDefault="00EC3718" w:rsidP="00F95654">
      <w:pPr>
        <w:spacing w:line="480" w:lineRule="auto"/>
        <w:ind w:firstLine="708"/>
        <w:jc w:val="both"/>
        <w:rPr>
          <w:rFonts w:ascii="Arial" w:hAnsi="Arial" w:cs="Arial"/>
          <w:color w:val="222222"/>
          <w:sz w:val="24"/>
          <w:szCs w:val="24"/>
          <w:shd w:val="clear" w:color="auto" w:fill="FFFFFF"/>
        </w:rPr>
      </w:pPr>
      <w:r w:rsidRPr="00F95654">
        <w:rPr>
          <w:rFonts w:ascii="Arial" w:hAnsi="Arial" w:cs="Arial"/>
          <w:sz w:val="24"/>
          <w:szCs w:val="24"/>
        </w:rPr>
        <w:t>Para enmarcar el punto anterior y precisar los retos a enfrentar el sistema general de pensiones colombiano, se inicia identificando que este se compone de dos macro sistemas, estos son:</w:t>
      </w:r>
      <w:r w:rsidR="00BA512B" w:rsidRPr="00F95654">
        <w:rPr>
          <w:rFonts w:ascii="Arial" w:hAnsi="Arial" w:cs="Arial"/>
          <w:sz w:val="24"/>
          <w:szCs w:val="24"/>
        </w:rPr>
        <w:t xml:space="preserve"> Régimen Solidario de Prima Media con Prestación Definida (RPM), y uno privado, correspondiente al Régimen de Ahorro Individual con Solidaridad (RAIS). (</w:t>
      </w:r>
      <w:r w:rsidR="00BA512B" w:rsidRPr="00F95654">
        <w:rPr>
          <w:rFonts w:ascii="Arial" w:hAnsi="Arial" w:cs="Arial"/>
          <w:color w:val="222222"/>
          <w:sz w:val="24"/>
          <w:szCs w:val="24"/>
          <w:shd w:val="clear" w:color="auto" w:fill="FFFFFF"/>
        </w:rPr>
        <w:t xml:space="preserve">Parra, J., Arias, F.&amp; otros, 2020). Consecuentemente, se </w:t>
      </w:r>
      <w:r w:rsidR="00BA512B" w:rsidRPr="00F95654">
        <w:rPr>
          <w:rFonts w:ascii="Arial" w:hAnsi="Arial" w:cs="Arial"/>
          <w:color w:val="222222"/>
          <w:sz w:val="24"/>
          <w:szCs w:val="24"/>
          <w:shd w:val="clear" w:color="auto" w:fill="FFFFFF"/>
        </w:rPr>
        <w:lastRenderedPageBreak/>
        <w:t>ha de enunciar la importancia de tratar concretamente estos dos regímenes, sin desconocer con ello la posibilidad de abrir el debate con los regímenes especiales.</w:t>
      </w:r>
    </w:p>
    <w:p w14:paraId="6349759C" w14:textId="45E48CC9" w:rsidR="00E70619" w:rsidRPr="00F95654" w:rsidRDefault="00BA512B" w:rsidP="00F95654">
      <w:pPr>
        <w:spacing w:line="480" w:lineRule="auto"/>
        <w:ind w:firstLine="708"/>
        <w:jc w:val="both"/>
        <w:rPr>
          <w:rFonts w:ascii="Arial" w:hAnsi="Arial" w:cs="Arial"/>
          <w:color w:val="222222"/>
          <w:sz w:val="24"/>
          <w:szCs w:val="24"/>
          <w:shd w:val="clear" w:color="auto" w:fill="FFFFFF"/>
        </w:rPr>
      </w:pPr>
      <w:r w:rsidRPr="00F95654">
        <w:rPr>
          <w:rFonts w:ascii="Arial" w:hAnsi="Arial" w:cs="Arial"/>
          <w:color w:val="222222"/>
          <w:sz w:val="24"/>
          <w:szCs w:val="24"/>
          <w:shd w:val="clear" w:color="auto" w:fill="FFFFFF"/>
        </w:rPr>
        <w:t xml:space="preserve">Entonces, con base en el estudio de Parra, J., Arias, F., y otros (2020), se logra precisar estadísticamente que para el año 2019, </w:t>
      </w:r>
      <w:r w:rsidR="00E70619" w:rsidRPr="00F95654">
        <w:rPr>
          <w:rFonts w:ascii="Arial" w:hAnsi="Arial" w:cs="Arial"/>
          <w:color w:val="222222"/>
          <w:sz w:val="24"/>
          <w:szCs w:val="24"/>
          <w:shd w:val="clear" w:color="auto" w:fill="FFFFFF"/>
        </w:rPr>
        <w:t xml:space="preserve">con el incentivo de la ley 100, </w:t>
      </w:r>
      <w:r w:rsidRPr="00F95654">
        <w:rPr>
          <w:rFonts w:ascii="Arial" w:hAnsi="Arial" w:cs="Arial"/>
          <w:color w:val="222222"/>
          <w:sz w:val="24"/>
          <w:szCs w:val="24"/>
          <w:shd w:val="clear" w:color="auto" w:fill="FFFFFF"/>
        </w:rPr>
        <w:t>tanto los afiliados del RPM y RAIS</w:t>
      </w:r>
      <w:r w:rsidR="00E70619" w:rsidRPr="00F95654">
        <w:rPr>
          <w:rFonts w:ascii="Arial" w:hAnsi="Arial" w:cs="Arial"/>
          <w:color w:val="222222"/>
          <w:sz w:val="24"/>
          <w:szCs w:val="24"/>
          <w:shd w:val="clear" w:color="auto" w:fill="FFFFFF"/>
        </w:rPr>
        <w:t xml:space="preserve"> representaron un aproximado de 16.000.000  (RAIS) y 6.000.000 (RPM). Aunque estos índices son clave dentro del análisis que busca enfocar “</w:t>
      </w:r>
      <w:r w:rsidR="00E70619" w:rsidRPr="00F95654">
        <w:rPr>
          <w:rFonts w:ascii="Arial" w:hAnsi="Arial" w:cs="Arial"/>
          <w:sz w:val="24"/>
          <w:szCs w:val="24"/>
        </w:rPr>
        <w:t>cobertura, tasas de fidelidad, características de los afiliados y pensionados, traslados, valor de los fondos privados, tasas de reemplazo, subsidios del RPM, Colombia Mayor y Beneficios Económicos Periódicos (BEPS)” (</w:t>
      </w:r>
      <w:r w:rsidR="00E70619" w:rsidRPr="00F95654">
        <w:rPr>
          <w:rFonts w:ascii="Arial" w:hAnsi="Arial" w:cs="Arial"/>
          <w:color w:val="222222"/>
          <w:sz w:val="24"/>
          <w:szCs w:val="24"/>
          <w:shd w:val="clear" w:color="auto" w:fill="FFFFFF"/>
        </w:rPr>
        <w:t>Parra, J., Arias, F., y otros, 2020, p.6), es necesario indicar los fundamentos Constitucionales de los cuales, la Ley 100 soporta su vigencia,</w:t>
      </w:r>
    </w:p>
    <w:p w14:paraId="6BF9E68A" w14:textId="550BBF00" w:rsidR="00E70619" w:rsidRPr="00F95654" w:rsidRDefault="00E70619" w:rsidP="00F95654">
      <w:pPr>
        <w:spacing w:line="480" w:lineRule="auto"/>
        <w:ind w:firstLine="708"/>
        <w:jc w:val="both"/>
        <w:rPr>
          <w:rFonts w:ascii="Arial" w:hAnsi="Arial" w:cs="Arial"/>
          <w:color w:val="222222"/>
          <w:sz w:val="24"/>
          <w:szCs w:val="24"/>
          <w:shd w:val="clear" w:color="auto" w:fill="FFFFFF"/>
        </w:rPr>
      </w:pPr>
      <w:r w:rsidRPr="00F95654">
        <w:rPr>
          <w:rFonts w:ascii="Arial" w:hAnsi="Arial" w:cs="Arial"/>
          <w:color w:val="222222"/>
          <w:sz w:val="24"/>
          <w:szCs w:val="24"/>
          <w:shd w:val="clear" w:color="auto" w:fill="FFFFFF"/>
        </w:rPr>
        <w:t>La Constitución Política de Colombia de 1991, reconoce la pensión como un derecho</w:t>
      </w:r>
      <w:r w:rsidR="00297610" w:rsidRPr="00F95654">
        <w:rPr>
          <w:rFonts w:ascii="Arial" w:hAnsi="Arial" w:cs="Arial"/>
          <w:color w:val="222222"/>
          <w:sz w:val="24"/>
          <w:szCs w:val="24"/>
          <w:shd w:val="clear" w:color="auto" w:fill="FFFFFF"/>
        </w:rPr>
        <w:t xml:space="preserve"> que se integra como parte de la seguridad social. Es así cuando en el artículo </w:t>
      </w:r>
      <w:r w:rsidR="00601A07" w:rsidRPr="00F95654">
        <w:rPr>
          <w:rFonts w:ascii="Arial" w:hAnsi="Arial" w:cs="Arial"/>
          <w:color w:val="222222"/>
          <w:sz w:val="24"/>
          <w:szCs w:val="24"/>
          <w:shd w:val="clear" w:color="auto" w:fill="FFFFFF"/>
        </w:rPr>
        <w:t>48 constitucional establece, refiriéndose a la seguridad social que “</w:t>
      </w:r>
      <w:r w:rsidR="00601A07" w:rsidRPr="00F95654">
        <w:rPr>
          <w:rFonts w:ascii="Arial" w:hAnsi="Arial" w:cs="Arial"/>
          <w:color w:val="000000"/>
          <w:sz w:val="24"/>
          <w:szCs w:val="24"/>
          <w:shd w:val="clear" w:color="auto" w:fill="FFFFFF"/>
        </w:rPr>
        <w:t>Se garantiza a todos los habitantes el derecho irrenunciable a la Seguridad Social” (Constitución, 1991)</w:t>
      </w:r>
      <w:r w:rsidRPr="00F95654">
        <w:rPr>
          <w:rFonts w:ascii="Arial" w:hAnsi="Arial" w:cs="Arial"/>
          <w:color w:val="222222"/>
          <w:sz w:val="24"/>
          <w:szCs w:val="24"/>
          <w:shd w:val="clear" w:color="auto" w:fill="FFFFFF"/>
        </w:rPr>
        <w:t xml:space="preserve"> </w:t>
      </w:r>
      <w:r w:rsidR="00601A07" w:rsidRPr="00F95654">
        <w:rPr>
          <w:rFonts w:ascii="Arial" w:hAnsi="Arial" w:cs="Arial"/>
          <w:color w:val="222222"/>
          <w:sz w:val="24"/>
          <w:szCs w:val="24"/>
          <w:shd w:val="clear" w:color="auto" w:fill="FFFFFF"/>
        </w:rPr>
        <w:t xml:space="preserve">entonces, con el reconocimiento del derecho pensional, </w:t>
      </w:r>
    </w:p>
    <w:p w14:paraId="3EAB393E" w14:textId="384C976F" w:rsidR="00984836" w:rsidRDefault="00984836" w:rsidP="00F95654">
      <w:pPr>
        <w:pStyle w:val="Ttulo2"/>
        <w:jc w:val="both"/>
        <w:rPr>
          <w:rFonts w:ascii="Arial" w:hAnsi="Arial" w:cs="Arial"/>
          <w:b/>
          <w:bCs/>
          <w:color w:val="auto"/>
          <w:sz w:val="24"/>
          <w:szCs w:val="24"/>
          <w:shd w:val="clear" w:color="auto" w:fill="FFFFFF"/>
        </w:rPr>
      </w:pPr>
      <w:bookmarkStart w:id="9" w:name="_Toc115414177"/>
      <w:r w:rsidRPr="00F95654">
        <w:rPr>
          <w:rFonts w:ascii="Arial" w:hAnsi="Arial" w:cs="Arial"/>
          <w:b/>
          <w:bCs/>
          <w:color w:val="auto"/>
          <w:sz w:val="24"/>
          <w:szCs w:val="24"/>
          <w:shd w:val="clear" w:color="auto" w:fill="FFFFFF"/>
        </w:rPr>
        <w:t>EL genero y su papel en el Sistema General de Pensiones de Colombia</w:t>
      </w:r>
      <w:bookmarkEnd w:id="9"/>
    </w:p>
    <w:p w14:paraId="6D5A5C68" w14:textId="77777777" w:rsidR="006F1ABB" w:rsidRPr="006F1ABB" w:rsidRDefault="006F1ABB" w:rsidP="006F1ABB"/>
    <w:p w14:paraId="7F541EA6" w14:textId="77777777" w:rsidR="00984836" w:rsidRPr="00F95654" w:rsidRDefault="00984836" w:rsidP="00F95654">
      <w:pPr>
        <w:spacing w:line="480" w:lineRule="auto"/>
        <w:ind w:firstLine="708"/>
        <w:jc w:val="both"/>
        <w:rPr>
          <w:rFonts w:ascii="Arial" w:hAnsi="Arial" w:cs="Arial"/>
          <w:color w:val="000000" w:themeColor="text1"/>
          <w:sz w:val="24"/>
          <w:szCs w:val="24"/>
        </w:rPr>
      </w:pPr>
      <w:r w:rsidRPr="00F95654">
        <w:rPr>
          <w:rFonts w:ascii="Arial" w:hAnsi="Arial" w:cs="Arial"/>
          <w:color w:val="000000" w:themeColor="text1"/>
          <w:sz w:val="24"/>
          <w:szCs w:val="24"/>
        </w:rPr>
        <w:t xml:space="preserve">Profundizar sobre los asuntos relativos a los estudios de género demanda una atención concreta al desarrollo del reconocimiento de los cotizantes. Por tal motivo, desde el sistema general de pensiones en Colombia se ha de plantear precisiones sobre el género de sus usuarios en la medida que esta influirá directamente en aspectos como la edad pensional. Ya sobre este asunto concreto, </w:t>
      </w:r>
      <w:r w:rsidRPr="00F95654">
        <w:rPr>
          <w:rFonts w:ascii="Arial" w:hAnsi="Arial" w:cs="Arial"/>
          <w:color w:val="000000" w:themeColor="text1"/>
          <w:sz w:val="24"/>
          <w:szCs w:val="24"/>
        </w:rPr>
        <w:lastRenderedPageBreak/>
        <w:t>a partir del cambio institucional, la Ley 100 integra en el espectro nacional, sobre la Seguridad Social, una noción en materia pensional integrado por el régimen solidario de Prima Media con Prestación Definida (RPM), y el Régimen de Ahorro Individual con Solidaridad (RAIS).</w:t>
      </w:r>
    </w:p>
    <w:p w14:paraId="5928BD37" w14:textId="77777777" w:rsidR="00984836" w:rsidRPr="00F95654" w:rsidRDefault="00984836" w:rsidP="00F95654">
      <w:pPr>
        <w:spacing w:line="480" w:lineRule="auto"/>
        <w:jc w:val="both"/>
        <w:rPr>
          <w:rFonts w:ascii="Arial" w:hAnsi="Arial" w:cs="Arial"/>
          <w:color w:val="000000" w:themeColor="text1"/>
          <w:sz w:val="24"/>
          <w:szCs w:val="24"/>
        </w:rPr>
      </w:pPr>
      <w:r w:rsidRPr="00F95654">
        <w:rPr>
          <w:rFonts w:ascii="Arial" w:hAnsi="Arial" w:cs="Arial"/>
          <w:color w:val="000000" w:themeColor="text1"/>
          <w:sz w:val="24"/>
          <w:szCs w:val="24"/>
        </w:rPr>
        <w:tab/>
        <w:t xml:space="preserve">Cada uno de estos regímenes contempla un conjunto de solemnidades de las cuales, el reconocimiento del derecho pensional se ve constituido. Es el caso del </w:t>
      </w:r>
      <w:r w:rsidRPr="00F95654">
        <w:rPr>
          <w:rFonts w:ascii="Arial" w:hAnsi="Arial" w:cs="Arial"/>
          <w:i/>
          <w:iCs/>
          <w:color w:val="000000" w:themeColor="text1"/>
          <w:sz w:val="24"/>
          <w:szCs w:val="24"/>
        </w:rPr>
        <w:t xml:space="preserve">régimen de prima media con prestación definida </w:t>
      </w:r>
      <w:r w:rsidRPr="00F95654">
        <w:rPr>
          <w:rFonts w:ascii="Arial" w:hAnsi="Arial" w:cs="Arial"/>
          <w:color w:val="000000" w:themeColor="text1"/>
          <w:sz w:val="24"/>
          <w:szCs w:val="24"/>
        </w:rPr>
        <w:t>en el que la categoría de -hombres- reconoce que la edad pensional se fija en 62 años y las mujeres 57 e indistintamente de tal categoría, haber cotizado 1300 semanas. Sobre el RAIS, la edad pensional es elegida por parte del afiliado “siempre y cuando el capital que hayan acumulado en su cuente de ahorro individual les permita obtener una pensión mensual superior al 110% del salario mínimo” (ZUÑIGA, 2020).</w:t>
      </w:r>
    </w:p>
    <w:p w14:paraId="42D9D2CE" w14:textId="3D709C40" w:rsidR="00984836" w:rsidRPr="006F1ABB" w:rsidRDefault="00984836" w:rsidP="00F95654">
      <w:pPr>
        <w:spacing w:line="480" w:lineRule="auto"/>
        <w:jc w:val="both"/>
        <w:rPr>
          <w:rFonts w:ascii="Arial" w:hAnsi="Arial" w:cs="Arial"/>
          <w:color w:val="000000" w:themeColor="text1"/>
          <w:sz w:val="24"/>
          <w:szCs w:val="24"/>
        </w:rPr>
      </w:pPr>
      <w:r w:rsidRPr="00F95654">
        <w:rPr>
          <w:rFonts w:ascii="Arial" w:hAnsi="Arial" w:cs="Arial"/>
          <w:color w:val="000000" w:themeColor="text1"/>
          <w:sz w:val="24"/>
          <w:szCs w:val="24"/>
        </w:rPr>
        <w:tab/>
        <w:t>Entonces, el reconocimiento de hombres y mujeres en el sistema general de pensiones resulta, para óptica normativa, un asunto resuelto en tanto que la identidad de dichos géneros se entiende cerrada. Ergo, ante la concreta discusión que presenta el caso sobre el reconocimiento de una persona en tanto transgénero, categorizada la identidad transgénero como “un término general para las personas cuya identidad de género difiere de la identidad que, por lo general, se asume para el sexo que se les asignó al momento de nacer” (</w:t>
      </w:r>
      <w:proofErr w:type="spellStart"/>
      <w:r w:rsidRPr="00F95654">
        <w:rPr>
          <w:rFonts w:ascii="Arial" w:hAnsi="Arial" w:cs="Arial"/>
          <w:color w:val="000000" w:themeColor="text1"/>
          <w:sz w:val="24"/>
          <w:szCs w:val="24"/>
        </w:rPr>
        <w:t>Moseson</w:t>
      </w:r>
      <w:proofErr w:type="spellEnd"/>
      <w:r w:rsidRPr="00F95654">
        <w:rPr>
          <w:rFonts w:ascii="Arial" w:hAnsi="Arial" w:cs="Arial"/>
          <w:color w:val="000000" w:themeColor="text1"/>
          <w:sz w:val="24"/>
          <w:szCs w:val="24"/>
        </w:rPr>
        <w:t>, 2020: 5), la falta de claridad sobre el tratamiento de esta identidad en el sistema general de pensiones, resulta en variaciones con efectos sustanciales al momento de reconocerse las condiciones de dicho derecho.</w:t>
      </w:r>
    </w:p>
    <w:p w14:paraId="59ECB4E1" w14:textId="4B595722" w:rsidR="002F43CF" w:rsidRPr="00F95654" w:rsidRDefault="002F43CF" w:rsidP="00F95654">
      <w:pPr>
        <w:pStyle w:val="Ttulo1"/>
        <w:jc w:val="both"/>
        <w:rPr>
          <w:rFonts w:ascii="Arial" w:hAnsi="Arial" w:cs="Arial"/>
          <w:b/>
          <w:bCs/>
          <w:color w:val="auto"/>
          <w:sz w:val="24"/>
          <w:szCs w:val="24"/>
        </w:rPr>
      </w:pPr>
      <w:r w:rsidRPr="00F95654">
        <w:rPr>
          <w:rFonts w:ascii="Arial" w:hAnsi="Arial" w:cs="Arial"/>
          <w:sz w:val="24"/>
          <w:szCs w:val="24"/>
        </w:rPr>
        <w:lastRenderedPageBreak/>
        <w:tab/>
      </w:r>
      <w:bookmarkStart w:id="10" w:name="_Toc115414178"/>
      <w:r w:rsidR="006F1ABB" w:rsidRPr="00F95654">
        <w:rPr>
          <w:rFonts w:ascii="Arial" w:hAnsi="Arial" w:cs="Arial"/>
          <w:b/>
          <w:bCs/>
          <w:color w:val="auto"/>
          <w:sz w:val="24"/>
          <w:szCs w:val="24"/>
        </w:rPr>
        <w:t>CONSTRUCCIÓN JURISPRUDENCIAL DE LAS REGLAS PARA LA DETERMINACIÓN DE LA PENSIÓN A PERSONAS TRANS.</w:t>
      </w:r>
      <w:bookmarkEnd w:id="10"/>
    </w:p>
    <w:p w14:paraId="40F98042" w14:textId="77777777" w:rsidR="00F27F92" w:rsidRPr="00F95654" w:rsidRDefault="00F27F92" w:rsidP="00F95654">
      <w:pPr>
        <w:jc w:val="both"/>
        <w:rPr>
          <w:rFonts w:ascii="Arial" w:hAnsi="Arial" w:cs="Arial"/>
          <w:sz w:val="24"/>
          <w:szCs w:val="24"/>
        </w:rPr>
      </w:pPr>
    </w:p>
    <w:p w14:paraId="10742F74" w14:textId="4D175CC0" w:rsidR="00C60405" w:rsidRPr="00F95654" w:rsidRDefault="00C60405" w:rsidP="00F95654">
      <w:pPr>
        <w:spacing w:line="480" w:lineRule="auto"/>
        <w:ind w:firstLine="708"/>
        <w:jc w:val="both"/>
        <w:rPr>
          <w:rFonts w:ascii="Arial" w:hAnsi="Arial" w:cs="Arial"/>
          <w:color w:val="000000" w:themeColor="text1"/>
          <w:sz w:val="24"/>
          <w:szCs w:val="24"/>
        </w:rPr>
      </w:pPr>
      <w:r w:rsidRPr="00F95654">
        <w:rPr>
          <w:rFonts w:ascii="Arial" w:hAnsi="Arial" w:cs="Arial"/>
          <w:color w:val="000000" w:themeColor="text1"/>
          <w:sz w:val="24"/>
          <w:szCs w:val="24"/>
        </w:rPr>
        <w:t>Con base en lo anteriormente planteado, se establecen orientaciones frente al tratamiento conceptual y legal de la identidad transgénero, no obstante, lo que representa el mismo en el reconocimiento de derechos como el pensional se ha de desarrollar desde una óptica con pleno desarrollo jurisprudencial.</w:t>
      </w:r>
    </w:p>
    <w:p w14:paraId="544D40F8" w14:textId="641A61F7" w:rsidR="00C60405" w:rsidRPr="00F95654" w:rsidRDefault="00C60405" w:rsidP="00F95654">
      <w:pPr>
        <w:spacing w:line="480" w:lineRule="auto"/>
        <w:jc w:val="both"/>
        <w:rPr>
          <w:rFonts w:ascii="Arial" w:hAnsi="Arial" w:cs="Arial"/>
          <w:color w:val="000000" w:themeColor="text1"/>
          <w:sz w:val="24"/>
          <w:szCs w:val="24"/>
        </w:rPr>
      </w:pPr>
      <w:r w:rsidRPr="00F95654">
        <w:rPr>
          <w:rFonts w:ascii="Arial" w:hAnsi="Arial" w:cs="Arial"/>
          <w:color w:val="000000" w:themeColor="text1"/>
          <w:sz w:val="24"/>
          <w:szCs w:val="24"/>
        </w:rPr>
        <w:tab/>
        <w:t>En la sentencia SU-440-2021 la Corte Constitucional desarrolla dicho asunto. En esta sentencia de unificación se dice sobre la identidad de género que frente a los contextos de discriminación, su perjuicio directo es que “afecta la libertad de las personas trans de construir de manera autónoma y privada su plan de vida, e inhibe la expresión de sus vivencias de género en el ámbito social” (Corte Constitucional, 2021) por lo que, frente al reconocimiento del derecho pensional, se precisa “los actos discriminatorios en contra de una mujer trans que obstaculicen el acceso al reconocimiento de la pensión de vejez afectan su dignidad humana de una manera más fundamental” (Corte Constitucional, 2021).</w:t>
      </w:r>
    </w:p>
    <w:p w14:paraId="632D26A2" w14:textId="2B9A6DE4" w:rsidR="00C60405" w:rsidRPr="00F95654" w:rsidRDefault="00C60405" w:rsidP="00F95654">
      <w:pPr>
        <w:spacing w:line="480" w:lineRule="auto"/>
        <w:jc w:val="both"/>
        <w:rPr>
          <w:rFonts w:ascii="Arial" w:hAnsi="Arial" w:cs="Arial"/>
          <w:color w:val="000000" w:themeColor="text1"/>
          <w:sz w:val="24"/>
          <w:szCs w:val="24"/>
        </w:rPr>
      </w:pPr>
      <w:r w:rsidRPr="00F95654">
        <w:rPr>
          <w:rFonts w:ascii="Arial" w:hAnsi="Arial" w:cs="Arial"/>
          <w:color w:val="000000" w:themeColor="text1"/>
          <w:sz w:val="24"/>
          <w:szCs w:val="24"/>
        </w:rPr>
        <w:tab/>
        <w:t xml:space="preserve">Así mismo, sigue la Corte </w:t>
      </w:r>
    </w:p>
    <w:p w14:paraId="00030F72" w14:textId="77777777" w:rsidR="00C60405" w:rsidRPr="00F95654" w:rsidRDefault="00C60405" w:rsidP="00F95654">
      <w:pPr>
        <w:spacing w:line="480" w:lineRule="auto"/>
        <w:jc w:val="both"/>
        <w:rPr>
          <w:rFonts w:ascii="Arial" w:hAnsi="Arial" w:cs="Arial"/>
          <w:b/>
          <w:bCs/>
          <w:sz w:val="24"/>
          <w:szCs w:val="24"/>
        </w:rPr>
      </w:pPr>
    </w:p>
    <w:p w14:paraId="297C96BD" w14:textId="77777777" w:rsidR="007A6739" w:rsidRPr="00F95654" w:rsidRDefault="007A6739" w:rsidP="00F95654">
      <w:pPr>
        <w:spacing w:line="480" w:lineRule="auto"/>
        <w:ind w:firstLine="567"/>
        <w:jc w:val="both"/>
        <w:rPr>
          <w:rFonts w:ascii="Arial" w:hAnsi="Arial" w:cs="Arial"/>
          <w:sz w:val="24"/>
          <w:szCs w:val="24"/>
        </w:rPr>
      </w:pPr>
      <w:r w:rsidRPr="00F95654">
        <w:rPr>
          <w:rFonts w:ascii="Arial" w:hAnsi="Arial" w:cs="Arial"/>
          <w:sz w:val="24"/>
          <w:szCs w:val="24"/>
        </w:rPr>
        <w:t>La discusión requiere entonces un análisis inescindible entre la identidad de género como idea general del cual se desglosa la identidad transgénero y el derecho pensional en tanto que la primera, tomando como referencia la opinión consultiva OC-24 del 24 de noviembre de 2017, hace referencia a:</w:t>
      </w:r>
    </w:p>
    <w:p w14:paraId="2BAF9B5D" w14:textId="77777777" w:rsidR="007A6739" w:rsidRPr="00F95654" w:rsidRDefault="007A6739" w:rsidP="00F95654">
      <w:pPr>
        <w:spacing w:line="480" w:lineRule="auto"/>
        <w:ind w:left="567"/>
        <w:jc w:val="both"/>
        <w:rPr>
          <w:rFonts w:ascii="Arial" w:hAnsi="Arial" w:cs="Arial"/>
          <w:color w:val="000000" w:themeColor="text1"/>
          <w:sz w:val="24"/>
          <w:szCs w:val="24"/>
        </w:rPr>
      </w:pPr>
      <w:r w:rsidRPr="00F95654">
        <w:rPr>
          <w:rFonts w:ascii="Arial" w:hAnsi="Arial" w:cs="Arial"/>
          <w:color w:val="000000" w:themeColor="text1"/>
          <w:sz w:val="24"/>
          <w:szCs w:val="24"/>
        </w:rPr>
        <w:lastRenderedPageBreak/>
        <w:t xml:space="preserve"> la vivencia interna e individual del género tal como cada persona la siente, la cual podría corresponder o no con el sexo asignado al momento del nacimiento, incluyendo la vivencia personal del cuerpo (que podría involucrar – o no – la modificación de la apariencia o la función corporal a través de medios, quirúrgicos o de otra índole, siempre que la misma sea libremente escogida) y 10 otras expresiones de género, incluyendo la vestimenta, el modo de hablar y los modales (p. 17).</w:t>
      </w:r>
    </w:p>
    <w:p w14:paraId="0AE81C4D" w14:textId="77777777" w:rsidR="007A6739" w:rsidRPr="00F95654" w:rsidRDefault="007A6739" w:rsidP="00F95654">
      <w:pPr>
        <w:spacing w:line="480" w:lineRule="auto"/>
        <w:ind w:firstLine="567"/>
        <w:jc w:val="both"/>
        <w:rPr>
          <w:rFonts w:ascii="Arial" w:hAnsi="Arial" w:cs="Arial"/>
          <w:color w:val="000000" w:themeColor="text1"/>
          <w:sz w:val="24"/>
          <w:szCs w:val="24"/>
        </w:rPr>
      </w:pPr>
      <w:r w:rsidRPr="00F95654">
        <w:rPr>
          <w:rFonts w:ascii="Arial" w:hAnsi="Arial" w:cs="Arial"/>
          <w:color w:val="000000" w:themeColor="text1"/>
          <w:sz w:val="24"/>
          <w:szCs w:val="24"/>
        </w:rPr>
        <w:t>Lo que resuelve la Corte Interamericana en este aspecto es la generalidad a la cual se logra enmarcar la transexualidad, la cual, sigue la Corte:</w:t>
      </w:r>
    </w:p>
    <w:p w14:paraId="05925D77" w14:textId="77777777" w:rsidR="007A6739" w:rsidRPr="00F95654" w:rsidRDefault="007A6739" w:rsidP="00F95654">
      <w:pPr>
        <w:spacing w:line="480" w:lineRule="auto"/>
        <w:ind w:left="567"/>
        <w:jc w:val="both"/>
        <w:rPr>
          <w:rFonts w:ascii="Arial" w:hAnsi="Arial" w:cs="Arial"/>
          <w:color w:val="000000" w:themeColor="text1"/>
          <w:sz w:val="24"/>
          <w:szCs w:val="24"/>
        </w:rPr>
      </w:pPr>
      <w:r w:rsidRPr="00F95654">
        <w:rPr>
          <w:rFonts w:ascii="Arial" w:hAnsi="Arial" w:cs="Arial"/>
          <w:color w:val="000000" w:themeColor="text1"/>
          <w:sz w:val="24"/>
          <w:szCs w:val="24"/>
        </w:rPr>
        <w:t xml:space="preserve">El término trans, es un término sombrilla utilizado para describir las diferentes variantes de la identidad de género, cuyo común denominador es la no conformidad entre el sexo asignado al nacer de la persona y la identidad de género que ha sido tradicionalmente asignada a éste. Una persona transgénero o trans puede identificarse con los conceptos de hombre, mujer, hombre trans, mujer trans y persona no binaria, o bien con otros términos como </w:t>
      </w:r>
      <w:proofErr w:type="spellStart"/>
      <w:r w:rsidRPr="00F95654">
        <w:rPr>
          <w:rFonts w:ascii="Arial" w:hAnsi="Arial" w:cs="Arial"/>
          <w:color w:val="000000" w:themeColor="text1"/>
          <w:sz w:val="24"/>
          <w:szCs w:val="24"/>
        </w:rPr>
        <w:t>hijra</w:t>
      </w:r>
      <w:proofErr w:type="spellEnd"/>
      <w:r w:rsidRPr="00F95654">
        <w:rPr>
          <w:rFonts w:ascii="Arial" w:hAnsi="Arial" w:cs="Arial"/>
          <w:color w:val="000000" w:themeColor="text1"/>
          <w:sz w:val="24"/>
          <w:szCs w:val="24"/>
        </w:rPr>
        <w:t xml:space="preserve">, tercer género, </w:t>
      </w:r>
      <w:proofErr w:type="spellStart"/>
      <w:r w:rsidRPr="00F95654">
        <w:rPr>
          <w:rFonts w:ascii="Arial" w:hAnsi="Arial" w:cs="Arial"/>
          <w:color w:val="000000" w:themeColor="text1"/>
          <w:sz w:val="24"/>
          <w:szCs w:val="24"/>
        </w:rPr>
        <w:t>biespiritual</w:t>
      </w:r>
      <w:proofErr w:type="spellEnd"/>
      <w:r w:rsidRPr="00F95654">
        <w:rPr>
          <w:rFonts w:ascii="Arial" w:hAnsi="Arial" w:cs="Arial"/>
          <w:color w:val="000000" w:themeColor="text1"/>
          <w:sz w:val="24"/>
          <w:szCs w:val="24"/>
        </w:rPr>
        <w:t xml:space="preserve">, travesti, </w:t>
      </w:r>
      <w:proofErr w:type="spellStart"/>
      <w:r w:rsidRPr="00F95654">
        <w:rPr>
          <w:rFonts w:ascii="Arial" w:hAnsi="Arial" w:cs="Arial"/>
          <w:color w:val="000000" w:themeColor="text1"/>
          <w:sz w:val="24"/>
          <w:szCs w:val="24"/>
        </w:rPr>
        <w:t>fa’afafine</w:t>
      </w:r>
      <w:proofErr w:type="spellEnd"/>
      <w:r w:rsidRPr="00F95654">
        <w:rPr>
          <w:rFonts w:ascii="Arial" w:hAnsi="Arial" w:cs="Arial"/>
          <w:color w:val="000000" w:themeColor="text1"/>
          <w:sz w:val="24"/>
          <w:szCs w:val="24"/>
        </w:rPr>
        <w:t xml:space="preserve">, </w:t>
      </w:r>
      <w:proofErr w:type="spellStart"/>
      <w:r w:rsidRPr="00F95654">
        <w:rPr>
          <w:rFonts w:ascii="Arial" w:hAnsi="Arial" w:cs="Arial"/>
          <w:color w:val="000000" w:themeColor="text1"/>
          <w:sz w:val="24"/>
          <w:szCs w:val="24"/>
        </w:rPr>
        <w:t>queer</w:t>
      </w:r>
      <w:proofErr w:type="spellEnd"/>
      <w:r w:rsidRPr="00F95654">
        <w:rPr>
          <w:rFonts w:ascii="Arial" w:hAnsi="Arial" w:cs="Arial"/>
          <w:color w:val="000000" w:themeColor="text1"/>
          <w:sz w:val="24"/>
          <w:szCs w:val="24"/>
        </w:rPr>
        <w:t xml:space="preserve">, </w:t>
      </w:r>
      <w:proofErr w:type="spellStart"/>
      <w:r w:rsidRPr="00F95654">
        <w:rPr>
          <w:rFonts w:ascii="Arial" w:hAnsi="Arial" w:cs="Arial"/>
          <w:color w:val="000000" w:themeColor="text1"/>
          <w:sz w:val="24"/>
          <w:szCs w:val="24"/>
        </w:rPr>
        <w:t>transpinoy</w:t>
      </w:r>
      <w:proofErr w:type="spellEnd"/>
      <w:r w:rsidRPr="00F95654">
        <w:rPr>
          <w:rFonts w:ascii="Arial" w:hAnsi="Arial" w:cs="Arial"/>
          <w:color w:val="000000" w:themeColor="text1"/>
          <w:sz w:val="24"/>
          <w:szCs w:val="24"/>
        </w:rPr>
        <w:t xml:space="preserve">, </w:t>
      </w:r>
      <w:proofErr w:type="spellStart"/>
      <w:r w:rsidRPr="00F95654">
        <w:rPr>
          <w:rFonts w:ascii="Arial" w:hAnsi="Arial" w:cs="Arial"/>
          <w:color w:val="000000" w:themeColor="text1"/>
          <w:sz w:val="24"/>
          <w:szCs w:val="24"/>
        </w:rPr>
        <w:t>muxé</w:t>
      </w:r>
      <w:proofErr w:type="spellEnd"/>
      <w:r w:rsidRPr="00F95654">
        <w:rPr>
          <w:rFonts w:ascii="Arial" w:hAnsi="Arial" w:cs="Arial"/>
          <w:color w:val="000000" w:themeColor="text1"/>
          <w:sz w:val="24"/>
          <w:szCs w:val="24"/>
        </w:rPr>
        <w:t xml:space="preserve">, </w:t>
      </w:r>
      <w:proofErr w:type="spellStart"/>
      <w:r w:rsidRPr="00F95654">
        <w:rPr>
          <w:rFonts w:ascii="Arial" w:hAnsi="Arial" w:cs="Arial"/>
          <w:color w:val="000000" w:themeColor="text1"/>
          <w:sz w:val="24"/>
          <w:szCs w:val="24"/>
        </w:rPr>
        <w:t>waria</w:t>
      </w:r>
      <w:proofErr w:type="spellEnd"/>
      <w:r w:rsidRPr="00F95654">
        <w:rPr>
          <w:rFonts w:ascii="Arial" w:hAnsi="Arial" w:cs="Arial"/>
          <w:color w:val="000000" w:themeColor="text1"/>
          <w:sz w:val="24"/>
          <w:szCs w:val="24"/>
        </w:rPr>
        <w:t xml:space="preserve"> y </w:t>
      </w:r>
      <w:proofErr w:type="spellStart"/>
      <w:r w:rsidRPr="00F95654">
        <w:rPr>
          <w:rFonts w:ascii="Arial" w:hAnsi="Arial" w:cs="Arial"/>
          <w:color w:val="000000" w:themeColor="text1"/>
          <w:sz w:val="24"/>
          <w:szCs w:val="24"/>
        </w:rPr>
        <w:t>meti</w:t>
      </w:r>
      <w:proofErr w:type="spellEnd"/>
      <w:r w:rsidRPr="00F95654">
        <w:rPr>
          <w:rFonts w:ascii="Arial" w:hAnsi="Arial" w:cs="Arial"/>
          <w:color w:val="000000" w:themeColor="text1"/>
          <w:sz w:val="24"/>
          <w:szCs w:val="24"/>
        </w:rPr>
        <w:t>. La identidad de género es un concepto diferente de la orientación sexual (p. 18).</w:t>
      </w:r>
    </w:p>
    <w:p w14:paraId="5B184724" w14:textId="77777777" w:rsidR="007A6739" w:rsidRPr="00F95654" w:rsidRDefault="007A6739" w:rsidP="00F95654">
      <w:pPr>
        <w:spacing w:line="480" w:lineRule="auto"/>
        <w:ind w:firstLine="567"/>
        <w:jc w:val="both"/>
        <w:rPr>
          <w:rFonts w:ascii="Arial" w:hAnsi="Arial" w:cs="Arial"/>
          <w:color w:val="000000" w:themeColor="text1"/>
          <w:sz w:val="24"/>
          <w:szCs w:val="24"/>
        </w:rPr>
      </w:pPr>
      <w:r w:rsidRPr="00F95654">
        <w:rPr>
          <w:rFonts w:ascii="Arial" w:hAnsi="Arial" w:cs="Arial"/>
          <w:color w:val="000000" w:themeColor="text1"/>
          <w:sz w:val="24"/>
          <w:szCs w:val="24"/>
        </w:rPr>
        <w:t xml:space="preserve">De lo anterior, la transexualidad es entonces un criterio diferenciador de la identidad, en el marco de la autopercepción de la persona. Así, la persona trans se posiciona socialmente con un género distinto al que es asignado bilógicamente, entendiendo con esto la distinción entre sexo y género donde se habla del primero cuando “se refiere a las diferencias biológicas entre el hombre y la mujer, a sus </w:t>
      </w:r>
      <w:r w:rsidRPr="00F95654">
        <w:rPr>
          <w:rFonts w:ascii="Arial" w:hAnsi="Arial" w:cs="Arial"/>
          <w:color w:val="000000" w:themeColor="text1"/>
          <w:sz w:val="24"/>
          <w:szCs w:val="24"/>
        </w:rPr>
        <w:lastRenderedPageBreak/>
        <w:t>características fisiológicas, a la suma de las características biológicas que define el espectro de las personas como mujeres y hombres” (</w:t>
      </w:r>
      <w:proofErr w:type="spellStart"/>
      <w:r w:rsidRPr="00F95654">
        <w:rPr>
          <w:rFonts w:ascii="Arial" w:hAnsi="Arial" w:cs="Arial"/>
          <w:color w:val="000000" w:themeColor="text1"/>
          <w:sz w:val="24"/>
          <w:szCs w:val="24"/>
        </w:rPr>
        <w:t>CorteIDH</w:t>
      </w:r>
      <w:proofErr w:type="spellEnd"/>
      <w:r w:rsidRPr="00F95654">
        <w:rPr>
          <w:rFonts w:ascii="Arial" w:hAnsi="Arial" w:cs="Arial"/>
          <w:color w:val="000000" w:themeColor="text1"/>
          <w:sz w:val="24"/>
          <w:szCs w:val="24"/>
        </w:rPr>
        <w:t>, 2017) Y género “Se refiere a las identidades, las funciones y los atributos construidos socialmente de la mujer y el hombre y al significado social y cultural que se atribuye a esas diferencias biológicas” (</w:t>
      </w:r>
      <w:proofErr w:type="spellStart"/>
      <w:r w:rsidRPr="00F95654">
        <w:rPr>
          <w:rFonts w:ascii="Arial" w:hAnsi="Arial" w:cs="Arial"/>
          <w:color w:val="000000" w:themeColor="text1"/>
          <w:sz w:val="24"/>
          <w:szCs w:val="24"/>
        </w:rPr>
        <w:t>CorteIDH</w:t>
      </w:r>
      <w:proofErr w:type="spellEnd"/>
      <w:r w:rsidRPr="00F95654">
        <w:rPr>
          <w:rFonts w:ascii="Arial" w:hAnsi="Arial" w:cs="Arial"/>
          <w:color w:val="000000" w:themeColor="text1"/>
          <w:sz w:val="24"/>
          <w:szCs w:val="24"/>
        </w:rPr>
        <w:t>, 2017).</w:t>
      </w:r>
    </w:p>
    <w:p w14:paraId="4D6E10A9" w14:textId="77777777" w:rsidR="007A6739" w:rsidRPr="00F95654" w:rsidRDefault="007A6739" w:rsidP="00F95654">
      <w:pPr>
        <w:spacing w:line="480" w:lineRule="auto"/>
        <w:ind w:firstLine="567"/>
        <w:jc w:val="both"/>
        <w:rPr>
          <w:rFonts w:ascii="Arial" w:hAnsi="Arial" w:cs="Arial"/>
          <w:color w:val="000000" w:themeColor="text1"/>
          <w:sz w:val="24"/>
          <w:szCs w:val="24"/>
        </w:rPr>
      </w:pPr>
      <w:r w:rsidRPr="00F95654">
        <w:rPr>
          <w:rFonts w:ascii="Arial" w:hAnsi="Arial" w:cs="Arial"/>
          <w:color w:val="000000" w:themeColor="text1"/>
          <w:sz w:val="24"/>
          <w:szCs w:val="24"/>
        </w:rPr>
        <w:t>Teniendo en cuenta lo anterior, la institución jurídica en la cual se plantea la discusión sobre el conflicto frente al reconocimiento del derecho personal por asuntos de autorreconocimiento del género en tanto transgénero es en el RPM la noción heteronormativa, se mantiene estricta en este régimen pese a los cambios manifiestos, por ejemplo, en el registro civil. Respecto a esto, María José Jaraba Márquez (2021) expresa que:</w:t>
      </w:r>
    </w:p>
    <w:p w14:paraId="12820268" w14:textId="77777777" w:rsidR="007A6739" w:rsidRPr="00F95654" w:rsidRDefault="007A6739" w:rsidP="00F95654">
      <w:pPr>
        <w:spacing w:line="480" w:lineRule="auto"/>
        <w:ind w:left="567"/>
        <w:jc w:val="both"/>
        <w:rPr>
          <w:rFonts w:ascii="Arial" w:hAnsi="Arial" w:cs="Arial"/>
          <w:color w:val="000000" w:themeColor="text1"/>
          <w:sz w:val="24"/>
          <w:szCs w:val="24"/>
        </w:rPr>
      </w:pPr>
      <w:r w:rsidRPr="00F95654">
        <w:rPr>
          <w:rFonts w:ascii="Arial" w:hAnsi="Arial" w:cs="Arial"/>
          <w:color w:val="000000" w:themeColor="text1"/>
          <w:sz w:val="24"/>
          <w:szCs w:val="24"/>
        </w:rPr>
        <w:t xml:space="preserve">las autoridades administrativas a cargo de otorgar la prestación de vejez se han encargado de entorpecer dichos procesos a las personas transgénero con el pretexto de que el cambio relativo al sexo en el registro civil de nacimiento no tiene incidencia en los asuntos pensionales (p. 30). </w:t>
      </w:r>
    </w:p>
    <w:p w14:paraId="20A30F8C" w14:textId="77777777" w:rsidR="007A6739" w:rsidRPr="00F95654" w:rsidRDefault="007A6739" w:rsidP="00F95654">
      <w:pPr>
        <w:spacing w:line="480" w:lineRule="auto"/>
        <w:ind w:firstLine="567"/>
        <w:jc w:val="both"/>
        <w:rPr>
          <w:rFonts w:ascii="Arial" w:hAnsi="Arial" w:cs="Arial"/>
          <w:color w:val="000000" w:themeColor="text1"/>
          <w:sz w:val="24"/>
          <w:szCs w:val="24"/>
        </w:rPr>
      </w:pPr>
      <w:r w:rsidRPr="00F95654">
        <w:rPr>
          <w:rFonts w:ascii="Arial" w:hAnsi="Arial" w:cs="Arial"/>
          <w:color w:val="000000" w:themeColor="text1"/>
          <w:sz w:val="24"/>
          <w:szCs w:val="24"/>
        </w:rPr>
        <w:t>No es entonces un asunto de completa desatención la problemática tratada, pues desde un ámbito normativo, la garantía de los derechos de las personas transgénero (como miembros de la comunidad LGTBQ), ha sido objeto de atención de los entes Internacionales y Nacionales. No obstante, los criterios para determinar el reconocimiento de una persona trans se tornan innecesariamente estrictos, siendo un latente riesgo para la realización efectiva de los derechos pensionales del afiliado.</w:t>
      </w:r>
    </w:p>
    <w:p w14:paraId="2A983771" w14:textId="77777777" w:rsidR="007A6739" w:rsidRPr="00F95654" w:rsidRDefault="007A6739" w:rsidP="00F95654">
      <w:pPr>
        <w:spacing w:line="480" w:lineRule="auto"/>
        <w:ind w:firstLine="567"/>
        <w:jc w:val="both"/>
        <w:rPr>
          <w:rFonts w:ascii="Arial" w:hAnsi="Arial" w:cs="Arial"/>
          <w:color w:val="000000" w:themeColor="text1"/>
          <w:sz w:val="24"/>
          <w:szCs w:val="24"/>
        </w:rPr>
      </w:pPr>
      <w:r w:rsidRPr="00F95654">
        <w:rPr>
          <w:rFonts w:ascii="Arial" w:hAnsi="Arial" w:cs="Arial"/>
          <w:color w:val="000000" w:themeColor="text1"/>
          <w:sz w:val="24"/>
          <w:szCs w:val="24"/>
        </w:rPr>
        <w:lastRenderedPageBreak/>
        <w:t>Lo que presenta entonces una noción resolutiva de dicha discusión se ve manifiesta entonces en la decisión de la Corte Constitucional en su sentencia SU440 de 2021, en el cual se demanda a Colpensiones por afectar los derechos a la seguridad social, la salud, vida, dignidad humana, igualdad y confianza legítima de una persona trans que se auto percibía como mujer, al momento de solicitar su pensión bajo el requerimiento de los 57 años y del cual no le fue reconocido.</w:t>
      </w:r>
    </w:p>
    <w:p w14:paraId="2C93ABC4" w14:textId="77777777" w:rsidR="007A6739" w:rsidRPr="00F95654" w:rsidRDefault="007A6739" w:rsidP="00F95654">
      <w:pPr>
        <w:spacing w:line="480" w:lineRule="auto"/>
        <w:ind w:firstLine="567"/>
        <w:jc w:val="both"/>
        <w:rPr>
          <w:rFonts w:ascii="Arial" w:hAnsi="Arial" w:cs="Arial"/>
          <w:color w:val="000000" w:themeColor="text1"/>
          <w:sz w:val="24"/>
          <w:szCs w:val="24"/>
        </w:rPr>
      </w:pPr>
      <w:r w:rsidRPr="00F95654">
        <w:rPr>
          <w:rFonts w:ascii="Arial" w:hAnsi="Arial" w:cs="Arial"/>
          <w:color w:val="000000" w:themeColor="text1"/>
          <w:sz w:val="24"/>
          <w:szCs w:val="24"/>
        </w:rPr>
        <w:t xml:space="preserve">En respeto a los lineamientos establecidos desde los estudios de género a los miembros de la comunidad LGTBI, para la garantía de la dignidad humana, implica, como sigue Lina Marcela Benavides (2022), reconocer el derecho  “a vivir como desea, a vivir conforme y sin humillaciones, y con inclusión de políticas públicas que han reconocido y garantizado la libertad de género y la libertad sexual” (p. 25), por  tal motivo, frente a la realización o bien, materialización de los derechos de las personas trans, como logro se tiene la posibilidad de cambio de género o corrección del componente </w:t>
      </w:r>
      <w:r w:rsidRPr="00F95654">
        <w:rPr>
          <w:rFonts w:ascii="Arial" w:hAnsi="Arial" w:cs="Arial"/>
          <w:i/>
          <w:iCs/>
          <w:color w:val="000000" w:themeColor="text1"/>
          <w:sz w:val="24"/>
          <w:szCs w:val="24"/>
        </w:rPr>
        <w:t xml:space="preserve">sexo </w:t>
      </w:r>
      <w:r w:rsidRPr="00F95654">
        <w:rPr>
          <w:rFonts w:ascii="Arial" w:hAnsi="Arial" w:cs="Arial"/>
          <w:color w:val="000000" w:themeColor="text1"/>
          <w:sz w:val="24"/>
          <w:szCs w:val="24"/>
        </w:rPr>
        <w:t>en el registro civil de nacimiento.</w:t>
      </w:r>
    </w:p>
    <w:p w14:paraId="75C1DE5D" w14:textId="77777777" w:rsidR="007A6739" w:rsidRPr="00F95654" w:rsidRDefault="007A6739" w:rsidP="00F95654">
      <w:pPr>
        <w:jc w:val="both"/>
        <w:rPr>
          <w:rFonts w:ascii="Arial" w:hAnsi="Arial" w:cs="Arial"/>
          <w:b/>
          <w:bCs/>
          <w:sz w:val="24"/>
          <w:szCs w:val="24"/>
        </w:rPr>
      </w:pPr>
    </w:p>
    <w:p w14:paraId="23387359" w14:textId="57D4DD4E" w:rsidR="002F43CF" w:rsidRPr="00F95654" w:rsidRDefault="002F43CF" w:rsidP="00F95654">
      <w:pPr>
        <w:jc w:val="both"/>
        <w:rPr>
          <w:rFonts w:ascii="Arial" w:hAnsi="Arial" w:cs="Arial"/>
          <w:b/>
          <w:bCs/>
          <w:sz w:val="24"/>
          <w:szCs w:val="24"/>
        </w:rPr>
      </w:pPr>
      <w:r w:rsidRPr="00F95654">
        <w:rPr>
          <w:rFonts w:ascii="Arial" w:hAnsi="Arial" w:cs="Arial"/>
          <w:b/>
          <w:bCs/>
          <w:sz w:val="24"/>
          <w:szCs w:val="24"/>
        </w:rPr>
        <w:tab/>
        <w:t>JURISPRUDENCIA DE LA CORTE SUPREMA DE JUSTICA</w:t>
      </w:r>
    </w:p>
    <w:p w14:paraId="1C3AE768" w14:textId="1ACC541B" w:rsidR="002F43CF" w:rsidRPr="00F95654" w:rsidRDefault="002F43CF" w:rsidP="00F95654">
      <w:pPr>
        <w:jc w:val="both"/>
        <w:rPr>
          <w:rFonts w:ascii="Arial" w:hAnsi="Arial" w:cs="Arial"/>
          <w:b/>
          <w:bCs/>
          <w:sz w:val="24"/>
          <w:szCs w:val="24"/>
        </w:rPr>
      </w:pPr>
      <w:r w:rsidRPr="00F95654">
        <w:rPr>
          <w:rFonts w:ascii="Arial" w:hAnsi="Arial" w:cs="Arial"/>
          <w:b/>
          <w:bCs/>
          <w:sz w:val="24"/>
          <w:szCs w:val="24"/>
        </w:rPr>
        <w:tab/>
      </w:r>
    </w:p>
    <w:p w14:paraId="6F6CF465" w14:textId="57120A69" w:rsidR="002F43CF" w:rsidRPr="00F95654" w:rsidRDefault="002F43CF" w:rsidP="00F95654">
      <w:pPr>
        <w:pStyle w:val="Ttulo1"/>
        <w:jc w:val="both"/>
        <w:rPr>
          <w:rFonts w:ascii="Arial" w:hAnsi="Arial" w:cs="Arial"/>
          <w:b/>
          <w:bCs/>
          <w:color w:val="auto"/>
          <w:sz w:val="24"/>
          <w:szCs w:val="24"/>
        </w:rPr>
      </w:pPr>
      <w:bookmarkStart w:id="11" w:name="_Toc115414179"/>
      <w:r w:rsidRPr="00F95654">
        <w:rPr>
          <w:rFonts w:ascii="Arial" w:hAnsi="Arial" w:cs="Arial"/>
          <w:b/>
          <w:bCs/>
          <w:color w:val="auto"/>
          <w:sz w:val="24"/>
          <w:szCs w:val="24"/>
        </w:rPr>
        <w:t>CONCLUSIONES</w:t>
      </w:r>
      <w:bookmarkEnd w:id="11"/>
    </w:p>
    <w:p w14:paraId="6A2632F6" w14:textId="567DF8E2" w:rsidR="00EC3718" w:rsidRPr="00F95654" w:rsidRDefault="00EC3718" w:rsidP="00F95654">
      <w:pPr>
        <w:spacing w:line="480" w:lineRule="auto"/>
        <w:jc w:val="both"/>
        <w:rPr>
          <w:rFonts w:ascii="Arial" w:hAnsi="Arial" w:cs="Arial"/>
          <w:b/>
          <w:bCs/>
          <w:sz w:val="24"/>
          <w:szCs w:val="24"/>
        </w:rPr>
      </w:pPr>
      <w:r w:rsidRPr="00F95654">
        <w:rPr>
          <w:rFonts w:ascii="Arial" w:hAnsi="Arial" w:cs="Arial"/>
          <w:color w:val="000000" w:themeColor="text1"/>
          <w:sz w:val="24"/>
          <w:szCs w:val="24"/>
        </w:rPr>
        <w:t xml:space="preserve">Con base en lo anterior, la simplicidad del reconocimiento de hombres o mujeres, si bien se amplía o adquiere connotaciones especiales en la medida que por parte de las administradoras de los fondos pensionales como COLPENSIONES se encuentran en circunstancia tal donde se hace necesario, para dar respuesta a una persona </w:t>
      </w:r>
      <w:r w:rsidRPr="00F95654">
        <w:rPr>
          <w:rFonts w:ascii="Arial" w:hAnsi="Arial" w:cs="Arial"/>
          <w:i/>
          <w:iCs/>
          <w:color w:val="000000" w:themeColor="text1"/>
          <w:sz w:val="24"/>
          <w:szCs w:val="24"/>
        </w:rPr>
        <w:t xml:space="preserve">transgénero </w:t>
      </w:r>
      <w:r w:rsidRPr="00F95654">
        <w:rPr>
          <w:rFonts w:ascii="Arial" w:hAnsi="Arial" w:cs="Arial"/>
          <w:color w:val="000000" w:themeColor="text1"/>
          <w:sz w:val="24"/>
          <w:szCs w:val="24"/>
        </w:rPr>
        <w:t xml:space="preserve">sobre su situación pensional, atender a una posición donde la identifica. Pues bien, ya sea tratándose de hombre o mujer, el factor determinante </w:t>
      </w:r>
      <w:r w:rsidRPr="00F95654">
        <w:rPr>
          <w:rFonts w:ascii="Arial" w:hAnsi="Arial" w:cs="Arial"/>
          <w:color w:val="000000" w:themeColor="text1"/>
          <w:sz w:val="24"/>
          <w:szCs w:val="24"/>
        </w:rPr>
        <w:lastRenderedPageBreak/>
        <w:t xml:space="preserve">entra no solo con un reconocimiento estricto sobre </w:t>
      </w:r>
      <w:r w:rsidRPr="00F95654">
        <w:rPr>
          <w:rFonts w:ascii="Arial" w:hAnsi="Arial" w:cs="Arial"/>
          <w:i/>
          <w:iCs/>
          <w:color w:val="000000" w:themeColor="text1"/>
          <w:sz w:val="24"/>
          <w:szCs w:val="24"/>
        </w:rPr>
        <w:t xml:space="preserve">hombre o mujer, </w:t>
      </w:r>
      <w:r w:rsidRPr="00F95654">
        <w:rPr>
          <w:rFonts w:ascii="Arial" w:hAnsi="Arial" w:cs="Arial"/>
          <w:color w:val="000000" w:themeColor="text1"/>
          <w:sz w:val="24"/>
          <w:szCs w:val="24"/>
        </w:rPr>
        <w:t>sino que se hace exigible analizar dicha circunstancia con una perspectiva de género, como medio para no afectar el acceso a la pensión bajo dichos términos.</w:t>
      </w:r>
    </w:p>
    <w:p w14:paraId="482E6D7C" w14:textId="2A87D5DC" w:rsidR="002F43CF" w:rsidRDefault="002F43CF" w:rsidP="00F95654">
      <w:pPr>
        <w:pStyle w:val="Ttulo1"/>
        <w:jc w:val="both"/>
        <w:rPr>
          <w:rFonts w:ascii="Arial" w:hAnsi="Arial" w:cs="Arial"/>
          <w:b/>
          <w:bCs/>
          <w:color w:val="auto"/>
          <w:sz w:val="24"/>
          <w:szCs w:val="24"/>
        </w:rPr>
      </w:pPr>
      <w:bookmarkStart w:id="12" w:name="_Toc115414180"/>
      <w:r w:rsidRPr="00F95654">
        <w:rPr>
          <w:rFonts w:ascii="Arial" w:hAnsi="Arial" w:cs="Arial"/>
          <w:b/>
          <w:bCs/>
          <w:color w:val="auto"/>
          <w:sz w:val="24"/>
          <w:szCs w:val="24"/>
        </w:rPr>
        <w:t>BIBLIOGRAFÍA</w:t>
      </w:r>
      <w:bookmarkEnd w:id="12"/>
    </w:p>
    <w:p w14:paraId="382420DB" w14:textId="77777777" w:rsidR="00F95654" w:rsidRPr="00F95654" w:rsidRDefault="00F95654" w:rsidP="00F95654">
      <w:pPr>
        <w:jc w:val="both"/>
      </w:pPr>
    </w:p>
    <w:p w14:paraId="07D48FE9" w14:textId="7AB425AD" w:rsidR="00290ECF" w:rsidRPr="00F95654" w:rsidRDefault="00290ECF" w:rsidP="00F95654">
      <w:pPr>
        <w:ind w:left="567" w:hanging="567"/>
        <w:jc w:val="both"/>
        <w:rPr>
          <w:rFonts w:ascii="Arial" w:hAnsi="Arial" w:cs="Arial"/>
          <w:color w:val="000000" w:themeColor="text1"/>
          <w:sz w:val="24"/>
          <w:szCs w:val="24"/>
          <w:shd w:val="clear" w:color="auto" w:fill="FFFFFF"/>
        </w:rPr>
      </w:pPr>
      <w:r w:rsidRPr="00F95654">
        <w:rPr>
          <w:rFonts w:ascii="Arial" w:hAnsi="Arial" w:cs="Arial"/>
          <w:color w:val="000000" w:themeColor="text1"/>
          <w:sz w:val="24"/>
          <w:szCs w:val="24"/>
          <w:shd w:val="clear" w:color="auto" w:fill="FFFFFF"/>
        </w:rPr>
        <w:t>Asociación Americana de Psicología. (2020)</w:t>
      </w:r>
      <w:proofErr w:type="gramStart"/>
      <w:r w:rsidRPr="00F95654">
        <w:rPr>
          <w:rFonts w:ascii="Arial" w:hAnsi="Arial" w:cs="Arial"/>
          <w:color w:val="000000" w:themeColor="text1"/>
          <w:sz w:val="24"/>
          <w:szCs w:val="24"/>
          <w:shd w:val="clear" w:color="auto" w:fill="FFFFFF"/>
        </w:rPr>
        <w:t>. ¿</w:t>
      </w:r>
      <w:proofErr w:type="gramEnd"/>
      <w:r w:rsidRPr="00F95654">
        <w:rPr>
          <w:rFonts w:ascii="Arial" w:hAnsi="Arial" w:cs="Arial"/>
          <w:color w:val="000000" w:themeColor="text1"/>
          <w:sz w:val="24"/>
          <w:szCs w:val="24"/>
          <w:shd w:val="clear" w:color="auto" w:fill="FFFFFF"/>
        </w:rPr>
        <w:t xml:space="preserve">Qué significa transgénero?. Recuperado de: </w:t>
      </w:r>
      <w:hyperlink r:id="rId5" w:anchor=":~:text=Transg%C3%A9nero%20es%20un%20t%C3%A9rmino%20global,se%20les%20asign%C3%B3%20al%20nacer" w:history="1">
        <w:r w:rsidR="0008780E" w:rsidRPr="00F95654">
          <w:rPr>
            <w:rStyle w:val="Hipervnculo"/>
            <w:rFonts w:ascii="Arial" w:hAnsi="Arial" w:cs="Arial"/>
            <w:sz w:val="24"/>
            <w:szCs w:val="24"/>
            <w:shd w:val="clear" w:color="auto" w:fill="FFFFFF"/>
          </w:rPr>
          <w:t>https://www.apa.org/topics/lgbtq/transgenero#:~:text=Transg%C3%A9nero%20es%20un%20t%C3%A9rmino%20global,se%20les%20asign%C3%B3%20al%20nacer</w:t>
        </w:r>
      </w:hyperlink>
      <w:r w:rsidRPr="00F95654">
        <w:rPr>
          <w:rFonts w:ascii="Arial" w:hAnsi="Arial" w:cs="Arial"/>
          <w:color w:val="000000" w:themeColor="text1"/>
          <w:sz w:val="24"/>
          <w:szCs w:val="24"/>
          <w:shd w:val="clear" w:color="auto" w:fill="FFFFFF"/>
        </w:rPr>
        <w:t>.</w:t>
      </w:r>
    </w:p>
    <w:p w14:paraId="181F4AB6" w14:textId="77777777" w:rsidR="00290ECF" w:rsidRPr="00F95654" w:rsidRDefault="00290ECF" w:rsidP="00F95654">
      <w:pPr>
        <w:jc w:val="both"/>
        <w:rPr>
          <w:rFonts w:ascii="Arial" w:hAnsi="Arial" w:cs="Arial"/>
          <w:b/>
          <w:bCs/>
          <w:sz w:val="24"/>
          <w:szCs w:val="24"/>
        </w:rPr>
      </w:pPr>
    </w:p>
    <w:p w14:paraId="18FF0D6D" w14:textId="77D0277E" w:rsidR="002F43CF" w:rsidRPr="00F95654" w:rsidRDefault="002F43CF" w:rsidP="00F95654">
      <w:pPr>
        <w:spacing w:line="480" w:lineRule="auto"/>
        <w:ind w:left="567" w:hanging="567"/>
        <w:jc w:val="both"/>
        <w:rPr>
          <w:rFonts w:ascii="Arial" w:hAnsi="Arial" w:cs="Arial"/>
          <w:color w:val="000000" w:themeColor="text1"/>
          <w:sz w:val="24"/>
          <w:szCs w:val="24"/>
          <w:shd w:val="clear" w:color="auto" w:fill="FFFFFF"/>
        </w:rPr>
      </w:pPr>
      <w:r w:rsidRPr="00F95654">
        <w:rPr>
          <w:rFonts w:ascii="Arial" w:hAnsi="Arial" w:cs="Arial"/>
          <w:color w:val="000000" w:themeColor="text1"/>
          <w:sz w:val="24"/>
          <w:szCs w:val="24"/>
          <w:shd w:val="clear" w:color="auto" w:fill="FFFFFF"/>
        </w:rPr>
        <w:t>Benavides Vega, L. M. (2022). Recorrido histórico por la Seguridad Social como directriz del requisito de edad para la pensión de vejez en mujeres transgénero en Colombia.</w:t>
      </w:r>
    </w:p>
    <w:p w14:paraId="078803FD" w14:textId="0C47C160" w:rsidR="0008780E" w:rsidRPr="00F95654" w:rsidRDefault="0008780E" w:rsidP="00F95654">
      <w:pPr>
        <w:spacing w:line="480" w:lineRule="auto"/>
        <w:ind w:left="567" w:hanging="567"/>
        <w:jc w:val="both"/>
        <w:rPr>
          <w:rFonts w:ascii="Arial" w:hAnsi="Arial" w:cs="Arial"/>
          <w:color w:val="000000" w:themeColor="text1"/>
          <w:sz w:val="24"/>
          <w:szCs w:val="24"/>
          <w:shd w:val="clear" w:color="auto" w:fill="FFFFFF"/>
        </w:rPr>
      </w:pPr>
      <w:r w:rsidRPr="00F95654">
        <w:rPr>
          <w:rFonts w:ascii="Arial" w:hAnsi="Arial" w:cs="Arial"/>
          <w:color w:val="000000" w:themeColor="text1"/>
          <w:sz w:val="24"/>
          <w:szCs w:val="24"/>
          <w:shd w:val="clear" w:color="auto" w:fill="FFFFFF"/>
        </w:rPr>
        <w:t xml:space="preserve">CNDH. (2018). </w:t>
      </w:r>
      <w:r w:rsidRPr="00F95654">
        <w:rPr>
          <w:rFonts w:ascii="Arial" w:hAnsi="Arial" w:cs="Arial"/>
          <w:sz w:val="24"/>
          <w:szCs w:val="24"/>
        </w:rPr>
        <w:t>LOS DERECHOS HUMANOS DE LAS PERSONAS TRANSGÉNERO, TRANSEXUALES Y TRAVESTIS. Recuperado de: https://www.cndh.org.mx/sites/all/doc/cartillas/2015-2016/31-DH-Transgenero.pdf</w:t>
      </w:r>
    </w:p>
    <w:p w14:paraId="62C3B078" w14:textId="77777777" w:rsidR="002F43CF" w:rsidRPr="00F95654" w:rsidRDefault="002F43CF" w:rsidP="00F95654">
      <w:pPr>
        <w:spacing w:line="480" w:lineRule="auto"/>
        <w:ind w:left="567" w:hanging="567"/>
        <w:jc w:val="both"/>
        <w:rPr>
          <w:rFonts w:ascii="Arial" w:hAnsi="Arial" w:cs="Arial"/>
          <w:color w:val="000000" w:themeColor="text1"/>
          <w:sz w:val="24"/>
          <w:szCs w:val="24"/>
          <w:shd w:val="clear" w:color="auto" w:fill="FFFFFF"/>
        </w:rPr>
      </w:pPr>
      <w:r w:rsidRPr="00F95654">
        <w:rPr>
          <w:rFonts w:ascii="Arial" w:hAnsi="Arial" w:cs="Arial"/>
          <w:color w:val="000000" w:themeColor="text1"/>
          <w:sz w:val="24"/>
          <w:szCs w:val="24"/>
          <w:shd w:val="clear" w:color="auto" w:fill="FFFFFF"/>
        </w:rPr>
        <w:t>Martínez, J. R. (2020). </w:t>
      </w:r>
      <w:r w:rsidRPr="00F95654">
        <w:rPr>
          <w:rFonts w:ascii="Arial" w:hAnsi="Arial" w:cs="Arial"/>
          <w:i/>
          <w:iCs/>
          <w:color w:val="000000" w:themeColor="text1"/>
          <w:sz w:val="24"/>
          <w:szCs w:val="24"/>
          <w:shd w:val="clear" w:color="auto" w:fill="FFFFFF"/>
        </w:rPr>
        <w:t>Ley de identidad de género Carencias normativas para aprobación de jubilación y/o pensión</w:t>
      </w:r>
      <w:r w:rsidRPr="00F95654">
        <w:rPr>
          <w:rFonts w:ascii="Arial" w:hAnsi="Arial" w:cs="Arial"/>
          <w:color w:val="000000" w:themeColor="text1"/>
          <w:sz w:val="24"/>
          <w:szCs w:val="24"/>
          <w:shd w:val="clear" w:color="auto" w:fill="FFFFFF"/>
        </w:rPr>
        <w:t> (</w:t>
      </w:r>
      <w:proofErr w:type="spellStart"/>
      <w:r w:rsidRPr="00F95654">
        <w:rPr>
          <w:rFonts w:ascii="Arial" w:hAnsi="Arial" w:cs="Arial"/>
          <w:color w:val="000000" w:themeColor="text1"/>
          <w:sz w:val="24"/>
          <w:szCs w:val="24"/>
          <w:shd w:val="clear" w:color="auto" w:fill="FFFFFF"/>
        </w:rPr>
        <w:t>Bachelor's</w:t>
      </w:r>
      <w:proofErr w:type="spellEnd"/>
      <w:r w:rsidRPr="00F95654">
        <w:rPr>
          <w:rFonts w:ascii="Arial" w:hAnsi="Arial" w:cs="Arial"/>
          <w:color w:val="000000" w:themeColor="text1"/>
          <w:sz w:val="24"/>
          <w:szCs w:val="24"/>
          <w:shd w:val="clear" w:color="auto" w:fill="FFFFFF"/>
        </w:rPr>
        <w:t xml:space="preserve"> </w:t>
      </w:r>
      <w:proofErr w:type="spellStart"/>
      <w:r w:rsidRPr="00F95654">
        <w:rPr>
          <w:rFonts w:ascii="Arial" w:hAnsi="Arial" w:cs="Arial"/>
          <w:color w:val="000000" w:themeColor="text1"/>
          <w:sz w:val="24"/>
          <w:szCs w:val="24"/>
          <w:shd w:val="clear" w:color="auto" w:fill="FFFFFF"/>
        </w:rPr>
        <w:t>thesis</w:t>
      </w:r>
      <w:proofErr w:type="spellEnd"/>
      <w:r w:rsidRPr="00F95654">
        <w:rPr>
          <w:rFonts w:ascii="Arial" w:hAnsi="Arial" w:cs="Arial"/>
          <w:color w:val="000000" w:themeColor="text1"/>
          <w:sz w:val="24"/>
          <w:szCs w:val="24"/>
          <w:shd w:val="clear" w:color="auto" w:fill="FFFFFF"/>
        </w:rPr>
        <w:t>).</w:t>
      </w:r>
    </w:p>
    <w:p w14:paraId="76E70D88" w14:textId="77777777" w:rsidR="002F43CF" w:rsidRPr="00F95654" w:rsidRDefault="002F43CF" w:rsidP="00F95654">
      <w:pPr>
        <w:jc w:val="both"/>
        <w:rPr>
          <w:rFonts w:ascii="Arial" w:hAnsi="Arial" w:cs="Arial"/>
          <w:b/>
          <w:bCs/>
          <w:sz w:val="24"/>
          <w:szCs w:val="24"/>
        </w:rPr>
      </w:pPr>
    </w:p>
    <w:p w14:paraId="1260A300" w14:textId="03BB5838" w:rsidR="002F43CF" w:rsidRPr="00F95654" w:rsidRDefault="002F43CF" w:rsidP="00F95654">
      <w:pPr>
        <w:spacing w:line="480" w:lineRule="auto"/>
        <w:ind w:left="567" w:hanging="567"/>
        <w:jc w:val="both"/>
        <w:rPr>
          <w:rFonts w:ascii="Arial" w:hAnsi="Arial" w:cs="Arial"/>
          <w:color w:val="000000" w:themeColor="text1"/>
          <w:sz w:val="24"/>
          <w:szCs w:val="24"/>
          <w:shd w:val="clear" w:color="auto" w:fill="FFFFFF"/>
        </w:rPr>
      </w:pPr>
      <w:proofErr w:type="spellStart"/>
      <w:r w:rsidRPr="00F95654">
        <w:rPr>
          <w:rFonts w:ascii="Arial" w:hAnsi="Arial" w:cs="Arial"/>
          <w:color w:val="000000" w:themeColor="text1"/>
          <w:sz w:val="24"/>
          <w:szCs w:val="24"/>
          <w:shd w:val="clear" w:color="auto" w:fill="FFFFFF"/>
        </w:rPr>
        <w:t>Moseson</w:t>
      </w:r>
      <w:proofErr w:type="spellEnd"/>
      <w:r w:rsidRPr="00F95654">
        <w:rPr>
          <w:rFonts w:ascii="Arial" w:hAnsi="Arial" w:cs="Arial"/>
          <w:color w:val="000000" w:themeColor="text1"/>
          <w:sz w:val="24"/>
          <w:szCs w:val="24"/>
          <w:shd w:val="clear" w:color="auto" w:fill="FFFFFF"/>
        </w:rPr>
        <w:t xml:space="preserve">, H., </w:t>
      </w:r>
      <w:proofErr w:type="spellStart"/>
      <w:r w:rsidRPr="00F95654">
        <w:rPr>
          <w:rFonts w:ascii="Arial" w:hAnsi="Arial" w:cs="Arial"/>
          <w:color w:val="000000" w:themeColor="text1"/>
          <w:sz w:val="24"/>
          <w:szCs w:val="24"/>
          <w:shd w:val="clear" w:color="auto" w:fill="FFFFFF"/>
        </w:rPr>
        <w:t>Zazanis</w:t>
      </w:r>
      <w:proofErr w:type="spellEnd"/>
      <w:r w:rsidRPr="00F95654">
        <w:rPr>
          <w:rFonts w:ascii="Arial" w:hAnsi="Arial" w:cs="Arial"/>
          <w:color w:val="000000" w:themeColor="text1"/>
          <w:sz w:val="24"/>
          <w:szCs w:val="24"/>
          <w:shd w:val="clear" w:color="auto" w:fill="FFFFFF"/>
        </w:rPr>
        <w:t xml:space="preserve">, N., Goldberg, E., </w:t>
      </w:r>
      <w:proofErr w:type="spellStart"/>
      <w:r w:rsidRPr="00F95654">
        <w:rPr>
          <w:rFonts w:ascii="Arial" w:hAnsi="Arial" w:cs="Arial"/>
          <w:color w:val="000000" w:themeColor="text1"/>
          <w:sz w:val="24"/>
          <w:szCs w:val="24"/>
          <w:shd w:val="clear" w:color="auto" w:fill="FFFFFF"/>
        </w:rPr>
        <w:t>Fix</w:t>
      </w:r>
      <w:proofErr w:type="spellEnd"/>
      <w:r w:rsidRPr="00F95654">
        <w:rPr>
          <w:rFonts w:ascii="Arial" w:hAnsi="Arial" w:cs="Arial"/>
          <w:color w:val="000000" w:themeColor="text1"/>
          <w:sz w:val="24"/>
          <w:szCs w:val="24"/>
          <w:shd w:val="clear" w:color="auto" w:fill="FFFFFF"/>
        </w:rPr>
        <w:t xml:space="preserve">, L., </w:t>
      </w:r>
      <w:proofErr w:type="spellStart"/>
      <w:r w:rsidRPr="00F95654">
        <w:rPr>
          <w:rFonts w:ascii="Arial" w:hAnsi="Arial" w:cs="Arial"/>
          <w:color w:val="000000" w:themeColor="text1"/>
          <w:sz w:val="24"/>
          <w:szCs w:val="24"/>
          <w:shd w:val="clear" w:color="auto" w:fill="FFFFFF"/>
        </w:rPr>
        <w:t>Durden</w:t>
      </w:r>
      <w:proofErr w:type="spellEnd"/>
      <w:r w:rsidRPr="00F95654">
        <w:rPr>
          <w:rFonts w:ascii="Arial" w:hAnsi="Arial" w:cs="Arial"/>
          <w:color w:val="000000" w:themeColor="text1"/>
          <w:sz w:val="24"/>
          <w:szCs w:val="24"/>
          <w:shd w:val="clear" w:color="auto" w:fill="FFFFFF"/>
        </w:rPr>
        <w:t xml:space="preserve">, M., </w:t>
      </w:r>
      <w:proofErr w:type="spellStart"/>
      <w:r w:rsidRPr="00F95654">
        <w:rPr>
          <w:rFonts w:ascii="Arial" w:hAnsi="Arial" w:cs="Arial"/>
          <w:color w:val="000000" w:themeColor="text1"/>
          <w:sz w:val="24"/>
          <w:szCs w:val="24"/>
          <w:shd w:val="clear" w:color="auto" w:fill="FFFFFF"/>
        </w:rPr>
        <w:t>Stoeffler</w:t>
      </w:r>
      <w:proofErr w:type="spellEnd"/>
      <w:r w:rsidRPr="00F95654">
        <w:rPr>
          <w:rFonts w:ascii="Arial" w:hAnsi="Arial" w:cs="Arial"/>
          <w:color w:val="000000" w:themeColor="text1"/>
          <w:sz w:val="24"/>
          <w:szCs w:val="24"/>
          <w:shd w:val="clear" w:color="auto" w:fill="FFFFFF"/>
        </w:rPr>
        <w:t>, A., &amp; Hastings, J. (2020). El imperativo de incluir los géneros no binario y transgénero. </w:t>
      </w:r>
      <w:proofErr w:type="spellStart"/>
      <w:r w:rsidRPr="00F95654">
        <w:rPr>
          <w:rFonts w:ascii="Arial" w:hAnsi="Arial" w:cs="Arial"/>
          <w:i/>
          <w:iCs/>
          <w:color w:val="000000" w:themeColor="text1"/>
          <w:sz w:val="24"/>
          <w:szCs w:val="24"/>
          <w:shd w:val="clear" w:color="auto" w:fill="FFFFFF"/>
        </w:rPr>
        <w:t>Obstet</w:t>
      </w:r>
      <w:proofErr w:type="spellEnd"/>
      <w:r w:rsidRPr="00F95654">
        <w:rPr>
          <w:rFonts w:ascii="Arial" w:hAnsi="Arial" w:cs="Arial"/>
          <w:i/>
          <w:iCs/>
          <w:color w:val="000000" w:themeColor="text1"/>
          <w:sz w:val="24"/>
          <w:szCs w:val="24"/>
          <w:shd w:val="clear" w:color="auto" w:fill="FFFFFF"/>
        </w:rPr>
        <w:t xml:space="preserve"> </w:t>
      </w:r>
      <w:proofErr w:type="spellStart"/>
      <w:r w:rsidRPr="00F95654">
        <w:rPr>
          <w:rFonts w:ascii="Arial" w:hAnsi="Arial" w:cs="Arial"/>
          <w:i/>
          <w:iCs/>
          <w:color w:val="000000" w:themeColor="text1"/>
          <w:sz w:val="24"/>
          <w:szCs w:val="24"/>
          <w:shd w:val="clear" w:color="auto" w:fill="FFFFFF"/>
        </w:rPr>
        <w:t>Gynecol</w:t>
      </w:r>
      <w:proofErr w:type="spellEnd"/>
      <w:r w:rsidRPr="00F95654">
        <w:rPr>
          <w:rFonts w:ascii="Arial" w:hAnsi="Arial" w:cs="Arial"/>
          <w:color w:val="000000" w:themeColor="text1"/>
          <w:sz w:val="24"/>
          <w:szCs w:val="24"/>
          <w:shd w:val="clear" w:color="auto" w:fill="FFFFFF"/>
        </w:rPr>
        <w:t>, </w:t>
      </w:r>
      <w:r w:rsidRPr="00F95654">
        <w:rPr>
          <w:rFonts w:ascii="Arial" w:hAnsi="Arial" w:cs="Arial"/>
          <w:i/>
          <w:iCs/>
          <w:color w:val="000000" w:themeColor="text1"/>
          <w:sz w:val="24"/>
          <w:szCs w:val="24"/>
          <w:shd w:val="clear" w:color="auto" w:fill="FFFFFF"/>
        </w:rPr>
        <w:t>135</w:t>
      </w:r>
      <w:r w:rsidRPr="00F95654">
        <w:rPr>
          <w:rFonts w:ascii="Arial" w:hAnsi="Arial" w:cs="Arial"/>
          <w:color w:val="000000" w:themeColor="text1"/>
          <w:sz w:val="24"/>
          <w:szCs w:val="24"/>
          <w:shd w:val="clear" w:color="auto" w:fill="FFFFFF"/>
        </w:rPr>
        <w:t>, 1059-68.</w:t>
      </w:r>
    </w:p>
    <w:p w14:paraId="45341823" w14:textId="5794DF91" w:rsidR="008E40DC" w:rsidRPr="00F95654" w:rsidRDefault="008E40DC" w:rsidP="00F95654">
      <w:pPr>
        <w:spacing w:line="480" w:lineRule="auto"/>
        <w:ind w:left="567" w:hanging="567"/>
        <w:jc w:val="both"/>
        <w:rPr>
          <w:rFonts w:ascii="Arial" w:hAnsi="Arial" w:cs="Arial"/>
          <w:color w:val="222222"/>
          <w:sz w:val="24"/>
          <w:szCs w:val="24"/>
          <w:shd w:val="clear" w:color="auto" w:fill="FFFFFF"/>
        </w:rPr>
      </w:pPr>
      <w:r w:rsidRPr="00F95654">
        <w:rPr>
          <w:rFonts w:ascii="Arial" w:hAnsi="Arial" w:cs="Arial"/>
          <w:color w:val="222222"/>
          <w:sz w:val="24"/>
          <w:szCs w:val="24"/>
          <w:shd w:val="clear" w:color="auto" w:fill="FFFFFF"/>
        </w:rPr>
        <w:lastRenderedPageBreak/>
        <w:t>Nieves, M. A. R. (2018). El concepto transgénero en las sentencias de tutela (Colombia). </w:t>
      </w:r>
      <w:r w:rsidRPr="00F95654">
        <w:rPr>
          <w:rFonts w:ascii="Arial" w:hAnsi="Arial" w:cs="Arial"/>
          <w:i/>
          <w:iCs/>
          <w:color w:val="222222"/>
          <w:sz w:val="24"/>
          <w:szCs w:val="24"/>
          <w:shd w:val="clear" w:color="auto" w:fill="FFFFFF"/>
        </w:rPr>
        <w:t xml:space="preserve">Verba </w:t>
      </w:r>
      <w:proofErr w:type="spellStart"/>
      <w:r w:rsidRPr="00F95654">
        <w:rPr>
          <w:rFonts w:ascii="Arial" w:hAnsi="Arial" w:cs="Arial"/>
          <w:i/>
          <w:iCs/>
          <w:color w:val="222222"/>
          <w:sz w:val="24"/>
          <w:szCs w:val="24"/>
          <w:shd w:val="clear" w:color="auto" w:fill="FFFFFF"/>
        </w:rPr>
        <w:t>luris</w:t>
      </w:r>
      <w:proofErr w:type="spellEnd"/>
      <w:r w:rsidRPr="00F95654">
        <w:rPr>
          <w:rFonts w:ascii="Arial" w:hAnsi="Arial" w:cs="Arial"/>
          <w:color w:val="222222"/>
          <w:sz w:val="24"/>
          <w:szCs w:val="24"/>
          <w:shd w:val="clear" w:color="auto" w:fill="FFFFFF"/>
        </w:rPr>
        <w:t>, (40), 95-110.</w:t>
      </w:r>
    </w:p>
    <w:p w14:paraId="05518F94" w14:textId="48E5BD63" w:rsidR="00BA512B" w:rsidRPr="00F95654" w:rsidRDefault="00BA512B" w:rsidP="00F95654">
      <w:pPr>
        <w:spacing w:line="480" w:lineRule="auto"/>
        <w:ind w:left="567" w:hanging="567"/>
        <w:jc w:val="both"/>
        <w:rPr>
          <w:rFonts w:ascii="Arial" w:hAnsi="Arial" w:cs="Arial"/>
          <w:color w:val="000000" w:themeColor="text1"/>
          <w:sz w:val="24"/>
          <w:szCs w:val="24"/>
          <w:shd w:val="clear" w:color="auto" w:fill="FFFFFF"/>
        </w:rPr>
      </w:pPr>
      <w:r w:rsidRPr="00F95654">
        <w:rPr>
          <w:rFonts w:ascii="Arial" w:hAnsi="Arial" w:cs="Arial"/>
          <w:color w:val="222222"/>
          <w:sz w:val="24"/>
          <w:szCs w:val="24"/>
          <w:shd w:val="clear" w:color="auto" w:fill="FFFFFF"/>
        </w:rPr>
        <w:t>Parra, J., Arias, F., Bejarano, J., López, M., Ospina, J. J., Romero, J., &amp; Sarmiento, E. (2020). Sistema pensional colombiano: descripción, tendencias demográficas y análisis macroeconómico. </w:t>
      </w:r>
      <w:r w:rsidRPr="00F95654">
        <w:rPr>
          <w:rFonts w:ascii="Arial" w:hAnsi="Arial" w:cs="Arial"/>
          <w:i/>
          <w:iCs/>
          <w:color w:val="222222"/>
          <w:sz w:val="24"/>
          <w:szCs w:val="24"/>
          <w:shd w:val="clear" w:color="auto" w:fill="FFFFFF"/>
        </w:rPr>
        <w:t>Revista Ensayos Sobre Política Económica; No. 96, septiembre 2020. Pág.: 1-64</w:t>
      </w:r>
      <w:r w:rsidRPr="00F95654">
        <w:rPr>
          <w:rFonts w:ascii="Arial" w:hAnsi="Arial" w:cs="Arial"/>
          <w:color w:val="222222"/>
          <w:sz w:val="24"/>
          <w:szCs w:val="24"/>
          <w:shd w:val="clear" w:color="auto" w:fill="FFFFFF"/>
        </w:rPr>
        <w:t>.</w:t>
      </w:r>
    </w:p>
    <w:p w14:paraId="4B8364F7" w14:textId="0AC53CE3" w:rsidR="005F67FF" w:rsidRPr="00F95654" w:rsidRDefault="005F67FF" w:rsidP="00F95654">
      <w:pPr>
        <w:jc w:val="both"/>
        <w:rPr>
          <w:rFonts w:ascii="Arial" w:hAnsi="Arial" w:cs="Arial"/>
          <w:sz w:val="24"/>
          <w:szCs w:val="24"/>
        </w:rPr>
      </w:pPr>
    </w:p>
    <w:p w14:paraId="4BBD8C2F" w14:textId="41B7B7FF" w:rsidR="005F67FF" w:rsidRPr="00F95654" w:rsidRDefault="005F67FF" w:rsidP="00F95654">
      <w:pPr>
        <w:jc w:val="both"/>
        <w:rPr>
          <w:rFonts w:ascii="Arial" w:hAnsi="Arial" w:cs="Arial"/>
          <w:sz w:val="24"/>
          <w:szCs w:val="24"/>
        </w:rPr>
      </w:pPr>
    </w:p>
    <w:p w14:paraId="401A9212" w14:textId="56628D9C" w:rsidR="005F67FF" w:rsidRPr="00F95654" w:rsidRDefault="005F67FF" w:rsidP="00F95654">
      <w:pPr>
        <w:jc w:val="both"/>
        <w:rPr>
          <w:rFonts w:ascii="Arial" w:hAnsi="Arial" w:cs="Arial"/>
          <w:sz w:val="24"/>
          <w:szCs w:val="24"/>
        </w:rPr>
      </w:pPr>
    </w:p>
    <w:p w14:paraId="1DDF880B" w14:textId="2372D6D4" w:rsidR="005F67FF" w:rsidRPr="00F95654" w:rsidRDefault="005F67FF" w:rsidP="00F95654">
      <w:pPr>
        <w:jc w:val="both"/>
        <w:rPr>
          <w:rFonts w:ascii="Arial" w:hAnsi="Arial" w:cs="Arial"/>
          <w:sz w:val="24"/>
          <w:szCs w:val="24"/>
        </w:rPr>
      </w:pPr>
    </w:p>
    <w:p w14:paraId="07A84BC6" w14:textId="5E6FACB7" w:rsidR="005F67FF" w:rsidRPr="00F95654" w:rsidRDefault="005F67FF" w:rsidP="00F95654">
      <w:pPr>
        <w:jc w:val="both"/>
        <w:rPr>
          <w:rFonts w:ascii="Arial" w:hAnsi="Arial" w:cs="Arial"/>
          <w:sz w:val="24"/>
          <w:szCs w:val="24"/>
        </w:rPr>
      </w:pPr>
    </w:p>
    <w:p w14:paraId="7D41D4C0" w14:textId="618BB5A5" w:rsidR="005F67FF" w:rsidRPr="00F95654" w:rsidRDefault="005F67FF" w:rsidP="00F95654">
      <w:pPr>
        <w:jc w:val="both"/>
        <w:rPr>
          <w:rFonts w:ascii="Arial" w:hAnsi="Arial" w:cs="Arial"/>
          <w:sz w:val="24"/>
          <w:szCs w:val="24"/>
        </w:rPr>
      </w:pPr>
    </w:p>
    <w:p w14:paraId="47C46A5C" w14:textId="55312915" w:rsidR="005F67FF" w:rsidRPr="00F95654" w:rsidRDefault="005F67FF" w:rsidP="00F95654">
      <w:pPr>
        <w:jc w:val="both"/>
        <w:rPr>
          <w:rFonts w:ascii="Arial" w:hAnsi="Arial" w:cs="Arial"/>
          <w:sz w:val="24"/>
          <w:szCs w:val="24"/>
        </w:rPr>
      </w:pPr>
    </w:p>
    <w:p w14:paraId="5A01E66A" w14:textId="15F15DE8" w:rsidR="005F67FF" w:rsidRPr="00F95654" w:rsidRDefault="005F67FF" w:rsidP="00F95654">
      <w:pPr>
        <w:jc w:val="both"/>
        <w:rPr>
          <w:rFonts w:ascii="Arial" w:hAnsi="Arial" w:cs="Arial"/>
          <w:sz w:val="24"/>
          <w:szCs w:val="24"/>
        </w:rPr>
      </w:pPr>
    </w:p>
    <w:p w14:paraId="67AC483F" w14:textId="575C9737" w:rsidR="005F67FF" w:rsidRPr="00F95654" w:rsidRDefault="005F67FF" w:rsidP="00F95654">
      <w:pPr>
        <w:jc w:val="both"/>
        <w:rPr>
          <w:rFonts w:ascii="Arial" w:hAnsi="Arial" w:cs="Arial"/>
          <w:sz w:val="24"/>
          <w:szCs w:val="24"/>
        </w:rPr>
      </w:pPr>
    </w:p>
    <w:p w14:paraId="1621FC43" w14:textId="30D763AB" w:rsidR="005F67FF" w:rsidRPr="00F95654" w:rsidRDefault="005F67FF" w:rsidP="00F95654">
      <w:pPr>
        <w:jc w:val="both"/>
        <w:rPr>
          <w:rFonts w:ascii="Arial" w:hAnsi="Arial" w:cs="Arial"/>
          <w:sz w:val="24"/>
          <w:szCs w:val="24"/>
        </w:rPr>
      </w:pPr>
    </w:p>
    <w:p w14:paraId="52175BFB" w14:textId="65308340" w:rsidR="005F67FF" w:rsidRPr="00F95654" w:rsidRDefault="005F67FF" w:rsidP="00F95654">
      <w:pPr>
        <w:jc w:val="both"/>
        <w:rPr>
          <w:rFonts w:ascii="Arial" w:hAnsi="Arial" w:cs="Arial"/>
          <w:sz w:val="24"/>
          <w:szCs w:val="24"/>
        </w:rPr>
      </w:pPr>
    </w:p>
    <w:p w14:paraId="11280AA4" w14:textId="482CE7A1" w:rsidR="005F67FF" w:rsidRPr="00F95654" w:rsidRDefault="005F67FF" w:rsidP="00F95654">
      <w:pPr>
        <w:jc w:val="both"/>
        <w:rPr>
          <w:rFonts w:ascii="Arial" w:hAnsi="Arial" w:cs="Arial"/>
          <w:sz w:val="24"/>
          <w:szCs w:val="24"/>
        </w:rPr>
      </w:pPr>
    </w:p>
    <w:p w14:paraId="7DBEF236" w14:textId="215F02F2" w:rsidR="005F67FF" w:rsidRPr="00F95654" w:rsidRDefault="005F67FF" w:rsidP="00F95654">
      <w:pPr>
        <w:jc w:val="both"/>
        <w:rPr>
          <w:rFonts w:ascii="Arial" w:hAnsi="Arial" w:cs="Arial"/>
          <w:sz w:val="24"/>
          <w:szCs w:val="24"/>
        </w:rPr>
      </w:pPr>
    </w:p>
    <w:p w14:paraId="5500C52B" w14:textId="1998F8DC" w:rsidR="005F67FF" w:rsidRPr="00F95654" w:rsidRDefault="005F67FF" w:rsidP="00F95654">
      <w:pPr>
        <w:jc w:val="both"/>
        <w:rPr>
          <w:rFonts w:ascii="Arial" w:hAnsi="Arial" w:cs="Arial"/>
          <w:sz w:val="24"/>
          <w:szCs w:val="24"/>
        </w:rPr>
      </w:pPr>
    </w:p>
    <w:p w14:paraId="1C8FDB87" w14:textId="55E58815" w:rsidR="005F67FF" w:rsidRPr="00F95654" w:rsidRDefault="005F67FF" w:rsidP="00F95654">
      <w:pPr>
        <w:jc w:val="both"/>
        <w:rPr>
          <w:rFonts w:ascii="Arial" w:hAnsi="Arial" w:cs="Arial"/>
          <w:sz w:val="24"/>
          <w:szCs w:val="24"/>
        </w:rPr>
      </w:pPr>
    </w:p>
    <w:p w14:paraId="61A276C0" w14:textId="30B29DE2" w:rsidR="005F67FF" w:rsidRPr="00F95654" w:rsidRDefault="005F67FF" w:rsidP="00F95654">
      <w:pPr>
        <w:jc w:val="both"/>
        <w:rPr>
          <w:rFonts w:ascii="Arial" w:hAnsi="Arial" w:cs="Arial"/>
          <w:sz w:val="24"/>
          <w:szCs w:val="24"/>
        </w:rPr>
      </w:pPr>
    </w:p>
    <w:p w14:paraId="4F5FC3CA" w14:textId="27E6EA4F" w:rsidR="005F67FF" w:rsidRPr="00F95654" w:rsidRDefault="005F67FF" w:rsidP="00F95654">
      <w:pPr>
        <w:jc w:val="both"/>
        <w:rPr>
          <w:rFonts w:ascii="Arial" w:hAnsi="Arial" w:cs="Arial"/>
          <w:sz w:val="24"/>
          <w:szCs w:val="24"/>
        </w:rPr>
      </w:pPr>
    </w:p>
    <w:p w14:paraId="60B7AEF1" w14:textId="01BF3004" w:rsidR="005F67FF" w:rsidRPr="00F95654" w:rsidRDefault="005F67FF" w:rsidP="00F95654">
      <w:pPr>
        <w:jc w:val="both"/>
        <w:rPr>
          <w:rFonts w:ascii="Arial" w:hAnsi="Arial" w:cs="Arial"/>
          <w:sz w:val="24"/>
          <w:szCs w:val="24"/>
        </w:rPr>
      </w:pPr>
    </w:p>
    <w:p w14:paraId="1EA1C27A" w14:textId="3EAE7E91" w:rsidR="005F67FF" w:rsidRPr="00F95654" w:rsidRDefault="005F67FF" w:rsidP="00F95654">
      <w:pPr>
        <w:jc w:val="both"/>
        <w:rPr>
          <w:rFonts w:ascii="Arial" w:hAnsi="Arial" w:cs="Arial"/>
          <w:sz w:val="24"/>
          <w:szCs w:val="24"/>
        </w:rPr>
      </w:pPr>
    </w:p>
    <w:p w14:paraId="473A4CA7" w14:textId="229B838D" w:rsidR="005F67FF" w:rsidRPr="00F95654" w:rsidRDefault="005F67FF" w:rsidP="00F95654">
      <w:pPr>
        <w:jc w:val="both"/>
        <w:rPr>
          <w:rFonts w:ascii="Arial" w:hAnsi="Arial" w:cs="Arial"/>
          <w:sz w:val="24"/>
          <w:szCs w:val="24"/>
        </w:rPr>
      </w:pPr>
    </w:p>
    <w:p w14:paraId="43128CBE" w14:textId="39AE2AAB" w:rsidR="005F67FF" w:rsidRPr="00F95654" w:rsidRDefault="005F67FF" w:rsidP="00F95654">
      <w:pPr>
        <w:jc w:val="both"/>
        <w:rPr>
          <w:rFonts w:ascii="Arial" w:hAnsi="Arial" w:cs="Arial"/>
          <w:sz w:val="24"/>
          <w:szCs w:val="24"/>
        </w:rPr>
      </w:pPr>
    </w:p>
    <w:p w14:paraId="69A7AD32" w14:textId="60AC5784" w:rsidR="005F67FF" w:rsidRPr="00F95654" w:rsidRDefault="005F67FF" w:rsidP="00F95654">
      <w:pPr>
        <w:jc w:val="both"/>
        <w:rPr>
          <w:rFonts w:ascii="Arial" w:hAnsi="Arial" w:cs="Arial"/>
          <w:sz w:val="24"/>
          <w:szCs w:val="24"/>
        </w:rPr>
      </w:pPr>
    </w:p>
    <w:p w14:paraId="4EA64290" w14:textId="5B545F75" w:rsidR="005F67FF" w:rsidRPr="00F95654" w:rsidRDefault="005F67FF" w:rsidP="00F95654">
      <w:pPr>
        <w:jc w:val="both"/>
        <w:rPr>
          <w:rFonts w:ascii="Arial" w:hAnsi="Arial" w:cs="Arial"/>
          <w:sz w:val="24"/>
          <w:szCs w:val="24"/>
        </w:rPr>
      </w:pPr>
    </w:p>
    <w:p w14:paraId="4EDF00D7" w14:textId="5C30232D" w:rsidR="005F67FF" w:rsidRPr="00F95654" w:rsidRDefault="005F67FF" w:rsidP="00F95654">
      <w:pPr>
        <w:jc w:val="both"/>
        <w:rPr>
          <w:rFonts w:ascii="Arial" w:hAnsi="Arial" w:cs="Arial"/>
          <w:sz w:val="24"/>
          <w:szCs w:val="24"/>
        </w:rPr>
      </w:pPr>
    </w:p>
    <w:p w14:paraId="4A28B3F6" w14:textId="77777777" w:rsidR="005F67FF" w:rsidRPr="00F95654" w:rsidRDefault="005F67FF" w:rsidP="00F95654">
      <w:pPr>
        <w:jc w:val="both"/>
        <w:rPr>
          <w:rFonts w:ascii="Arial" w:hAnsi="Arial" w:cs="Arial"/>
          <w:sz w:val="24"/>
          <w:szCs w:val="24"/>
        </w:rPr>
      </w:pPr>
    </w:p>
    <w:sectPr w:rsidR="005F67FF" w:rsidRPr="00F95654">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67FF"/>
    <w:rsid w:val="0008780E"/>
    <w:rsid w:val="000970F8"/>
    <w:rsid w:val="000D426C"/>
    <w:rsid w:val="00140457"/>
    <w:rsid w:val="00290ECF"/>
    <w:rsid w:val="00297610"/>
    <w:rsid w:val="002F43CF"/>
    <w:rsid w:val="004265C7"/>
    <w:rsid w:val="004867D5"/>
    <w:rsid w:val="005F67FF"/>
    <w:rsid w:val="00601A07"/>
    <w:rsid w:val="006D3A7A"/>
    <w:rsid w:val="006F1ABB"/>
    <w:rsid w:val="007A6739"/>
    <w:rsid w:val="008E40DC"/>
    <w:rsid w:val="00984836"/>
    <w:rsid w:val="00BA512B"/>
    <w:rsid w:val="00C60405"/>
    <w:rsid w:val="00DE2BE8"/>
    <w:rsid w:val="00E70619"/>
    <w:rsid w:val="00EC3718"/>
    <w:rsid w:val="00F27F92"/>
    <w:rsid w:val="00F9565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3A368B"/>
  <w15:chartTrackingRefBased/>
  <w15:docId w15:val="{0746288E-D88E-4403-AB5A-9DC4857F5E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Bookman Old Style" w:eastAsiaTheme="minorHAnsi" w:hAnsi="Bookman Old Style" w:cs="Times New Roman"/>
        <w:sz w:val="24"/>
        <w:szCs w:val="22"/>
        <w:lang w:val="es-CO" w:eastAsia="en-US"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F67FF"/>
    <w:pPr>
      <w:jc w:val="left"/>
    </w:pPr>
    <w:rPr>
      <w:rFonts w:asciiTheme="minorHAnsi" w:eastAsiaTheme="minorEastAsia" w:hAnsiTheme="minorHAnsi" w:cstheme="minorBidi"/>
      <w:sz w:val="22"/>
      <w:lang w:val="es-US" w:eastAsia="es-ES"/>
    </w:rPr>
  </w:style>
  <w:style w:type="paragraph" w:styleId="Ttulo1">
    <w:name w:val="heading 1"/>
    <w:basedOn w:val="Normal"/>
    <w:next w:val="Normal"/>
    <w:link w:val="Ttulo1Car"/>
    <w:uiPriority w:val="9"/>
    <w:qFormat/>
    <w:rsid w:val="00F27F9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F27F9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290ECF"/>
    <w:rPr>
      <w:color w:val="0563C1" w:themeColor="hyperlink"/>
      <w:u w:val="single"/>
    </w:rPr>
  </w:style>
  <w:style w:type="character" w:customStyle="1" w:styleId="UnresolvedMention">
    <w:name w:val="Unresolved Mention"/>
    <w:basedOn w:val="Fuentedeprrafopredeter"/>
    <w:uiPriority w:val="99"/>
    <w:semiHidden/>
    <w:unhideWhenUsed/>
    <w:rsid w:val="00290ECF"/>
    <w:rPr>
      <w:color w:val="605E5C"/>
      <w:shd w:val="clear" w:color="auto" w:fill="E1DFDD"/>
    </w:rPr>
  </w:style>
  <w:style w:type="character" w:customStyle="1" w:styleId="Ttulo1Car">
    <w:name w:val="Título 1 Car"/>
    <w:basedOn w:val="Fuentedeprrafopredeter"/>
    <w:link w:val="Ttulo1"/>
    <w:uiPriority w:val="9"/>
    <w:rsid w:val="00F27F92"/>
    <w:rPr>
      <w:rFonts w:asciiTheme="majorHAnsi" w:eastAsiaTheme="majorEastAsia" w:hAnsiTheme="majorHAnsi" w:cstheme="majorBidi"/>
      <w:color w:val="2F5496" w:themeColor="accent1" w:themeShade="BF"/>
      <w:sz w:val="32"/>
      <w:szCs w:val="32"/>
      <w:lang w:val="es-US" w:eastAsia="es-ES"/>
    </w:rPr>
  </w:style>
  <w:style w:type="character" w:customStyle="1" w:styleId="Ttulo2Car">
    <w:name w:val="Título 2 Car"/>
    <w:basedOn w:val="Fuentedeprrafopredeter"/>
    <w:link w:val="Ttulo2"/>
    <w:uiPriority w:val="9"/>
    <w:rsid w:val="00F27F92"/>
    <w:rPr>
      <w:rFonts w:asciiTheme="majorHAnsi" w:eastAsiaTheme="majorEastAsia" w:hAnsiTheme="majorHAnsi" w:cstheme="majorBidi"/>
      <w:color w:val="2F5496" w:themeColor="accent1" w:themeShade="BF"/>
      <w:sz w:val="26"/>
      <w:szCs w:val="26"/>
      <w:lang w:val="es-US" w:eastAsia="es-ES"/>
    </w:rPr>
  </w:style>
  <w:style w:type="paragraph" w:styleId="TtulodeTDC">
    <w:name w:val="TOC Heading"/>
    <w:basedOn w:val="Ttulo1"/>
    <w:next w:val="Normal"/>
    <w:uiPriority w:val="39"/>
    <w:unhideWhenUsed/>
    <w:qFormat/>
    <w:rsid w:val="006F1ABB"/>
    <w:pPr>
      <w:outlineLvl w:val="9"/>
    </w:pPr>
    <w:rPr>
      <w:lang w:val="es-CO" w:eastAsia="es-CO"/>
    </w:rPr>
  </w:style>
  <w:style w:type="paragraph" w:styleId="TDC1">
    <w:name w:val="toc 1"/>
    <w:basedOn w:val="Normal"/>
    <w:next w:val="Normal"/>
    <w:autoRedefine/>
    <w:uiPriority w:val="39"/>
    <w:unhideWhenUsed/>
    <w:rsid w:val="006F1ABB"/>
    <w:pPr>
      <w:spacing w:after="100"/>
    </w:pPr>
  </w:style>
  <w:style w:type="paragraph" w:styleId="TDC2">
    <w:name w:val="toc 2"/>
    <w:basedOn w:val="Normal"/>
    <w:next w:val="Normal"/>
    <w:autoRedefine/>
    <w:uiPriority w:val="39"/>
    <w:unhideWhenUsed/>
    <w:rsid w:val="006F1ABB"/>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https://www.apa.org/topics/lgbtq/transgenero"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126125-E552-49DE-B6A5-4991CCDAA9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3693</Words>
  <Characters>20313</Characters>
  <Application>Microsoft Office Word</Application>
  <DocSecurity>0</DocSecurity>
  <Lines>169</Lines>
  <Paragraphs>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23959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Fabio Andrés Cotes Manjarrez</dc:creator>
  <cp:keywords/>
  <dc:description/>
  <cp:lastModifiedBy>mi computador</cp:lastModifiedBy>
  <cp:revision>2</cp:revision>
  <dcterms:created xsi:type="dcterms:W3CDTF">2022-10-26T21:44:00Z</dcterms:created>
  <dcterms:modified xsi:type="dcterms:W3CDTF">2022-10-26T21:44:00Z</dcterms:modified>
</cp:coreProperties>
</file>